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45D" w:rsidRPr="00FD1BCE" w:rsidRDefault="0015445D" w:rsidP="0015445D">
      <w:pPr>
        <w:spacing w:line="480" w:lineRule="auto"/>
        <w:jc w:val="center"/>
        <w:rPr>
          <w:b/>
        </w:rPr>
      </w:pPr>
      <w:bookmarkStart w:id="0" w:name="_GoBack"/>
      <w:bookmarkEnd w:id="0"/>
      <w:r>
        <w:rPr>
          <w:b/>
        </w:rPr>
        <w:t>FAST MOVER ADVANTAGES: SPEED CAPABILITIES AND ENTRY INTO THE EMERGING SUBMARKET OF ATLANTIC BASIN LNG</w:t>
      </w:r>
    </w:p>
    <w:p w:rsidR="00D568BC" w:rsidRDefault="00D568BC" w:rsidP="00D568BC">
      <w:pPr>
        <w:jc w:val="center"/>
        <w:rPr>
          <w:b/>
        </w:rPr>
      </w:pPr>
    </w:p>
    <w:p w:rsidR="00D568BC" w:rsidRPr="00301597" w:rsidRDefault="00D63376" w:rsidP="00D568BC">
      <w:pPr>
        <w:jc w:val="center"/>
        <w:rPr>
          <w:b/>
        </w:rPr>
      </w:pPr>
      <w:r>
        <w:rPr>
          <w:b/>
        </w:rPr>
        <w:t>(</w:t>
      </w:r>
      <w:proofErr w:type="gramStart"/>
      <w:r>
        <w:rPr>
          <w:b/>
        </w:rPr>
        <w:t>forthcoming</w:t>
      </w:r>
      <w:proofErr w:type="gramEnd"/>
      <w:r>
        <w:rPr>
          <w:b/>
        </w:rPr>
        <w:t xml:space="preserve"> Strategic Management Journal)</w:t>
      </w:r>
    </w:p>
    <w:p w:rsidR="00D568BC" w:rsidRPr="00301597" w:rsidRDefault="00D568BC" w:rsidP="00D568BC">
      <w:pPr>
        <w:pStyle w:val="Authorship"/>
        <w:spacing w:before="240"/>
        <w:rPr>
          <w:sz w:val="24"/>
          <w:szCs w:val="24"/>
        </w:rPr>
      </w:pPr>
      <w:r w:rsidRPr="00301597">
        <w:rPr>
          <w:sz w:val="24"/>
          <w:szCs w:val="24"/>
        </w:rPr>
        <w:t>Ashton Hawk</w:t>
      </w:r>
    </w:p>
    <w:p w:rsidR="00D568BC" w:rsidRPr="00301597" w:rsidRDefault="00D568BC" w:rsidP="00D568BC">
      <w:pPr>
        <w:pStyle w:val="Authorship"/>
        <w:rPr>
          <w:sz w:val="24"/>
          <w:szCs w:val="24"/>
        </w:rPr>
      </w:pPr>
      <w:r w:rsidRPr="00301597">
        <w:rPr>
          <w:sz w:val="24"/>
          <w:szCs w:val="24"/>
        </w:rPr>
        <w:t xml:space="preserve">Fisher College of Business, The Ohio State University, 2100 Neil Avenue, Columbus, Ohio 43210, </w:t>
      </w:r>
      <w:proofErr w:type="spellStart"/>
      <w:proofErr w:type="gramStart"/>
      <w:r>
        <w:rPr>
          <w:sz w:val="24"/>
          <w:szCs w:val="24"/>
        </w:rPr>
        <w:t>tel</w:t>
      </w:r>
      <w:proofErr w:type="spellEnd"/>
      <w:proofErr w:type="gramEnd"/>
      <w:r>
        <w:rPr>
          <w:sz w:val="24"/>
          <w:szCs w:val="24"/>
        </w:rPr>
        <w:t xml:space="preserve">: 614-292-4588, email: </w:t>
      </w:r>
      <w:hyperlink r:id="rId9" w:history="1">
        <w:r w:rsidRPr="00301597">
          <w:rPr>
            <w:rStyle w:val="Hyperlink"/>
          </w:rPr>
          <w:t>hawk@fisher.osu.edu</w:t>
        </w:r>
      </w:hyperlink>
      <w:r w:rsidRPr="00301597">
        <w:rPr>
          <w:sz w:val="24"/>
          <w:szCs w:val="24"/>
        </w:rPr>
        <w:t xml:space="preserve"> </w:t>
      </w:r>
    </w:p>
    <w:p w:rsidR="00D568BC" w:rsidRPr="00301597" w:rsidRDefault="00D568BC" w:rsidP="00D568BC">
      <w:pPr>
        <w:jc w:val="center"/>
        <w:rPr>
          <w:b/>
        </w:rPr>
      </w:pPr>
    </w:p>
    <w:p w:rsidR="00D568BC" w:rsidRPr="0079585A" w:rsidRDefault="00D568BC" w:rsidP="00D568BC">
      <w:pPr>
        <w:pStyle w:val="Authorship"/>
        <w:rPr>
          <w:sz w:val="24"/>
          <w:szCs w:val="24"/>
          <w:lang w:val="fr-FR"/>
        </w:rPr>
      </w:pPr>
      <w:proofErr w:type="spellStart"/>
      <w:r w:rsidRPr="0079585A">
        <w:rPr>
          <w:sz w:val="24"/>
          <w:szCs w:val="24"/>
          <w:lang w:val="fr-FR"/>
        </w:rPr>
        <w:t>Gonçalo</w:t>
      </w:r>
      <w:proofErr w:type="spellEnd"/>
      <w:r w:rsidRPr="0079585A">
        <w:rPr>
          <w:sz w:val="24"/>
          <w:szCs w:val="24"/>
          <w:lang w:val="fr-FR"/>
        </w:rPr>
        <w:t xml:space="preserve"> Pacheco-de-Almeida</w:t>
      </w:r>
    </w:p>
    <w:p w:rsidR="00D568BC" w:rsidRPr="0079585A" w:rsidRDefault="00D568BC" w:rsidP="00D568BC">
      <w:pPr>
        <w:pStyle w:val="Authorship"/>
        <w:suppressAutoHyphens/>
        <w:rPr>
          <w:sz w:val="24"/>
          <w:szCs w:val="24"/>
          <w:lang w:val="fr-FR"/>
        </w:rPr>
      </w:pPr>
      <w:r w:rsidRPr="0079585A">
        <w:rPr>
          <w:sz w:val="24"/>
          <w:szCs w:val="24"/>
          <w:lang w:val="fr-FR"/>
        </w:rPr>
        <w:t>HEC Paris, 1, rue de la Libération</w:t>
      </w:r>
      <w:proofErr w:type="gramStart"/>
      <w:r w:rsidRPr="0079585A">
        <w:rPr>
          <w:sz w:val="24"/>
          <w:szCs w:val="24"/>
          <w:lang w:val="fr-FR"/>
        </w:rPr>
        <w:t>,78351</w:t>
      </w:r>
      <w:proofErr w:type="gramEnd"/>
      <w:r w:rsidRPr="0079585A">
        <w:rPr>
          <w:sz w:val="24"/>
          <w:szCs w:val="24"/>
          <w:lang w:val="fr-FR"/>
        </w:rPr>
        <w:t xml:space="preserve"> Jouy en </w:t>
      </w:r>
      <w:proofErr w:type="spellStart"/>
      <w:r w:rsidRPr="0079585A">
        <w:rPr>
          <w:sz w:val="24"/>
          <w:szCs w:val="24"/>
          <w:lang w:val="fr-FR"/>
        </w:rPr>
        <w:t>Josas</w:t>
      </w:r>
      <w:proofErr w:type="spellEnd"/>
      <w:r w:rsidRPr="0079585A">
        <w:rPr>
          <w:sz w:val="24"/>
          <w:szCs w:val="24"/>
          <w:lang w:val="fr-FR"/>
        </w:rPr>
        <w:t xml:space="preserve"> Cedex, France, New York 10012, </w:t>
      </w:r>
      <w:hyperlink r:id="rId10" w:history="1">
        <w:r w:rsidRPr="0079585A">
          <w:rPr>
            <w:rStyle w:val="Hyperlink"/>
            <w:lang w:val="fr-FR"/>
          </w:rPr>
          <w:t>pachecodealmeida@hec.fr</w:t>
        </w:r>
      </w:hyperlink>
      <w:r w:rsidRPr="0079585A">
        <w:rPr>
          <w:sz w:val="24"/>
          <w:szCs w:val="24"/>
          <w:lang w:val="fr-FR"/>
        </w:rPr>
        <w:t xml:space="preserve"> </w:t>
      </w:r>
    </w:p>
    <w:p w:rsidR="00D568BC" w:rsidRPr="00301597" w:rsidRDefault="00D568BC" w:rsidP="00D568BC">
      <w:pPr>
        <w:pStyle w:val="Authorship"/>
        <w:spacing w:before="240"/>
        <w:rPr>
          <w:sz w:val="24"/>
          <w:szCs w:val="24"/>
        </w:rPr>
      </w:pPr>
      <w:r w:rsidRPr="00301597">
        <w:rPr>
          <w:sz w:val="24"/>
          <w:szCs w:val="24"/>
        </w:rPr>
        <w:t>Bernard Yeung</w:t>
      </w:r>
    </w:p>
    <w:p w:rsidR="00D568BC" w:rsidRPr="00301597" w:rsidRDefault="00D568BC" w:rsidP="00D568BC">
      <w:pPr>
        <w:pStyle w:val="Authorship"/>
        <w:rPr>
          <w:sz w:val="24"/>
          <w:szCs w:val="24"/>
        </w:rPr>
      </w:pPr>
      <w:r w:rsidRPr="00301597">
        <w:rPr>
          <w:sz w:val="24"/>
          <w:szCs w:val="24"/>
        </w:rPr>
        <w:t xml:space="preserve">NUS Business School, </w:t>
      </w:r>
      <w:r w:rsidR="00134736">
        <w:rPr>
          <w:sz w:val="24"/>
          <w:szCs w:val="24"/>
        </w:rPr>
        <w:t xml:space="preserve">MRB </w:t>
      </w:r>
      <w:r w:rsidRPr="00301597">
        <w:rPr>
          <w:sz w:val="24"/>
          <w:szCs w:val="24"/>
        </w:rPr>
        <w:t xml:space="preserve">Building, </w:t>
      </w:r>
      <w:r w:rsidR="00134736">
        <w:rPr>
          <w:sz w:val="24"/>
          <w:szCs w:val="24"/>
        </w:rPr>
        <w:t xml:space="preserve">Biz 1, </w:t>
      </w:r>
      <w:r w:rsidRPr="00301597">
        <w:rPr>
          <w:sz w:val="24"/>
          <w:szCs w:val="24"/>
        </w:rPr>
        <w:t>Level 6, 1 B</w:t>
      </w:r>
      <w:r>
        <w:rPr>
          <w:sz w:val="24"/>
          <w:szCs w:val="24"/>
        </w:rPr>
        <w:t>usiness Link, Singapore 117592,</w:t>
      </w:r>
      <w:r w:rsidRPr="00301597">
        <w:rPr>
          <w:sz w:val="24"/>
          <w:szCs w:val="24"/>
        </w:rPr>
        <w:t xml:space="preserve"> </w:t>
      </w:r>
    </w:p>
    <w:p w:rsidR="0015445D" w:rsidRDefault="00165F5B" w:rsidP="00D568BC">
      <w:pPr>
        <w:jc w:val="center"/>
      </w:pPr>
      <w:hyperlink r:id="rId11" w:history="1">
        <w:r w:rsidR="00D568BC" w:rsidRPr="00E71524">
          <w:rPr>
            <w:rStyle w:val="Hyperlink"/>
          </w:rPr>
          <w:t>byeung@nus.edu.sg</w:t>
        </w:r>
      </w:hyperlink>
    </w:p>
    <w:p w:rsidR="0015445D" w:rsidRDefault="0015445D" w:rsidP="0015445D">
      <w:pPr>
        <w:jc w:val="center"/>
      </w:pPr>
    </w:p>
    <w:p w:rsidR="0015445D" w:rsidRDefault="0015445D" w:rsidP="0015445D">
      <w:pPr>
        <w:jc w:val="center"/>
      </w:pPr>
    </w:p>
    <w:p w:rsidR="0015445D" w:rsidRDefault="0015445D" w:rsidP="0015445D">
      <w:pPr>
        <w:jc w:val="center"/>
      </w:pPr>
    </w:p>
    <w:p w:rsidR="0015445D" w:rsidRPr="00301597" w:rsidRDefault="0015445D" w:rsidP="0015445D"/>
    <w:p w:rsidR="0015445D" w:rsidRDefault="0015445D" w:rsidP="0015445D">
      <w:pPr>
        <w:jc w:val="center"/>
      </w:pPr>
    </w:p>
    <w:p w:rsidR="0015445D" w:rsidRDefault="0015445D" w:rsidP="0015445D">
      <w:pPr>
        <w:jc w:val="center"/>
      </w:pPr>
    </w:p>
    <w:p w:rsidR="0015445D" w:rsidRDefault="0015445D" w:rsidP="0015445D">
      <w:pPr>
        <w:tabs>
          <w:tab w:val="left" w:pos="1905"/>
        </w:tabs>
      </w:pPr>
      <w:r>
        <w:tab/>
      </w:r>
    </w:p>
    <w:p w:rsidR="0015445D" w:rsidRDefault="0015445D" w:rsidP="0015445D">
      <w:pPr>
        <w:jc w:val="center"/>
      </w:pPr>
    </w:p>
    <w:p w:rsidR="0015445D" w:rsidRDefault="0015445D" w:rsidP="0015445D">
      <w:pPr>
        <w:jc w:val="center"/>
      </w:pPr>
    </w:p>
    <w:p w:rsidR="0015445D" w:rsidRDefault="0015445D" w:rsidP="0015445D">
      <w:pPr>
        <w:jc w:val="center"/>
      </w:pPr>
    </w:p>
    <w:p w:rsidR="0015445D" w:rsidRDefault="0015445D" w:rsidP="0015445D">
      <w:pPr>
        <w:jc w:val="center"/>
      </w:pPr>
    </w:p>
    <w:p w:rsidR="0015445D" w:rsidRDefault="0015445D" w:rsidP="0015445D">
      <w:pPr>
        <w:jc w:val="center"/>
      </w:pPr>
    </w:p>
    <w:p w:rsidR="0015445D" w:rsidRDefault="0015445D" w:rsidP="0015445D">
      <w:pPr>
        <w:jc w:val="center"/>
      </w:pPr>
    </w:p>
    <w:p w:rsidR="0015445D" w:rsidRDefault="0015445D" w:rsidP="0015445D">
      <w:pPr>
        <w:jc w:val="center"/>
      </w:pPr>
    </w:p>
    <w:p w:rsidR="0015445D" w:rsidRDefault="0015445D" w:rsidP="0015445D"/>
    <w:p w:rsidR="0015445D" w:rsidRDefault="0015445D" w:rsidP="0015445D">
      <w:pPr>
        <w:jc w:val="center"/>
      </w:pPr>
    </w:p>
    <w:p w:rsidR="0015445D" w:rsidRDefault="0015445D" w:rsidP="0015445D">
      <w:pPr>
        <w:jc w:val="center"/>
      </w:pPr>
    </w:p>
    <w:p w:rsidR="0015445D" w:rsidRDefault="0015445D" w:rsidP="0015445D">
      <w:pPr>
        <w:jc w:val="center"/>
      </w:pPr>
    </w:p>
    <w:p w:rsidR="00D568BC" w:rsidRDefault="00D568BC" w:rsidP="0015445D">
      <w:pPr>
        <w:jc w:val="center"/>
      </w:pPr>
    </w:p>
    <w:p w:rsidR="0015445D" w:rsidRDefault="0015445D" w:rsidP="0015445D">
      <w:pPr>
        <w:jc w:val="center"/>
      </w:pPr>
    </w:p>
    <w:p w:rsidR="0015445D" w:rsidRDefault="0015445D" w:rsidP="0015445D">
      <w:pPr>
        <w:jc w:val="center"/>
      </w:pPr>
    </w:p>
    <w:p w:rsidR="0015445D" w:rsidRPr="00301597" w:rsidRDefault="0015445D" w:rsidP="0015445D">
      <w:pPr>
        <w:spacing w:line="480" w:lineRule="auto"/>
      </w:pPr>
      <w:r w:rsidRPr="00301597">
        <w:t>Keywords: Firm Capabilities; First Mover Advantages; New Market Entry; Strategy Dynamics</w:t>
      </w:r>
      <w:r>
        <w:t>; Speed</w:t>
      </w:r>
      <w:r w:rsidRPr="00301597">
        <w:t>; Project Management</w:t>
      </w:r>
    </w:p>
    <w:p w:rsidR="0015445D" w:rsidRPr="0003631A" w:rsidRDefault="00351361" w:rsidP="0015445D">
      <w:pPr>
        <w:spacing w:line="480" w:lineRule="auto"/>
        <w:jc w:val="both"/>
        <w:rPr>
          <w:b/>
        </w:rPr>
      </w:pPr>
      <w:r>
        <w:rPr>
          <w:b/>
        </w:rPr>
        <w:br w:type="column"/>
      </w:r>
      <w:r w:rsidR="0015445D">
        <w:rPr>
          <w:b/>
        </w:rPr>
        <w:lastRenderedPageBreak/>
        <w:t>ABSTRACT</w:t>
      </w:r>
    </w:p>
    <w:p w:rsidR="0015445D" w:rsidRPr="00301597" w:rsidRDefault="000B7CC9" w:rsidP="0015445D">
      <w:pPr>
        <w:spacing w:line="480" w:lineRule="auto"/>
        <w:jc w:val="both"/>
      </w:pPr>
      <w:r>
        <w:t xml:space="preserve">Entry timing benefits and costs typically vary with firms’ capabilities. </w:t>
      </w:r>
      <w:r w:rsidR="0015445D" w:rsidRPr="00301597">
        <w:t xml:space="preserve">In this study, we empirically examine the </w:t>
      </w:r>
      <w:r w:rsidR="00C2590A">
        <w:t>entry timing implications of</w:t>
      </w:r>
      <w:r>
        <w:t xml:space="preserve"> </w:t>
      </w:r>
      <w:r w:rsidR="0015445D">
        <w:t>firm</w:t>
      </w:r>
      <w:r w:rsidR="0015445D" w:rsidRPr="00301597">
        <w:t>s</w:t>
      </w:r>
      <w:r w:rsidR="0015445D">
        <w:t>’</w:t>
      </w:r>
      <w:r w:rsidR="0015445D" w:rsidRPr="00301597">
        <w:t xml:space="preserve"> intrinsic speed capabilities</w:t>
      </w:r>
      <w:r w:rsidR="00DE3831">
        <w:t>,</w:t>
      </w:r>
      <w:r w:rsidR="0015445D" w:rsidRPr="00301597">
        <w:t xml:space="preserve"> </w:t>
      </w:r>
      <w:r>
        <w:t>which</w:t>
      </w:r>
      <w:r w:rsidR="0015445D" w:rsidRPr="00301597">
        <w:t xml:space="preserve"> refer to </w:t>
      </w:r>
      <w:r>
        <w:t>the</w:t>
      </w:r>
      <w:r w:rsidR="0015445D">
        <w:t xml:space="preserve"> </w:t>
      </w:r>
      <w:r w:rsidR="0015445D" w:rsidRPr="00301597">
        <w:t xml:space="preserve">ability to </w:t>
      </w:r>
      <w:r w:rsidR="0015445D">
        <w:t xml:space="preserve">execute </w:t>
      </w:r>
      <w:r w:rsidR="00351361">
        <w:t xml:space="preserve">investment projects </w:t>
      </w:r>
      <w:r w:rsidR="0015445D">
        <w:t>faster than competitors</w:t>
      </w:r>
      <w:r w:rsidR="0015445D" w:rsidRPr="00301597">
        <w:t xml:space="preserve">. </w:t>
      </w:r>
      <w:r w:rsidR="0079585A" w:rsidRPr="00CB752B">
        <w:t>We hypothesize that firms with intrinsic speed capabilities face low preemption risks and, thus, can afford to wait longer for uncertainty resolution before deciding to enter new markets</w:t>
      </w:r>
      <w:r w:rsidR="0079585A">
        <w:t xml:space="preserve">. </w:t>
      </w:r>
      <w:r w:rsidR="0015445D" w:rsidRPr="00301597">
        <w:t xml:space="preserve">This </w:t>
      </w:r>
      <w:r w:rsidR="0015445D">
        <w:t>hypothesis</w:t>
      </w:r>
      <w:r w:rsidR="0015445D" w:rsidRPr="00301597">
        <w:t xml:space="preserve"> is more </w:t>
      </w:r>
      <w:r w:rsidR="0015445D">
        <w:t xml:space="preserve">applicable </w:t>
      </w:r>
      <w:r w:rsidR="0015445D" w:rsidRPr="00301597">
        <w:t>when investment is associated with high</w:t>
      </w:r>
      <w:r w:rsidR="0015445D">
        <w:t>er</w:t>
      </w:r>
      <w:r w:rsidR="0015445D" w:rsidRPr="00301597">
        <w:t xml:space="preserve"> levels of commitment and thus greater option value of waiting. </w:t>
      </w:r>
      <w:r w:rsidR="0079585A">
        <w:t xml:space="preserve">A direct implication is </w:t>
      </w:r>
      <w:r w:rsidR="00351361">
        <w:t xml:space="preserve">that </w:t>
      </w:r>
      <w:r w:rsidR="0015445D" w:rsidRPr="00301597">
        <w:t xml:space="preserve">late entrants with intrinsic speed capabilities </w:t>
      </w:r>
      <w:r w:rsidR="0015445D">
        <w:t xml:space="preserve">should </w:t>
      </w:r>
      <w:r w:rsidR="0015445D" w:rsidRPr="00301597">
        <w:t>have gr</w:t>
      </w:r>
      <w:r w:rsidR="0015445D">
        <w:t>eater expected post-</w:t>
      </w:r>
      <w:r w:rsidR="0015445D" w:rsidRPr="00301597">
        <w:t xml:space="preserve">entry performance. We find support for these </w:t>
      </w:r>
      <w:r w:rsidR="0015445D">
        <w:t>hypotheses</w:t>
      </w:r>
      <w:r w:rsidR="0015445D" w:rsidRPr="00301597">
        <w:t xml:space="preserve"> in the Atlantic Basin liquefied natural gas (LNG) industry from 1996 to 2007. </w:t>
      </w:r>
    </w:p>
    <w:p w:rsidR="0015445D" w:rsidRPr="00301597" w:rsidRDefault="0015445D" w:rsidP="0015445D">
      <w:pPr>
        <w:jc w:val="center"/>
      </w:pPr>
    </w:p>
    <w:p w:rsidR="0015445D" w:rsidRDefault="0015445D" w:rsidP="0015445D">
      <w:pPr>
        <w:jc w:val="center"/>
      </w:pPr>
    </w:p>
    <w:p w:rsidR="0015445D" w:rsidRPr="00301597" w:rsidRDefault="0015445D" w:rsidP="0015445D">
      <w:pPr>
        <w:jc w:val="center"/>
      </w:pPr>
    </w:p>
    <w:p w:rsidR="0015445D" w:rsidRPr="00301597" w:rsidRDefault="0015445D" w:rsidP="0015445D">
      <w:pPr>
        <w:jc w:val="center"/>
      </w:pPr>
    </w:p>
    <w:p w:rsidR="0015445D" w:rsidRPr="00301597" w:rsidRDefault="0015445D" w:rsidP="0015445D">
      <w:pPr>
        <w:jc w:val="center"/>
      </w:pPr>
    </w:p>
    <w:p w:rsidR="0015445D" w:rsidRPr="00301597" w:rsidRDefault="0015445D" w:rsidP="0015445D">
      <w:pPr>
        <w:jc w:val="center"/>
      </w:pPr>
    </w:p>
    <w:p w:rsidR="0015445D" w:rsidRDefault="0015445D" w:rsidP="0015445D">
      <w:pPr>
        <w:jc w:val="center"/>
      </w:pPr>
    </w:p>
    <w:p w:rsidR="0015445D" w:rsidRDefault="0015445D" w:rsidP="0015445D">
      <w:pPr>
        <w:jc w:val="center"/>
      </w:pPr>
    </w:p>
    <w:p w:rsidR="0015445D" w:rsidRDefault="0015445D" w:rsidP="0015445D">
      <w:pPr>
        <w:jc w:val="center"/>
      </w:pPr>
    </w:p>
    <w:p w:rsidR="0015445D" w:rsidRDefault="0015445D" w:rsidP="0015445D">
      <w:pPr>
        <w:jc w:val="center"/>
      </w:pPr>
    </w:p>
    <w:p w:rsidR="0015445D" w:rsidRDefault="0015445D" w:rsidP="0015445D">
      <w:pPr>
        <w:jc w:val="center"/>
      </w:pPr>
    </w:p>
    <w:p w:rsidR="0015445D" w:rsidRDefault="0015445D" w:rsidP="0015445D">
      <w:pPr>
        <w:jc w:val="center"/>
      </w:pPr>
    </w:p>
    <w:p w:rsidR="0015445D" w:rsidRDefault="0015445D" w:rsidP="0015445D">
      <w:pPr>
        <w:jc w:val="center"/>
      </w:pPr>
    </w:p>
    <w:p w:rsidR="00212CC2" w:rsidRDefault="00212CC2">
      <w:pPr>
        <w:spacing w:after="200" w:line="276" w:lineRule="auto"/>
      </w:pPr>
      <w:r>
        <w:br w:type="page"/>
      </w:r>
    </w:p>
    <w:p w:rsidR="0015445D" w:rsidRPr="00857F78" w:rsidRDefault="0015445D" w:rsidP="0015445D">
      <w:pPr>
        <w:spacing w:line="480" w:lineRule="auto"/>
        <w:jc w:val="both"/>
        <w:rPr>
          <w:b/>
        </w:rPr>
      </w:pPr>
      <w:r>
        <w:rPr>
          <w:b/>
        </w:rPr>
        <w:lastRenderedPageBreak/>
        <w:t>INTRODUCTION</w:t>
      </w:r>
    </w:p>
    <w:p w:rsidR="0015445D" w:rsidRPr="00410822" w:rsidRDefault="0015445D" w:rsidP="0015445D">
      <w:pPr>
        <w:spacing w:line="480" w:lineRule="auto"/>
      </w:pPr>
      <w:r w:rsidRPr="00410822">
        <w:t xml:space="preserve">Firms face a complex </w:t>
      </w:r>
      <w:r>
        <w:t>problem</w:t>
      </w:r>
      <w:r w:rsidRPr="00410822">
        <w:t xml:space="preserve"> in deciding when to enter a new </w:t>
      </w:r>
      <w:r>
        <w:t>submarket in an industry</w:t>
      </w:r>
      <w:r w:rsidRPr="00410822">
        <w:t xml:space="preserve">. First, market entry is a </w:t>
      </w:r>
      <w:r>
        <w:t>time-</w:t>
      </w:r>
      <w:r w:rsidRPr="00410822">
        <w:t>consuming process; in industries requiri</w:t>
      </w:r>
      <w:r>
        <w:t>ng large capital investment such as</w:t>
      </w:r>
      <w:r w:rsidRPr="00410822">
        <w:t xml:space="preserve"> aircraft manufacturing, semiconductors, or chemicals, the development of new </w:t>
      </w:r>
      <w:r>
        <w:t xml:space="preserve">productive </w:t>
      </w:r>
      <w:r w:rsidRPr="00410822">
        <w:t>facilities for entry can take many years (</w:t>
      </w:r>
      <w:proofErr w:type="spellStart"/>
      <w:r w:rsidRPr="00410822">
        <w:t>Koeva</w:t>
      </w:r>
      <w:proofErr w:type="spellEnd"/>
      <w:r w:rsidRPr="00410822">
        <w:t xml:space="preserve">, 2000; Pacheco-de-Almeida, Henderson and Cool 2008; Salomon and Martin 2008). Given the time gap between </w:t>
      </w:r>
      <w:r>
        <w:t>the decision</w:t>
      </w:r>
      <w:r w:rsidRPr="00410822">
        <w:t xml:space="preserve"> to enter </w:t>
      </w:r>
      <w:r>
        <w:t xml:space="preserve">a market </w:t>
      </w:r>
      <w:r w:rsidRPr="00410822">
        <w:t>and the completion of entry, a firm must evaluate how fast it can complete the entry process and then decide when to commence entry. Second, firms must weigh the opposing incentives involved in the timing of entry</w:t>
      </w:r>
      <w:r>
        <w:t xml:space="preserve"> – the </w:t>
      </w:r>
      <w:r w:rsidRPr="00410822">
        <w:t xml:space="preserve">tradeoff between early </w:t>
      </w:r>
      <w:proofErr w:type="gramStart"/>
      <w:r w:rsidRPr="00410822">
        <w:t>commitment</w:t>
      </w:r>
      <w:proofErr w:type="gramEnd"/>
      <w:r w:rsidRPr="00410822">
        <w:t xml:space="preserve"> versus flexibility in a new market opportunity. An early entrant faces less competition but may make costly mistakes due to a lack of </w:t>
      </w:r>
      <w:r>
        <w:t xml:space="preserve">information and </w:t>
      </w:r>
      <w:r w:rsidRPr="00410822">
        <w:t xml:space="preserve">learning opportunities, whereas late entrants can </w:t>
      </w:r>
      <w:r w:rsidR="006C0C6F">
        <w:t xml:space="preserve">benefit from </w:t>
      </w:r>
      <w:r>
        <w:t xml:space="preserve">information revelation and learning opportunities </w:t>
      </w:r>
      <w:r w:rsidRPr="00410822">
        <w:t xml:space="preserve">but may face higher preemption costs </w:t>
      </w:r>
      <w:r>
        <w:t>(</w:t>
      </w:r>
      <w:r w:rsidRPr="00410822">
        <w:t xml:space="preserve">Lieberman and Montgomery, 1988; 1998; </w:t>
      </w:r>
      <w:proofErr w:type="spellStart"/>
      <w:r w:rsidRPr="00410822">
        <w:t>Ghemawat</w:t>
      </w:r>
      <w:proofErr w:type="spellEnd"/>
      <w:r>
        <w:t xml:space="preserve"> 1991; </w:t>
      </w:r>
      <w:proofErr w:type="spellStart"/>
      <w:r>
        <w:t>Pindyck</w:t>
      </w:r>
      <w:proofErr w:type="spellEnd"/>
      <w:r>
        <w:t xml:space="preserve"> 1991; Dixit 1992; Mitchell, Shaver and Yeung 1994; Shaver, Mitchell and Yeung 1997</w:t>
      </w:r>
      <w:r w:rsidRPr="00410822">
        <w:t>).</w:t>
      </w:r>
      <w:r w:rsidR="009D3624">
        <w:t xml:space="preserve"> </w:t>
      </w:r>
      <w:r w:rsidR="00DF2472">
        <w:t xml:space="preserve"> </w:t>
      </w:r>
      <w:r w:rsidR="00A753C4">
        <w:t>T</w:t>
      </w:r>
      <w:r w:rsidRPr="00410822">
        <w:t>he resolution of this classic tradeoff and</w:t>
      </w:r>
      <w:r>
        <w:t>,</w:t>
      </w:r>
      <w:r w:rsidRPr="00410822">
        <w:t xml:space="preserve"> thus</w:t>
      </w:r>
      <w:r>
        <w:t>,</w:t>
      </w:r>
      <w:r w:rsidRPr="00410822">
        <w:t xml:space="preserve"> </w:t>
      </w:r>
      <w:r w:rsidR="00DF2472">
        <w:t xml:space="preserve">firms’ </w:t>
      </w:r>
      <w:r w:rsidRPr="00410822">
        <w:t>entry timing is clearly affected by a firm’s ability to complete the entry process speedily.</w:t>
      </w:r>
    </w:p>
    <w:p w:rsidR="0015445D" w:rsidRPr="00410822" w:rsidRDefault="0015445D" w:rsidP="0015445D">
      <w:pPr>
        <w:spacing w:line="480" w:lineRule="auto"/>
        <w:ind w:firstLine="720"/>
      </w:pPr>
      <w:r w:rsidRPr="00410822">
        <w:t>This paper focuses on the influence of firms</w:t>
      </w:r>
      <w:r>
        <w:t>’</w:t>
      </w:r>
      <w:r w:rsidRPr="00410822">
        <w:t xml:space="preserve"> </w:t>
      </w:r>
      <w:r w:rsidR="00810F3D">
        <w:t xml:space="preserve">intrinsic </w:t>
      </w:r>
      <w:r w:rsidRPr="00410822">
        <w:t xml:space="preserve">speed capabilities </w:t>
      </w:r>
      <w:r>
        <w:t>on</w:t>
      </w:r>
      <w:r w:rsidRPr="00410822">
        <w:t xml:space="preserve"> market entry decisions and the </w:t>
      </w:r>
      <w:r>
        <w:t xml:space="preserve">resulting </w:t>
      </w:r>
      <w:r w:rsidRPr="00410822">
        <w:t>entry performance</w:t>
      </w:r>
      <w:r>
        <w:t xml:space="preserve"> implications</w:t>
      </w:r>
      <w:r w:rsidRPr="00410822">
        <w:t xml:space="preserve">. By </w:t>
      </w:r>
      <w:r w:rsidRPr="008842C0">
        <w:rPr>
          <w:i/>
        </w:rPr>
        <w:t>intrinsic speed capabilities</w:t>
      </w:r>
      <w:r w:rsidRPr="00410822">
        <w:t xml:space="preserve"> </w:t>
      </w:r>
      <w:r>
        <w:t>we mean firm</w:t>
      </w:r>
      <w:r w:rsidRPr="00410822">
        <w:t>s</w:t>
      </w:r>
      <w:r>
        <w:t>’</w:t>
      </w:r>
      <w:r w:rsidRPr="00410822">
        <w:t xml:space="preserve"> </w:t>
      </w:r>
      <w:r>
        <w:t xml:space="preserve">ability to execute </w:t>
      </w:r>
      <w:r w:rsidRPr="00410822">
        <w:t>investment project</w:t>
      </w:r>
      <w:r>
        <w:t>s</w:t>
      </w:r>
      <w:r w:rsidRPr="00410822">
        <w:t xml:space="preserve"> faster than competitors at the same cost.</w:t>
      </w:r>
      <w:r w:rsidRPr="00301597">
        <w:t xml:space="preserve"> </w:t>
      </w:r>
      <w:r w:rsidRPr="00410822">
        <w:t xml:space="preserve">Our basic premise is that firms with greater intrinsic speed capabilities face a lower risk of preemption because they can complete the market entry process faster than competitors. These firms can therefore afford to wait longer for uncertainty resolution before entering new markets than slower firms. This relationship will be more </w:t>
      </w:r>
      <w:r>
        <w:t>likely</w:t>
      </w:r>
      <w:r w:rsidRPr="00410822">
        <w:t xml:space="preserve"> when investment is associated with </w:t>
      </w:r>
      <w:r w:rsidRPr="00410822">
        <w:lastRenderedPageBreak/>
        <w:t xml:space="preserve">higher levels of commitment due to the greater option value of delaying entry to collect additional information. An immediate implication is that firms with greater speed capabilities will have higher expected entry performance. We empirically examine the validity of these ideas using the entry timing and performance of firms entering the new market opportunity of the Atlantic Basin liquefied natural gas (LNG) industry from 1996-2007. </w:t>
      </w:r>
    </w:p>
    <w:p w:rsidR="0015445D" w:rsidRPr="00410822" w:rsidRDefault="0015445D" w:rsidP="0015445D">
      <w:pPr>
        <w:spacing w:line="480" w:lineRule="auto"/>
        <w:ind w:firstLine="720"/>
      </w:pPr>
      <w:r w:rsidRPr="00410822">
        <w:t xml:space="preserve">LNG is an important area of the oil and gas industry with explosive growth over the last decade. The rise of natural gas prices and a new approach to the LNG business model in the Atlantic Basin has resulted in a boom in Atlantic Basin LNG investment, creating an appropriate setting to study differences in entry decisions into a new market opportunity. Our </w:t>
      </w:r>
      <w:r>
        <w:t xml:space="preserve">empirical context </w:t>
      </w:r>
      <w:r w:rsidRPr="00410822">
        <w:t xml:space="preserve">has several desirable features: (i) </w:t>
      </w:r>
      <w:r w:rsidR="00114752">
        <w:t xml:space="preserve">since </w:t>
      </w:r>
      <w:r w:rsidRPr="00410822">
        <w:t>the industry relies on a standardized technology, entry is not constrained by proprietary technology; (ii) yet, the entry process in the industry is time consuming</w:t>
      </w:r>
      <w:r>
        <w:t xml:space="preserve"> and </w:t>
      </w:r>
      <w:r w:rsidR="00C0678D">
        <w:t xml:space="preserve">often </w:t>
      </w:r>
      <w:r>
        <w:t xml:space="preserve">requires substantial </w:t>
      </w:r>
      <w:r w:rsidR="00C53E51">
        <w:t xml:space="preserve">irreversible </w:t>
      </w:r>
      <w:r>
        <w:t>investment</w:t>
      </w:r>
      <w:r w:rsidRPr="00410822">
        <w:t>; (iii) there exists substantial variation in speed capabilities across entrants in the industry; (iv) the industry has genuine learning opportunities and preemptiv</w:t>
      </w:r>
      <w:r>
        <w:t>e risks associated with delayed</w:t>
      </w:r>
      <w:r w:rsidRPr="00410822">
        <w:t xml:space="preserve"> entry; (v) the market allows a</w:t>
      </w:r>
      <w:r>
        <w:t xml:space="preserve"> clear ex-</w:t>
      </w:r>
      <w:r w:rsidRPr="00410822">
        <w:t xml:space="preserve">post </w:t>
      </w:r>
      <w:r>
        <w:t>identification of a risky early-</w:t>
      </w:r>
      <w:r w:rsidRPr="00410822">
        <w:t>entry p</w:t>
      </w:r>
      <w:r>
        <w:t>eriod and a less uncertain late-</w:t>
      </w:r>
      <w:r w:rsidRPr="00410822">
        <w:t>entry period which suits our empirical purpose; and</w:t>
      </w:r>
      <w:r w:rsidR="009B7DFF">
        <w:t>,</w:t>
      </w:r>
      <w:r w:rsidRPr="00410822">
        <w:t xml:space="preserve"> finally</w:t>
      </w:r>
      <w:r w:rsidR="009B7DFF">
        <w:t>,</w:t>
      </w:r>
      <w:r w:rsidRPr="00410822">
        <w:t xml:space="preserve"> (vi) data on entry into LNG is </w:t>
      </w:r>
      <w:r>
        <w:t xml:space="preserve">publicly </w:t>
      </w:r>
      <w:r w:rsidRPr="00410822">
        <w:t xml:space="preserve">available. </w:t>
      </w:r>
    </w:p>
    <w:p w:rsidR="0015445D" w:rsidRPr="00410822" w:rsidRDefault="0015445D" w:rsidP="0015445D">
      <w:pPr>
        <w:keepNext/>
        <w:spacing w:line="480" w:lineRule="auto"/>
        <w:rPr>
          <w:b/>
        </w:rPr>
      </w:pPr>
      <w:r w:rsidRPr="00410822">
        <w:rPr>
          <w:b/>
        </w:rPr>
        <w:t>LITERATURE REVIEW</w:t>
      </w:r>
    </w:p>
    <w:p w:rsidR="0015445D" w:rsidRPr="00410822" w:rsidRDefault="0015445D" w:rsidP="0015445D">
      <w:pPr>
        <w:spacing w:line="480" w:lineRule="auto"/>
        <w:rPr>
          <w:b/>
        </w:rPr>
      </w:pPr>
      <w:r w:rsidRPr="00410822">
        <w:rPr>
          <w:b/>
        </w:rPr>
        <w:t>The Entry Timing Decision</w:t>
      </w:r>
    </w:p>
    <w:p w:rsidR="0015445D" w:rsidRPr="00410822" w:rsidRDefault="0015445D" w:rsidP="0015445D">
      <w:pPr>
        <w:spacing w:line="480" w:lineRule="auto"/>
      </w:pPr>
      <w:r w:rsidRPr="00410822">
        <w:t xml:space="preserve">Businesses entering a new market must conduct a multitude of tasks. Entrants must choose a site, coordinate construction of </w:t>
      </w:r>
      <w:proofErr w:type="gramStart"/>
      <w:r w:rsidRPr="00410822">
        <w:t>facilities,</w:t>
      </w:r>
      <w:proofErr w:type="gramEnd"/>
      <w:r w:rsidRPr="00410822">
        <w:t xml:space="preserve"> source needed inputs, hire workers, set up logistic networks, and gain an understanding of the idiosyncrasies of local consumers. Firms ideally would like to begin this entry process </w:t>
      </w:r>
      <w:r w:rsidR="00D1713D">
        <w:t xml:space="preserve">early </w:t>
      </w:r>
      <w:r w:rsidRPr="00410822">
        <w:t xml:space="preserve">to </w:t>
      </w:r>
      <w:r w:rsidR="00D1713D">
        <w:t xml:space="preserve">capture </w:t>
      </w:r>
      <w:r w:rsidRPr="00410822">
        <w:t xml:space="preserve">revenue streams sooner. However, the decision is </w:t>
      </w:r>
      <w:r w:rsidRPr="00410822">
        <w:lastRenderedPageBreak/>
        <w:t>complicated by the uncertainty inherently associated with a new market and by competition from other entrants. Accordingly, the incentives associated with the timing of entry vary due to two broad classes of factors: (1) learning, and (2) preemption.</w:t>
      </w:r>
    </w:p>
    <w:p w:rsidR="0015445D" w:rsidRPr="00410822" w:rsidRDefault="008110E6" w:rsidP="0015445D">
      <w:pPr>
        <w:spacing w:line="480" w:lineRule="auto"/>
        <w:ind w:firstLine="720"/>
      </w:pPr>
      <w:r>
        <w:t>T</w:t>
      </w:r>
      <w:r w:rsidR="0015445D" w:rsidRPr="00410822">
        <w:t xml:space="preserve">he incentives to delay entry stem from </w:t>
      </w:r>
      <w:r w:rsidR="0015445D">
        <w:t xml:space="preserve">scant information and limited </w:t>
      </w:r>
      <w:r w:rsidR="0015445D" w:rsidRPr="00410822">
        <w:t xml:space="preserve">learning opportunities. The very early entrants face a </w:t>
      </w:r>
      <w:r w:rsidR="0015445D">
        <w:t xml:space="preserve">market that may yet to be fully developed and a </w:t>
      </w:r>
      <w:r w:rsidR="0015445D" w:rsidRPr="00410822">
        <w:t xml:space="preserve">lack of examples to follow. With </w:t>
      </w:r>
      <w:r w:rsidR="0015445D">
        <w:t xml:space="preserve">limited information and </w:t>
      </w:r>
      <w:r w:rsidR="00D1713D">
        <w:t>precedents</w:t>
      </w:r>
      <w:r w:rsidR="0015445D" w:rsidRPr="00410822">
        <w:t>, pioneers must make decisions related to the process of entry with</w:t>
      </w:r>
      <w:r w:rsidR="0015445D">
        <w:t xml:space="preserve"> high uncertainty in market conditions and in operational effectiveness.</w:t>
      </w:r>
      <w:r w:rsidR="0015445D" w:rsidRPr="00410822">
        <w:t xml:space="preserve"> As a consequence, the very early entrants face</w:t>
      </w:r>
      <w:r w:rsidR="00A17EEF">
        <w:t xml:space="preserve"> a high </w:t>
      </w:r>
      <w:r w:rsidR="0015445D" w:rsidRPr="00410822">
        <w:t xml:space="preserve">probability of making irreversible and costly mistakes in choosing production sites, ramping up production facilities, sourcing inputs and workers, and other irreversible decisions in establishing operations (Glazer 1985; Lieberman and Montgomery 1988, 1998; </w:t>
      </w:r>
      <w:r w:rsidR="0015445D">
        <w:t xml:space="preserve">Mitchell 1989, </w:t>
      </w:r>
      <w:r w:rsidR="0015445D" w:rsidRPr="00410822">
        <w:t>1991; Mitchell, Shaver and Yeung 1994). These mistakes</w:t>
      </w:r>
      <w:r w:rsidR="0015445D">
        <w:t xml:space="preserve"> may result in </w:t>
      </w:r>
      <w:r w:rsidR="00D1713D">
        <w:t xml:space="preserve">non-competitive positioning, </w:t>
      </w:r>
      <w:r w:rsidR="0015445D" w:rsidRPr="00410822">
        <w:t>high operating costs</w:t>
      </w:r>
      <w:r w:rsidR="00D1713D">
        <w:t xml:space="preserve"> and </w:t>
      </w:r>
      <w:r w:rsidR="0015445D" w:rsidRPr="00410822">
        <w:t>low</w:t>
      </w:r>
      <w:r w:rsidR="00D1713D">
        <w:t xml:space="preserve"> </w:t>
      </w:r>
      <w:r w:rsidR="0015445D" w:rsidRPr="00410822">
        <w:t>sales opportunities</w:t>
      </w:r>
      <w:r w:rsidR="004B3B7F">
        <w:t xml:space="preserve"> which often lead </w:t>
      </w:r>
      <w:r w:rsidR="0015445D" w:rsidRPr="00410822">
        <w:t xml:space="preserve">to failures as reported in Mitchell, Shaver and Yeung (1992). </w:t>
      </w:r>
      <w:r w:rsidR="00F4515E">
        <w:t>In contrast</w:t>
      </w:r>
      <w:r w:rsidR="00D1713D">
        <w:t>, l</w:t>
      </w:r>
      <w:r w:rsidR="0015445D" w:rsidRPr="00410822">
        <w:t>ater entrants</w:t>
      </w:r>
      <w:r w:rsidR="00D1713D">
        <w:t xml:space="preserve"> may </w:t>
      </w:r>
      <w:r w:rsidR="0015445D" w:rsidRPr="00410822">
        <w:t xml:space="preserve">benefit from waiting by collecting additional market and industry information as well as by </w:t>
      </w:r>
      <w:r w:rsidR="00FE427D">
        <w:t>learning from</w:t>
      </w:r>
      <w:r w:rsidR="0015445D" w:rsidRPr="00410822">
        <w:t xml:space="preserve"> the successes and failures of earlier entrants (Zimmerman 1982; </w:t>
      </w:r>
      <w:proofErr w:type="spellStart"/>
      <w:r w:rsidR="0015445D" w:rsidRPr="00410822">
        <w:t>Argote</w:t>
      </w:r>
      <w:proofErr w:type="spellEnd"/>
      <w:r w:rsidR="0015445D" w:rsidRPr="00410822">
        <w:t xml:space="preserve">, Beckman, and </w:t>
      </w:r>
      <w:proofErr w:type="spellStart"/>
      <w:r w:rsidR="0015445D" w:rsidRPr="00410822">
        <w:t>Epple</w:t>
      </w:r>
      <w:proofErr w:type="spellEnd"/>
      <w:r w:rsidR="0015445D" w:rsidRPr="00410822">
        <w:t xml:space="preserve"> 1990; </w:t>
      </w:r>
      <w:proofErr w:type="spellStart"/>
      <w:r w:rsidR="0015445D" w:rsidRPr="00410822">
        <w:t>Pindyck</w:t>
      </w:r>
      <w:proofErr w:type="spellEnd"/>
      <w:r w:rsidR="0015445D" w:rsidRPr="00410822">
        <w:t xml:space="preserve"> 1991; Dixit 1992</w:t>
      </w:r>
      <w:r w:rsidR="0015445D">
        <w:t>;</w:t>
      </w:r>
      <w:r w:rsidR="0015445D" w:rsidRPr="005A51F8">
        <w:t xml:space="preserve"> </w:t>
      </w:r>
      <w:r w:rsidR="0015445D" w:rsidRPr="00410822">
        <w:t xml:space="preserve">Mitchell </w:t>
      </w:r>
      <w:r w:rsidR="0015445D" w:rsidRPr="009B44FA">
        <w:rPr>
          <w:i/>
        </w:rPr>
        <w:t>et al.</w:t>
      </w:r>
      <w:r w:rsidR="0015445D">
        <w:t>,</w:t>
      </w:r>
      <w:r w:rsidR="0015445D" w:rsidRPr="00410822">
        <w:t xml:space="preserve"> 1994; Ingram and Baum 1997; Shaver </w:t>
      </w:r>
      <w:r w:rsidR="0015445D" w:rsidRPr="009B44FA">
        <w:rPr>
          <w:i/>
        </w:rPr>
        <w:t>et al.</w:t>
      </w:r>
      <w:r w:rsidR="0015445D">
        <w:t>,</w:t>
      </w:r>
      <w:r w:rsidR="0015445D" w:rsidRPr="00410822">
        <w:t xml:space="preserve"> 1997; </w:t>
      </w:r>
      <w:r w:rsidR="0015445D">
        <w:t>Kim and Miner 2007</w:t>
      </w:r>
      <w:r w:rsidR="0015445D" w:rsidRPr="00410822">
        <w:t xml:space="preserve">). </w:t>
      </w:r>
      <w:r w:rsidR="00B308C3">
        <w:t>Thus</w:t>
      </w:r>
      <w:r w:rsidR="0015445D" w:rsidRPr="00410822">
        <w:t xml:space="preserve">, later entrants may be able to make more informed decisions about when to commence entry and how to execute the entry process. </w:t>
      </w:r>
    </w:p>
    <w:p w:rsidR="008110E6" w:rsidRPr="0083512F" w:rsidRDefault="008110E6" w:rsidP="005E6226">
      <w:pPr>
        <w:spacing w:line="480" w:lineRule="auto"/>
        <w:ind w:firstLine="720"/>
      </w:pPr>
      <w:r>
        <w:t>C</w:t>
      </w:r>
      <w:r w:rsidR="0015445D" w:rsidRPr="00410822">
        <w:t xml:space="preserve">ountering the learning benefits in delayed entry </w:t>
      </w:r>
      <w:r w:rsidR="0015445D">
        <w:t>are</w:t>
      </w:r>
      <w:r w:rsidR="0015445D" w:rsidRPr="00410822">
        <w:t xml:space="preserve"> market preemptive pressures. Late entrants are likely to face difficulties in ramping up operations and executing the critical tasks that are part of market entry due to the presence of entrenched competitors in the market (Mitchell, Shaver and Yeung 1994; </w:t>
      </w:r>
      <w:proofErr w:type="spellStart"/>
      <w:r w:rsidR="0015445D" w:rsidRPr="00410822">
        <w:t>Ghemawat</w:t>
      </w:r>
      <w:proofErr w:type="spellEnd"/>
      <w:r w:rsidR="0015445D" w:rsidRPr="00410822">
        <w:t xml:space="preserve"> 1991; Lieberman and Montgomery 1988, 1998). </w:t>
      </w:r>
      <w:r w:rsidR="0015445D" w:rsidRPr="00410822">
        <w:lastRenderedPageBreak/>
        <w:t>For instance, in choosing a production site, late entrants may not be able to obtain prime locations because earlier entrants have possibl</w:t>
      </w:r>
      <w:r w:rsidR="0015445D">
        <w:t>y taken up</w:t>
      </w:r>
      <w:r w:rsidR="0015445D" w:rsidRPr="00410822">
        <w:t xml:space="preserve"> good sites. To hire workers, late entrants must pay higher wages to pry away workers from established competitors. To source </w:t>
      </w:r>
      <w:r w:rsidR="0015445D">
        <w:t xml:space="preserve">scarce </w:t>
      </w:r>
      <w:r w:rsidR="0015445D" w:rsidRPr="00410822">
        <w:t xml:space="preserve">inputs, late entrants must </w:t>
      </w:r>
      <w:r w:rsidR="0015445D">
        <w:t xml:space="preserve">outbid competitors to establish privileged partnerships with specific suppliers. </w:t>
      </w:r>
      <w:r w:rsidR="0015445D" w:rsidRPr="00410822">
        <w:t xml:space="preserve">To gain market share, late entrants must disrupt existing consumer-producer relationships, requiring the firm to compensate consumers with lower prices to overcome switching costs. These examples correspond to the late entry penalties associated with preempted scarce assets, consumer preferences and switching costs documented in the </w:t>
      </w:r>
      <w:r w:rsidR="007F3CD9" w:rsidRPr="00410822">
        <w:t>first</w:t>
      </w:r>
      <w:r w:rsidR="007F3CD9">
        <w:t>-</w:t>
      </w:r>
      <w:r w:rsidR="0015445D" w:rsidRPr="00410822">
        <w:t xml:space="preserve">mover advantages literature (Lieberman and Montgomery 1988, 1998). </w:t>
      </w:r>
    </w:p>
    <w:p w:rsidR="0015445D" w:rsidRPr="00410822" w:rsidRDefault="0015445D" w:rsidP="0015445D">
      <w:pPr>
        <w:spacing w:line="480" w:lineRule="auto"/>
        <w:rPr>
          <w:b/>
        </w:rPr>
      </w:pPr>
      <w:r w:rsidRPr="00410822">
        <w:rPr>
          <w:b/>
        </w:rPr>
        <w:t xml:space="preserve">The </w:t>
      </w:r>
      <w:proofErr w:type="spellStart"/>
      <w:r w:rsidRPr="00410822">
        <w:rPr>
          <w:b/>
        </w:rPr>
        <w:t>Endogeneity</w:t>
      </w:r>
      <w:proofErr w:type="spellEnd"/>
      <w:r w:rsidRPr="00410822">
        <w:rPr>
          <w:b/>
        </w:rPr>
        <w:t xml:space="preserve"> Problem</w:t>
      </w:r>
    </w:p>
    <w:p w:rsidR="0015445D" w:rsidRDefault="0015445D" w:rsidP="0015445D">
      <w:pPr>
        <w:spacing w:line="480" w:lineRule="auto"/>
      </w:pPr>
      <w:r w:rsidRPr="00410822">
        <w:t xml:space="preserve">Perhaps because of </w:t>
      </w:r>
      <w:r>
        <w:t>the complex tradeoff between the</w:t>
      </w:r>
      <w:r w:rsidRPr="00410822">
        <w:t xml:space="preserve"> ben</w:t>
      </w:r>
      <w:r>
        <w:t>efits and costs of early entry</w:t>
      </w:r>
      <w:r w:rsidRPr="00410822">
        <w:t xml:space="preserve">, the strategy literature has yet to provide a clear picture about </w:t>
      </w:r>
      <w:r>
        <w:t>the link between entry timing and subsequent performance</w:t>
      </w:r>
      <w:r w:rsidRPr="00410822">
        <w:t xml:space="preserve"> (</w:t>
      </w:r>
      <w:r>
        <w:t xml:space="preserve">see </w:t>
      </w:r>
      <w:r w:rsidRPr="00410822">
        <w:t xml:space="preserve">Franco, </w:t>
      </w:r>
      <w:proofErr w:type="spellStart"/>
      <w:r w:rsidRPr="00410822">
        <w:t>Sarkar</w:t>
      </w:r>
      <w:proofErr w:type="spellEnd"/>
      <w:r w:rsidRPr="00410822">
        <w:t>, Agarwal an</w:t>
      </w:r>
      <w:r>
        <w:t xml:space="preserve">d </w:t>
      </w:r>
      <w:proofErr w:type="spellStart"/>
      <w:r>
        <w:t>Echambadi</w:t>
      </w:r>
      <w:proofErr w:type="spellEnd"/>
      <w:r>
        <w:t xml:space="preserve">, 2009 and </w:t>
      </w:r>
      <w:r w:rsidRPr="00410822">
        <w:t>Finkelstein 2002</w:t>
      </w:r>
      <w:r w:rsidR="002205D4">
        <w:t>,</w:t>
      </w:r>
      <w:r>
        <w:t xml:space="preserve"> for recent reviews</w:t>
      </w:r>
      <w:r w:rsidRPr="00410822">
        <w:t xml:space="preserve">). While numerous papers have suggested </w:t>
      </w:r>
      <w:r>
        <w:t xml:space="preserve">that </w:t>
      </w:r>
      <w:r w:rsidRPr="00410822">
        <w:t>there are performance advantages of committing to early entry (</w:t>
      </w:r>
      <w:proofErr w:type="spellStart"/>
      <w:r w:rsidRPr="00410822">
        <w:t>Fudenberg</w:t>
      </w:r>
      <w:proofErr w:type="spellEnd"/>
      <w:r w:rsidRPr="00410822">
        <w:t xml:space="preserve"> and </w:t>
      </w:r>
      <w:proofErr w:type="spellStart"/>
      <w:r w:rsidRPr="00410822">
        <w:t>Tirole</w:t>
      </w:r>
      <w:proofErr w:type="spellEnd"/>
      <w:r w:rsidRPr="00410822">
        <w:t xml:space="preserve"> 1983, </w:t>
      </w:r>
      <w:proofErr w:type="spellStart"/>
      <w:r w:rsidRPr="00410822">
        <w:t>Ghemawat</w:t>
      </w:r>
      <w:proofErr w:type="spellEnd"/>
      <w:r w:rsidRPr="00410822">
        <w:t xml:space="preserve"> 1991, Spence 1979), other papers have emphasized performance advantages for maintaining flexibility and entering later (</w:t>
      </w:r>
      <w:proofErr w:type="spellStart"/>
      <w:r w:rsidRPr="00410822">
        <w:t>Kulatilaka</w:t>
      </w:r>
      <w:proofErr w:type="spellEnd"/>
      <w:r w:rsidRPr="00410822">
        <w:t xml:space="preserve"> and </w:t>
      </w:r>
      <w:proofErr w:type="spellStart"/>
      <w:r w:rsidRPr="00410822">
        <w:t>Perotti</w:t>
      </w:r>
      <w:proofErr w:type="spellEnd"/>
      <w:r w:rsidRPr="00410822">
        <w:t xml:space="preserve"> 1998; McGrath 1997, 1999; </w:t>
      </w:r>
      <w:proofErr w:type="spellStart"/>
      <w:r w:rsidRPr="00410822">
        <w:t>Luehrman</w:t>
      </w:r>
      <w:proofErr w:type="spellEnd"/>
      <w:r w:rsidRPr="00410822">
        <w:t xml:space="preserve"> 1998</w:t>
      </w:r>
      <w:r w:rsidR="00393125">
        <w:t>)</w:t>
      </w:r>
      <w:r w:rsidRPr="00410822">
        <w:t xml:space="preserve">. </w:t>
      </w:r>
    </w:p>
    <w:p w:rsidR="0015445D" w:rsidRPr="00410822" w:rsidRDefault="0015445D" w:rsidP="0015445D">
      <w:pPr>
        <w:spacing w:line="480" w:lineRule="auto"/>
        <w:ind w:firstLine="720"/>
      </w:pPr>
      <w:r w:rsidRPr="00410822">
        <w:t xml:space="preserve">Lieberman </w:t>
      </w:r>
      <w:r>
        <w:t>(2008) explains</w:t>
      </w:r>
      <w:r w:rsidRPr="00410822">
        <w:t xml:space="preserve"> this conundrum as follows: “One general conclusion from the literature is that the net benefits of early entry are contingent upon a variety of industry and firm-specific factors”…</w:t>
      </w:r>
      <w:proofErr w:type="gramStart"/>
      <w:r w:rsidRPr="00410822">
        <w:t>.[</w:t>
      </w:r>
      <w:proofErr w:type="gramEnd"/>
      <w:r w:rsidRPr="00410822">
        <w:t xml:space="preserve">and the advantages of early entry] are frequently offset by higher costs or risks faced by </w:t>
      </w:r>
      <w:r>
        <w:t>the pioneer” (p.</w:t>
      </w:r>
      <w:r w:rsidRPr="00410822">
        <w:t xml:space="preserve"> 5). Indeed, a natural way to advance our understanding of entry timing is to recognize </w:t>
      </w:r>
      <w:r>
        <w:t>the existence of firm-</w:t>
      </w:r>
      <w:r w:rsidRPr="00410822">
        <w:t>le</w:t>
      </w:r>
      <w:r>
        <w:t xml:space="preserve">vel heterogeneity. </w:t>
      </w:r>
      <w:r w:rsidRPr="00410822">
        <w:t xml:space="preserve">Shaver, Mitchell and Yeung </w:t>
      </w:r>
      <w:r w:rsidRPr="00410822">
        <w:lastRenderedPageBreak/>
        <w:t>(1997)</w:t>
      </w:r>
      <w:r>
        <w:t xml:space="preserve">, for example, </w:t>
      </w:r>
      <w:r w:rsidRPr="00410822">
        <w:t>point</w:t>
      </w:r>
      <w:r>
        <w:t>ed</w:t>
      </w:r>
      <w:r w:rsidRPr="00410822">
        <w:t xml:space="preserve"> out that the learning be</w:t>
      </w:r>
      <w:r>
        <w:t xml:space="preserve">nefits appear to be higher in </w:t>
      </w:r>
      <w:r w:rsidRPr="00410822">
        <w:t xml:space="preserve">firms that have greater ability to understand information emitted from pioneers’ entry experiences. </w:t>
      </w:r>
    </w:p>
    <w:p w:rsidR="0015445D" w:rsidRPr="00410822" w:rsidRDefault="00315BAF" w:rsidP="0015445D">
      <w:pPr>
        <w:spacing w:line="480" w:lineRule="auto"/>
        <w:ind w:firstLine="720"/>
      </w:pPr>
      <w:r>
        <w:t>This firm-level heterogeneity in the costs and benefits of entry timing endogenously affects firms’ entry decisions</w:t>
      </w:r>
      <w:r w:rsidR="0015445D" w:rsidRPr="00410822">
        <w:t xml:space="preserve">. </w:t>
      </w:r>
      <w:r>
        <w:t>For example, if t</w:t>
      </w:r>
      <w:r w:rsidR="0015445D">
        <w:t xml:space="preserve">he net benefits of early </w:t>
      </w:r>
      <w:r>
        <w:t>versus</w:t>
      </w:r>
      <w:r w:rsidR="0015445D">
        <w:t xml:space="preserve"> late entry depend on firms’ capabilities</w:t>
      </w:r>
      <w:r>
        <w:t xml:space="preserve">, </w:t>
      </w:r>
      <w:r w:rsidR="0015445D" w:rsidRPr="00410822">
        <w:t xml:space="preserve">firms </w:t>
      </w:r>
      <w:r>
        <w:t xml:space="preserve">will </w:t>
      </w:r>
      <w:r w:rsidR="0015445D" w:rsidRPr="00410822">
        <w:t>strategically pick their entry timing to take advantage of their capabilities vis-à-vis other entrants</w:t>
      </w:r>
      <w:r w:rsidR="00510C2F">
        <w:t xml:space="preserve">. </w:t>
      </w:r>
      <w:r>
        <w:t>S</w:t>
      </w:r>
      <w:r w:rsidRPr="00410822">
        <w:t xml:space="preserve">ome </w:t>
      </w:r>
      <w:r w:rsidR="0015445D" w:rsidRPr="00410822">
        <w:t xml:space="preserve">firm capabilities may bestow advantages on an entrant during the early stages of a new market opportunity, whereas other capabilities may make later entry more favorable. </w:t>
      </w:r>
      <w:r>
        <w:t>This legitimate concern that firms’ entry timing decision is endogenous</w:t>
      </w:r>
      <w:r w:rsidR="00D3114D">
        <w:t xml:space="preserve"> </w:t>
      </w:r>
      <w:r>
        <w:t>is not entirely new.</w:t>
      </w:r>
      <w:r w:rsidR="0015445D" w:rsidRPr="00410822">
        <w:t xml:space="preserve"> </w:t>
      </w:r>
      <w:r w:rsidR="00D76A98">
        <w:t xml:space="preserve">Some researchers have started focusing on organizational factors, such as learning </w:t>
      </w:r>
      <w:proofErr w:type="gramStart"/>
      <w:r w:rsidR="00D76A98">
        <w:t>capabilities, that</w:t>
      </w:r>
      <w:proofErr w:type="gramEnd"/>
      <w:r w:rsidR="00D76A98">
        <w:t xml:space="preserve"> moderate the effect of entry timing on performance. Notable examples of this type of work that has explicitly discussed the </w:t>
      </w:r>
      <w:proofErr w:type="spellStart"/>
      <w:r w:rsidR="00D76A98">
        <w:t>endogeneity</w:t>
      </w:r>
      <w:proofErr w:type="spellEnd"/>
      <w:r w:rsidR="00D76A98">
        <w:t xml:space="preserve"> of entry timing include Mitchell (1991), Mitchell, Shaver, and Yeung (1994), Shaver, Mitchell and Yeung (1997), and Franco et al. (2009).</w:t>
      </w:r>
    </w:p>
    <w:p w:rsidR="00925509" w:rsidRDefault="00611429" w:rsidP="00905FF1">
      <w:pPr>
        <w:spacing w:line="480" w:lineRule="auto"/>
        <w:ind w:firstLine="720"/>
        <w:rPr>
          <w:b/>
        </w:rPr>
      </w:pPr>
      <w:r>
        <w:t>I</w:t>
      </w:r>
      <w:r w:rsidR="0015445D">
        <w:t>n this paper we focus on firms’ speed capabilities</w:t>
      </w:r>
      <w:r>
        <w:t xml:space="preserve">, an </w:t>
      </w:r>
      <w:r w:rsidR="0015445D" w:rsidRPr="00410822">
        <w:t xml:space="preserve">idea </w:t>
      </w:r>
      <w:r w:rsidR="00511AC3">
        <w:t>that</w:t>
      </w:r>
      <w:r w:rsidR="00511AC3" w:rsidRPr="00410822">
        <w:t xml:space="preserve"> </w:t>
      </w:r>
      <w:r w:rsidR="0015445D" w:rsidRPr="00410822">
        <w:t xml:space="preserve">has not been </w:t>
      </w:r>
      <w:r w:rsidR="0015445D">
        <w:t>studied</w:t>
      </w:r>
      <w:r w:rsidR="0015445D" w:rsidRPr="00410822">
        <w:t xml:space="preserve"> in the </w:t>
      </w:r>
      <w:r w:rsidR="0015445D">
        <w:t xml:space="preserve">empirical </w:t>
      </w:r>
      <w:r w:rsidR="0015445D" w:rsidRPr="00410822">
        <w:t xml:space="preserve">literature. </w:t>
      </w:r>
      <w:r>
        <w:t>Our basic point is that w</w:t>
      </w:r>
      <w:r w:rsidR="0015445D">
        <w:t>hen m</w:t>
      </w:r>
      <w:r w:rsidR="0015445D" w:rsidRPr="00410822">
        <w:t>arket</w:t>
      </w:r>
      <w:r w:rsidR="0015445D">
        <w:t xml:space="preserve"> entry is </w:t>
      </w:r>
      <w:r w:rsidR="0015445D" w:rsidRPr="00410822">
        <w:t>associated with large and lengthy project development, intrinsic speed capabilities critical</w:t>
      </w:r>
      <w:r>
        <w:t>ly</w:t>
      </w:r>
      <w:r w:rsidR="0015445D" w:rsidRPr="00410822">
        <w:t xml:space="preserve"> </w:t>
      </w:r>
      <w:r>
        <w:t xml:space="preserve">affect </w:t>
      </w:r>
      <w:r w:rsidR="0015445D" w:rsidRPr="00410822">
        <w:t xml:space="preserve">the choice of entry timing and subsequent entry performance. Several studies indicate that speed gives firms a competitive advantage (Stalk 1988; Stalk and </w:t>
      </w:r>
      <w:proofErr w:type="spellStart"/>
      <w:r w:rsidR="0015445D" w:rsidRPr="00410822">
        <w:t>Hout</w:t>
      </w:r>
      <w:proofErr w:type="spellEnd"/>
      <w:r w:rsidR="0015445D" w:rsidRPr="00410822">
        <w:t xml:space="preserve"> 1990; </w:t>
      </w:r>
      <w:proofErr w:type="spellStart"/>
      <w:r w:rsidR="0015445D" w:rsidRPr="00410822">
        <w:t>Teece</w:t>
      </w:r>
      <w:proofErr w:type="spellEnd"/>
      <w:r w:rsidR="0015445D" w:rsidRPr="00410822">
        <w:t xml:space="preserve"> 2007; </w:t>
      </w:r>
      <w:proofErr w:type="spellStart"/>
      <w:r w:rsidR="0015445D" w:rsidRPr="00410822">
        <w:t>Teece</w:t>
      </w:r>
      <w:proofErr w:type="spellEnd"/>
      <w:r w:rsidR="0015445D" w:rsidRPr="00410822">
        <w:t xml:space="preserve"> </w:t>
      </w:r>
      <w:r w:rsidR="0015445D" w:rsidRPr="009B44FA">
        <w:rPr>
          <w:i/>
        </w:rPr>
        <w:t>et al.</w:t>
      </w:r>
      <w:r w:rsidR="0015445D">
        <w:t>,</w:t>
      </w:r>
      <w:r w:rsidR="0015445D" w:rsidRPr="00410822">
        <w:t xml:space="preserve"> 1997; Barnett and Hansen 1996; </w:t>
      </w:r>
      <w:proofErr w:type="spellStart"/>
      <w:r w:rsidR="0015445D" w:rsidRPr="00410822">
        <w:t>Helfat</w:t>
      </w:r>
      <w:proofErr w:type="spellEnd"/>
      <w:r w:rsidR="0015445D" w:rsidRPr="00410822">
        <w:t xml:space="preserve"> </w:t>
      </w:r>
      <w:r w:rsidR="0015445D" w:rsidRPr="009B44FA">
        <w:rPr>
          <w:i/>
        </w:rPr>
        <w:t>et al.</w:t>
      </w:r>
      <w:r w:rsidR="0015445D">
        <w:t>,</w:t>
      </w:r>
      <w:r w:rsidR="0015445D" w:rsidRPr="00410822">
        <w:t xml:space="preserve"> 2007; Pacheco-de-Almeida, Hawk and Yeung 2010). Our work adds a new angle on the </w:t>
      </w:r>
      <w:r w:rsidR="0015445D">
        <w:t xml:space="preserve">nature and performance implications of such an </w:t>
      </w:r>
      <w:r w:rsidR="0015445D" w:rsidRPr="00410822">
        <w:t xml:space="preserve">advantage. </w:t>
      </w:r>
      <w:r w:rsidR="00465D7F">
        <w:t>Next, w</w:t>
      </w:r>
      <w:r w:rsidR="0015445D" w:rsidRPr="00410822">
        <w:t xml:space="preserve">e discuss </w:t>
      </w:r>
      <w:r w:rsidR="00F52C47" w:rsidRPr="00410822">
        <w:t>th</w:t>
      </w:r>
      <w:r w:rsidR="00F52C47">
        <w:t>is</w:t>
      </w:r>
      <w:r w:rsidR="00F52C47" w:rsidRPr="00410822">
        <w:t xml:space="preserve"> </w:t>
      </w:r>
      <w:r w:rsidR="0015445D" w:rsidRPr="00410822">
        <w:t>role of intrinsic speed capabilities in market entry timing decisions.</w:t>
      </w:r>
    </w:p>
    <w:p w:rsidR="0015445D" w:rsidRPr="00410822" w:rsidRDefault="0015445D" w:rsidP="0015445D">
      <w:pPr>
        <w:spacing w:line="480" w:lineRule="auto"/>
        <w:rPr>
          <w:b/>
        </w:rPr>
      </w:pPr>
      <w:r w:rsidRPr="00410822">
        <w:rPr>
          <w:b/>
        </w:rPr>
        <w:t>HYPOTHESES</w:t>
      </w:r>
    </w:p>
    <w:p w:rsidR="0015445D" w:rsidRPr="00410822" w:rsidRDefault="0015445D" w:rsidP="0015445D">
      <w:pPr>
        <w:spacing w:line="480" w:lineRule="auto"/>
      </w:pPr>
      <w:r w:rsidRPr="00410822">
        <w:lastRenderedPageBreak/>
        <w:t xml:space="preserve">By </w:t>
      </w:r>
      <w:r w:rsidRPr="008842C0">
        <w:rPr>
          <w:i/>
        </w:rPr>
        <w:t>intrinsic speed capabilities</w:t>
      </w:r>
      <w:r w:rsidRPr="00410822">
        <w:t xml:space="preserve"> </w:t>
      </w:r>
      <w:r>
        <w:t>we mean firm</w:t>
      </w:r>
      <w:r w:rsidRPr="00410822">
        <w:t>s</w:t>
      </w:r>
      <w:r>
        <w:t>’</w:t>
      </w:r>
      <w:r w:rsidRPr="00410822">
        <w:t xml:space="preserve"> </w:t>
      </w:r>
      <w:r>
        <w:t xml:space="preserve">ability to execute </w:t>
      </w:r>
      <w:r w:rsidRPr="00410822">
        <w:t>investment project</w:t>
      </w:r>
      <w:r>
        <w:t>s</w:t>
      </w:r>
      <w:r w:rsidRPr="00410822">
        <w:t xml:space="preserve"> faster than competitors at the same cost.</w:t>
      </w:r>
      <w:r w:rsidRPr="00410822">
        <w:rPr>
          <w:rStyle w:val="FootnoteReference"/>
        </w:rPr>
        <w:footnoteReference w:id="1"/>
      </w:r>
      <w:r w:rsidRPr="00410822">
        <w:t xml:space="preserve"> For two firms entering </w:t>
      </w:r>
      <w:r w:rsidR="00D92F7C">
        <w:t xml:space="preserve">a new market </w:t>
      </w:r>
      <w:r w:rsidRPr="00410822">
        <w:t>at the same time, the firm with greater speed capabilities has a higher probability of getting a good site, hiring high quality employees available in the market, locking up good suppliers, and obtaining a customer base yet unclaimed by competitors. It can also establish sales networks, production, logistic systems, and organizational arrangements fast</w:t>
      </w:r>
      <w:r w:rsidR="00212CC2">
        <w:t>er</w:t>
      </w:r>
      <w:r w:rsidRPr="00410822">
        <w:t xml:space="preserve"> and thus reduce the risks of being preempted. </w:t>
      </w:r>
      <w:r w:rsidR="00212CC2">
        <w:t xml:space="preserve">In other words, </w:t>
      </w:r>
      <w:r w:rsidRPr="00410822">
        <w:t xml:space="preserve">firms with </w:t>
      </w:r>
      <w:r w:rsidR="00212CC2">
        <w:t xml:space="preserve">intrinsic </w:t>
      </w:r>
      <w:r w:rsidRPr="00410822">
        <w:t>speed capabilities have lower preemption costs. This has important implication</w:t>
      </w:r>
      <w:r>
        <w:t>s</w:t>
      </w:r>
      <w:r w:rsidRPr="00410822">
        <w:t xml:space="preserve"> on a firm’s decision on entry timing. </w:t>
      </w:r>
    </w:p>
    <w:p w:rsidR="005E6226" w:rsidRDefault="0015445D" w:rsidP="00734707">
      <w:pPr>
        <w:spacing w:line="480" w:lineRule="auto"/>
        <w:ind w:firstLine="720"/>
      </w:pPr>
      <w:r>
        <w:t>When entry into an uncertain new market requires a large irreversible investment, a</w:t>
      </w:r>
      <w:r w:rsidRPr="00410822">
        <w:t xml:space="preserve"> </w:t>
      </w:r>
      <w:r>
        <w:t>potential entrant must choose its entry timing by balancing</w:t>
      </w:r>
      <w:r w:rsidRPr="00410822">
        <w:t xml:space="preserve"> the benefits of </w:t>
      </w:r>
      <w:r>
        <w:t xml:space="preserve">additional learning from </w:t>
      </w:r>
      <w:r w:rsidRPr="00410822">
        <w:t>delay</w:t>
      </w:r>
      <w:r>
        <w:t>ed</w:t>
      </w:r>
      <w:r w:rsidRPr="00410822">
        <w:t xml:space="preserve"> entry with the costs associated with preemption. </w:t>
      </w:r>
      <w:r>
        <w:t>In these settings, intrinsically faster firms should have an important advantage: s</w:t>
      </w:r>
      <w:r w:rsidRPr="00410822">
        <w:t xml:space="preserve">ince speed capabilities reduce the costs from preemption, an intrinsically faster firm can afford to wait longer, observe more, and thus benefit more </w:t>
      </w:r>
      <w:r>
        <w:t xml:space="preserve">from </w:t>
      </w:r>
      <w:r w:rsidRPr="00410822">
        <w:t xml:space="preserve">learning. </w:t>
      </w:r>
      <w:r>
        <w:t xml:space="preserve">Accordingly, </w:t>
      </w:r>
      <w:r w:rsidRPr="00410822">
        <w:t xml:space="preserve">the possession of speed capabilities should result in </w:t>
      </w:r>
      <w:r w:rsidR="00E946D6">
        <w:t xml:space="preserve">a </w:t>
      </w:r>
      <w:r w:rsidRPr="00410822">
        <w:t xml:space="preserve">later </w:t>
      </w:r>
      <w:r>
        <w:t xml:space="preserve">market </w:t>
      </w:r>
      <w:r w:rsidRPr="00410822">
        <w:t xml:space="preserve">entry time, ceteris paribus. This prediction </w:t>
      </w:r>
      <w:r w:rsidR="00591C3A">
        <w:t>finds support in the formal economic literature (Bar-</w:t>
      </w:r>
      <w:proofErr w:type="spellStart"/>
      <w:r w:rsidR="00591C3A">
        <w:t>Ilan</w:t>
      </w:r>
      <w:proofErr w:type="spellEnd"/>
      <w:r w:rsidR="00591C3A">
        <w:t xml:space="preserve"> and Strange 1996) and </w:t>
      </w:r>
      <w:r w:rsidRPr="00410822">
        <w:t xml:space="preserve">is consistent with </w:t>
      </w:r>
      <w:r w:rsidR="0044402A">
        <w:t xml:space="preserve">the </w:t>
      </w:r>
      <w:r w:rsidRPr="00410822">
        <w:t xml:space="preserve">notion of </w:t>
      </w:r>
      <w:r w:rsidR="009D1F59">
        <w:t xml:space="preserve">a </w:t>
      </w:r>
      <w:r w:rsidRPr="00410822">
        <w:t xml:space="preserve">“fast follower” strategy (Baldwin and Childs 1969, </w:t>
      </w:r>
      <w:proofErr w:type="spellStart"/>
      <w:r w:rsidRPr="00410822">
        <w:t>Markides</w:t>
      </w:r>
      <w:proofErr w:type="spellEnd"/>
      <w:r w:rsidRPr="00410822">
        <w:t xml:space="preserve"> and </w:t>
      </w:r>
      <w:proofErr w:type="spellStart"/>
      <w:r w:rsidRPr="00410822">
        <w:t>Geroski</w:t>
      </w:r>
      <w:proofErr w:type="spellEnd"/>
      <w:r w:rsidRPr="00410822">
        <w:t xml:space="preserve"> 2005)</w:t>
      </w:r>
      <w:r w:rsidR="007522C4">
        <w:t>,</w:t>
      </w:r>
      <w:r w:rsidRPr="00410822">
        <w:t xml:space="preserve"> where we </w:t>
      </w:r>
      <w:r w:rsidR="007522C4">
        <w:t>equate</w:t>
      </w:r>
      <w:r w:rsidR="007522C4" w:rsidRPr="00410822">
        <w:t xml:space="preserve"> </w:t>
      </w:r>
      <w:r w:rsidRPr="00410822">
        <w:t xml:space="preserve">being “fast” </w:t>
      </w:r>
      <w:r w:rsidR="00107F8B">
        <w:t xml:space="preserve">with </w:t>
      </w:r>
      <w:r w:rsidR="007522C4">
        <w:t xml:space="preserve">possessing </w:t>
      </w:r>
      <w:r>
        <w:t>above-</w:t>
      </w:r>
      <w:r w:rsidRPr="00410822">
        <w:t>average</w:t>
      </w:r>
      <w:r>
        <w:t xml:space="preserve"> speed capabilities </w:t>
      </w:r>
      <w:r w:rsidRPr="00410822">
        <w:t>in investment project execution.</w:t>
      </w:r>
      <w:r w:rsidR="00591C3A">
        <w:t xml:space="preserve"> </w:t>
      </w:r>
      <w:r w:rsidR="00734707">
        <w:t>Our</w:t>
      </w:r>
      <w:r w:rsidR="00A7004F">
        <w:t xml:space="preserve"> hypothesis is</w:t>
      </w:r>
      <w:r w:rsidR="00734707">
        <w:t xml:space="preserve"> predicated on the irreversible nature of firms’ investments. In this paper, we define irreversible investments as usage-specific investments that are useful for little else than their original intended purpose – or that have financially unattractive alternative applications. In these </w:t>
      </w:r>
      <w:r w:rsidR="009B6B30">
        <w:lastRenderedPageBreak/>
        <w:t>circumstances</w:t>
      </w:r>
      <w:r w:rsidR="00734707">
        <w:t xml:space="preserve">, the value of the option to wait is high, and </w:t>
      </w:r>
      <w:r w:rsidR="006828D4">
        <w:t>firms with intrinsically speed capabilities are likely to delay entry</w:t>
      </w:r>
      <w:r w:rsidR="00734707">
        <w:t>.</w:t>
      </w:r>
      <w:r w:rsidR="006828D4">
        <w:rPr>
          <w:rStyle w:val="FootnoteReference"/>
        </w:rPr>
        <w:footnoteReference w:id="2"/>
      </w:r>
    </w:p>
    <w:p w:rsidR="0015445D" w:rsidRDefault="00810F3D" w:rsidP="0015445D">
      <w:pPr>
        <w:spacing w:line="480" w:lineRule="auto"/>
        <w:ind w:left="720"/>
      </w:pPr>
      <w:r>
        <w:t>HYPOTHESIS</w:t>
      </w:r>
      <w:r w:rsidR="0015445D">
        <w:t xml:space="preserve">1 (Entry Timing): </w:t>
      </w:r>
      <w:r w:rsidR="0015445D" w:rsidRPr="008F4249">
        <w:rPr>
          <w:i/>
        </w:rPr>
        <w:t xml:space="preserve">Intrinsically faster firms enter uncertain new markets later than slower firms when investments are </w:t>
      </w:r>
      <w:r w:rsidR="00CB13D5">
        <w:rPr>
          <w:i/>
        </w:rPr>
        <w:t>usage-specific</w:t>
      </w:r>
      <w:r w:rsidR="0015445D" w:rsidRPr="008F4249">
        <w:rPr>
          <w:i/>
        </w:rPr>
        <w:t>.</w:t>
      </w:r>
      <w:r w:rsidR="0015445D">
        <w:t xml:space="preserve"> </w:t>
      </w:r>
    </w:p>
    <w:p w:rsidR="0015445D" w:rsidRDefault="0015445D" w:rsidP="0015445D">
      <w:pPr>
        <w:spacing w:line="480" w:lineRule="auto"/>
        <w:ind w:left="720"/>
      </w:pPr>
    </w:p>
    <w:p w:rsidR="0015445D" w:rsidRPr="00410822" w:rsidRDefault="0015445D" w:rsidP="0015445D">
      <w:pPr>
        <w:spacing w:line="480" w:lineRule="auto"/>
        <w:rPr>
          <w:b/>
        </w:rPr>
      </w:pPr>
      <w:r w:rsidRPr="00410822">
        <w:rPr>
          <w:b/>
        </w:rPr>
        <w:t>Performance Implications</w:t>
      </w:r>
    </w:p>
    <w:p w:rsidR="0015445D" w:rsidRDefault="006756FE" w:rsidP="0015445D">
      <w:pPr>
        <w:spacing w:line="480" w:lineRule="auto"/>
      </w:pPr>
      <w:r w:rsidRPr="00410822">
        <w:fldChar w:fldCharType="begin"/>
      </w:r>
      <w:r w:rsidR="0015445D" w:rsidRPr="00410822">
        <w:instrText xml:space="preserve"> MACROBUTTON MTEditEquationSection2 </w:instrText>
      </w:r>
      <w:r w:rsidR="0015445D" w:rsidRPr="00410822">
        <w:rPr>
          <w:rStyle w:val="MTEquationSection"/>
        </w:rPr>
        <w:instrText>Equation Section 3</w:instrText>
      </w:r>
      <w:r w:rsidRPr="00410822">
        <w:fldChar w:fldCharType="begin"/>
      </w:r>
      <w:r w:rsidR="0015445D" w:rsidRPr="00410822">
        <w:instrText xml:space="preserve"> SEQ MTEqn \r \h \* MERGEFORMAT </w:instrText>
      </w:r>
      <w:r w:rsidRPr="00410822">
        <w:fldChar w:fldCharType="end"/>
      </w:r>
      <w:r w:rsidRPr="00410822">
        <w:fldChar w:fldCharType="begin"/>
      </w:r>
      <w:r w:rsidR="0015445D" w:rsidRPr="00410822">
        <w:instrText xml:space="preserve"> SEQ MTSec \r 3 \h \* MERGEFORMAT </w:instrText>
      </w:r>
      <w:r w:rsidRPr="00410822">
        <w:fldChar w:fldCharType="end"/>
      </w:r>
      <w:r w:rsidRPr="00410822">
        <w:fldChar w:fldCharType="end"/>
      </w:r>
      <w:r w:rsidR="0015445D" w:rsidRPr="00410822">
        <w:t>Our theor</w:t>
      </w:r>
      <w:r w:rsidR="006748A8">
        <w:t xml:space="preserve">etical </w:t>
      </w:r>
      <w:r w:rsidR="0015445D">
        <w:t xml:space="preserve">premise </w:t>
      </w:r>
      <w:r w:rsidR="006748A8">
        <w:t xml:space="preserve">is </w:t>
      </w:r>
      <w:r w:rsidR="0015445D">
        <w:t>that</w:t>
      </w:r>
      <w:r w:rsidR="0015445D" w:rsidRPr="00410822">
        <w:t xml:space="preserve"> firms endogenously </w:t>
      </w:r>
      <w:r w:rsidR="006748A8">
        <w:t xml:space="preserve">decide on their </w:t>
      </w:r>
      <w:r w:rsidR="0015445D" w:rsidRPr="00410822">
        <w:t xml:space="preserve">entry </w:t>
      </w:r>
      <w:r w:rsidR="006748A8">
        <w:t xml:space="preserve">timing </w:t>
      </w:r>
      <w:r w:rsidR="0015445D" w:rsidRPr="00410822">
        <w:t xml:space="preserve">based on their own set of intrinsic speed capabilities </w:t>
      </w:r>
      <w:r w:rsidR="00B552B1">
        <w:t xml:space="preserve">in order </w:t>
      </w:r>
      <w:r w:rsidR="0015445D" w:rsidRPr="00410822">
        <w:t xml:space="preserve">to enhance performance. </w:t>
      </w:r>
      <w:r w:rsidR="006748A8">
        <w:t xml:space="preserve">This </w:t>
      </w:r>
      <w:r w:rsidR="0015445D">
        <w:t>implie</w:t>
      </w:r>
      <w:r w:rsidR="006748A8">
        <w:t>s</w:t>
      </w:r>
      <w:r w:rsidR="0015445D">
        <w:t xml:space="preserve"> </w:t>
      </w:r>
      <w:r w:rsidR="002E1906">
        <w:t>the following</w:t>
      </w:r>
      <w:r w:rsidR="006748A8">
        <w:t xml:space="preserve"> </w:t>
      </w:r>
      <w:r w:rsidR="0015445D" w:rsidRPr="00410822">
        <w:t xml:space="preserve">relationship </w:t>
      </w:r>
      <w:r w:rsidR="006748A8">
        <w:t>a</w:t>
      </w:r>
      <w:r w:rsidR="00810F3D">
        <w:t>mong</w:t>
      </w:r>
      <w:r w:rsidR="006748A8" w:rsidRPr="00410822">
        <w:t xml:space="preserve"> </w:t>
      </w:r>
      <w:r w:rsidR="0015445D" w:rsidRPr="00410822">
        <w:t>intrinsic speed capabilities, entry timing, and subsequent entry performance:</w:t>
      </w:r>
    </w:p>
    <w:tbl>
      <w:tblPr>
        <w:tblW w:w="0" w:type="auto"/>
        <w:tblLook w:val="04A0" w:firstRow="1" w:lastRow="0" w:firstColumn="1" w:lastColumn="0" w:noHBand="0" w:noVBand="1"/>
      </w:tblPr>
      <w:tblGrid>
        <w:gridCol w:w="222"/>
        <w:gridCol w:w="7701"/>
        <w:gridCol w:w="1237"/>
      </w:tblGrid>
      <w:tr w:rsidR="0015445D" w:rsidTr="0085587A">
        <w:trPr>
          <w:trHeight w:val="1036"/>
        </w:trPr>
        <w:tc>
          <w:tcPr>
            <w:tcW w:w="0" w:type="auto"/>
            <w:vAlign w:val="center"/>
          </w:tcPr>
          <w:p w:rsidR="0015445D" w:rsidRPr="002A2F53" w:rsidRDefault="0015445D" w:rsidP="0085587A">
            <w:pPr>
              <w:spacing w:before="200" w:after="200"/>
              <w:jc w:val="center"/>
              <w:rPr>
                <w:rFonts w:ascii="Calibri" w:eastAsia="Calibri" w:hAnsi="Calibri"/>
              </w:rPr>
            </w:pPr>
          </w:p>
        </w:tc>
        <w:tc>
          <w:tcPr>
            <w:tcW w:w="0" w:type="auto"/>
            <w:vAlign w:val="center"/>
          </w:tcPr>
          <w:p w:rsidR="0015445D" w:rsidRPr="002A2F53" w:rsidRDefault="00165F5B" w:rsidP="0085587A">
            <w:pPr>
              <w:jc w:val="both"/>
              <w:rPr>
                <w:rFonts w:ascii="Calibri" w:eastAsia="Calibri" w:hAnsi="Calibri"/>
              </w:rPr>
            </w:pPr>
            <m:oMathPara>
              <m:oMath>
                <m:sSub>
                  <m:sSubPr>
                    <m:ctrlPr>
                      <w:rPr>
                        <w:rFonts w:ascii="Cambria Math" w:eastAsia="Calibri" w:hAnsi="Cambria Math"/>
                      </w:rPr>
                    </m:ctrlPr>
                  </m:sSubPr>
                  <m:e>
                    <m:r>
                      <m:rPr>
                        <m:sty m:val="p"/>
                      </m:rPr>
                      <w:rPr>
                        <w:rFonts w:ascii="Cambria Math" w:hAnsi="Cambria Math"/>
                      </w:rPr>
                      <m:t>Π</m:t>
                    </m:r>
                    <m:ctrlPr>
                      <w:rPr>
                        <w:rFonts w:ascii="Cambria Math" w:hAnsi="Cambria Math"/>
                      </w:rPr>
                    </m:ctrlPr>
                  </m:e>
                  <m:sub>
                    <m:r>
                      <w:rPr>
                        <w:rFonts w:ascii="Cambria Math" w:hAnsi="Cambria Math"/>
                      </w:rPr>
                      <m:t>j,t</m:t>
                    </m:r>
                    <m:ctrlPr>
                      <w:rPr>
                        <w:rFonts w:ascii="Cambria Math" w:hAnsi="Cambria Math"/>
                      </w:rPr>
                    </m:ctrlPr>
                  </m:sub>
                </m:sSub>
                <m:r>
                  <m:rPr>
                    <m:sty m:val="p"/>
                  </m:rP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P=1,  2</m:t>
                    </m:r>
                  </m:sub>
                  <m:sup/>
                  <m:e>
                    <m:sSub>
                      <m:sSubPr>
                        <m:ctrlPr>
                          <w:rPr>
                            <w:rFonts w:ascii="Cambria Math" w:hAnsi="Cambria Math"/>
                            <w:i/>
                          </w:rPr>
                        </m:ctrlPr>
                      </m:sSubPr>
                      <m:e>
                        <m:r>
                          <w:rPr>
                            <w:rFonts w:ascii="Cambria Math" w:hAnsi="Cambria Math"/>
                          </w:rPr>
                          <m:t>β</m:t>
                        </m:r>
                      </m:e>
                      <m:sub>
                        <m:r>
                          <w:rPr>
                            <w:rFonts w:ascii="Cambria Math" w:hAnsi="Cambria Math"/>
                          </w:rPr>
                          <m:t>P</m:t>
                        </m:r>
                      </m:sub>
                    </m:sSub>
                  </m:e>
                </m:nary>
                <m:d>
                  <m:dPr>
                    <m:ctrlPr>
                      <w:rPr>
                        <w:rFonts w:ascii="Cambria Math" w:hAnsi="Cambria Math"/>
                        <w:i/>
                      </w:rPr>
                    </m:ctrlPr>
                  </m:dPr>
                  <m:e>
                    <m:sSub>
                      <m:sSubPr>
                        <m:ctrlPr>
                          <w:rPr>
                            <w:rFonts w:ascii="Cambria Math" w:hAnsi="Cambria Math"/>
                            <w:i/>
                          </w:rPr>
                        </m:ctrlPr>
                      </m:sSubPr>
                      <m:e>
                        <m:r>
                          <w:rPr>
                            <w:rFonts w:ascii="Cambria Math" w:hAnsi="Cambria Math"/>
                          </w:rPr>
                          <m:t>Speed Capability</m:t>
                        </m:r>
                      </m:e>
                      <m:sub>
                        <m:r>
                          <w:rPr>
                            <w:rFonts w:ascii="Cambria Math" w:hAnsi="Cambria Math"/>
                          </w:rPr>
                          <m:t>j,t</m:t>
                        </m:r>
                      </m:sub>
                    </m:sSub>
                    <m:r>
                      <w:rPr>
                        <w:rFonts w:ascii="Cambria Math" w:hAnsi="Cambria Math"/>
                      </w:rPr>
                      <m:t xml:space="preserve"> x Entry  </m:t>
                    </m:r>
                    <m:sSub>
                      <m:sSubPr>
                        <m:ctrlPr>
                          <w:rPr>
                            <w:rFonts w:ascii="Cambria Math" w:hAnsi="Cambria Math"/>
                            <w:i/>
                          </w:rPr>
                        </m:ctrlPr>
                      </m:sSubPr>
                      <m:e>
                        <m:r>
                          <w:rPr>
                            <w:rFonts w:ascii="Cambria Math" w:hAnsi="Cambria Math"/>
                          </w:rPr>
                          <m:t>Timing</m:t>
                        </m:r>
                      </m:e>
                      <m:sub>
                        <m:r>
                          <w:rPr>
                            <w:rFonts w:ascii="Cambria Math" w:hAnsi="Cambria Math"/>
                          </w:rPr>
                          <m:t>P</m:t>
                        </m:r>
                      </m:sub>
                    </m:sSub>
                  </m:e>
                </m:d>
                <m:r>
                  <w:rPr>
                    <w:rFonts w:ascii="Cambria Math" w:hAnsi="Cambria Math"/>
                  </w:rPr>
                  <m:t>+</m:t>
                </m:r>
                <m:sSub>
                  <m:sSubPr>
                    <m:ctrlPr>
                      <w:rPr>
                        <w:rFonts w:ascii="Cambria Math" w:hAnsi="Cambria Math"/>
                        <w:b/>
                        <w:i/>
                      </w:rPr>
                    </m:ctrlPr>
                  </m:sSubPr>
                  <m:e>
                    <m:r>
                      <m:rPr>
                        <m:sty m:val="bi"/>
                      </m:rPr>
                      <w:rPr>
                        <w:rFonts w:ascii="Cambria Math" w:hAnsi="Cambria Math"/>
                      </w:rPr>
                      <m:t>β</m:t>
                    </m:r>
                  </m:e>
                  <m:sub>
                    <m:r>
                      <m:rPr>
                        <m:sty m:val="bi"/>
                      </m:rPr>
                      <w:rPr>
                        <w:rFonts w:ascii="Cambria Math" w:hAnsi="Cambria Math"/>
                      </w:rPr>
                      <m:t>3</m:t>
                    </m:r>
                  </m:sub>
                </m:sSub>
                <m:sSub>
                  <m:sSubPr>
                    <m:ctrlPr>
                      <w:rPr>
                        <w:rFonts w:ascii="Cambria Math" w:hAnsi="Cambria Math"/>
                        <w:b/>
                        <w:i/>
                      </w:rPr>
                    </m:ctrlPr>
                  </m:sSubPr>
                  <m:e>
                    <m:r>
                      <m:rPr>
                        <m:sty m:val="bi"/>
                      </m:rPr>
                      <w:rPr>
                        <w:rFonts w:ascii="Cambria Math" w:hAnsi="Cambria Math"/>
                      </w:rPr>
                      <m:t>X</m:t>
                    </m:r>
                  </m:e>
                  <m:sub>
                    <m:r>
                      <m:rPr>
                        <m:sty m:val="bi"/>
                      </m:rP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j,t</m:t>
                    </m:r>
                  </m:sub>
                </m:sSub>
              </m:oMath>
            </m:oMathPara>
          </w:p>
        </w:tc>
        <w:tc>
          <w:tcPr>
            <w:tcW w:w="1237" w:type="dxa"/>
            <w:vAlign w:val="center"/>
          </w:tcPr>
          <w:p w:rsidR="0015445D" w:rsidRPr="00E5296B" w:rsidRDefault="0015445D" w:rsidP="0085587A">
            <w:pPr>
              <w:pStyle w:val="ListParagraph"/>
              <w:numPr>
                <w:ilvl w:val="0"/>
                <w:numId w:val="15"/>
              </w:numPr>
              <w:spacing w:before="200" w:after="200" w:line="240" w:lineRule="auto"/>
              <w:jc w:val="center"/>
            </w:pPr>
            <w:bookmarkStart w:id="1" w:name="_Ref270003217"/>
          </w:p>
        </w:tc>
        <w:bookmarkEnd w:id="1"/>
      </w:tr>
    </w:tbl>
    <w:p w:rsidR="0015445D" w:rsidRDefault="0015445D" w:rsidP="00A86E03">
      <w:pPr>
        <w:spacing w:line="480" w:lineRule="auto"/>
      </w:pPr>
      <w:r w:rsidRPr="00410822">
        <w:t xml:space="preserve">where </w:t>
      </w:r>
      <m:oMath>
        <m:sSub>
          <m:sSubPr>
            <m:ctrlPr>
              <w:rPr>
                <w:rFonts w:ascii="Cambria Math" w:hAnsi="Cambria Math"/>
              </w:rPr>
            </m:ctrlPr>
          </m:sSubPr>
          <m:e>
            <m:r>
              <m:rPr>
                <m:sty m:val="p"/>
              </m:rPr>
              <w:rPr>
                <w:rFonts w:ascii="Cambria Math" w:hAnsi="Cambria Math"/>
              </w:rPr>
              <m:t>Π</m:t>
            </m:r>
          </m:e>
          <m:sub>
            <m:r>
              <w:rPr>
                <w:rFonts w:ascii="Cambria Math" w:hAnsi="Cambria Math"/>
              </w:rPr>
              <m:t>j,t</m:t>
            </m:r>
          </m:sub>
        </m:sSub>
      </m:oMath>
      <w:r w:rsidRPr="00410822">
        <w:t xml:space="preserve"> is a measure of profitability from entry, </w:t>
      </w:r>
      <m:oMath>
        <m:sSub>
          <m:sSubPr>
            <m:ctrlPr>
              <w:rPr>
                <w:rFonts w:ascii="Cambria Math" w:hAnsi="Cambria Math"/>
                <w:i/>
              </w:rPr>
            </m:ctrlPr>
          </m:sSubPr>
          <m:e>
            <m:r>
              <w:rPr>
                <w:rFonts w:ascii="Cambria Math" w:hAnsi="Cambria Math"/>
              </w:rPr>
              <m:t>Entry Timing</m:t>
            </m:r>
          </m:e>
          <m:sub>
            <m:r>
              <w:rPr>
                <w:rFonts w:ascii="Cambria Math" w:hAnsi="Cambria Math"/>
              </w:rPr>
              <m:t>P</m:t>
            </m:r>
          </m:sub>
        </m:sSub>
      </m:oMath>
      <w:r>
        <w:t xml:space="preserve"> are </w:t>
      </w:r>
      <w:r w:rsidRPr="00410822">
        <w:t xml:space="preserve">dummies indexed by </w:t>
      </w:r>
      <m:oMath>
        <m:r>
          <w:rPr>
            <w:rFonts w:ascii="Cambria Math" w:hAnsi="Cambria Math"/>
          </w:rPr>
          <m:t>P=1,  2</m:t>
        </m:r>
      </m:oMath>
      <w:r w:rsidRPr="00410822">
        <w:t xml:space="preserve"> indicating entry during the early </w:t>
      </w:r>
      <m:oMath>
        <m:d>
          <m:dPr>
            <m:ctrlPr>
              <w:rPr>
                <w:rFonts w:ascii="Cambria Math" w:hAnsi="Cambria Math"/>
                <w:i/>
              </w:rPr>
            </m:ctrlPr>
          </m:dPr>
          <m:e>
            <m:r>
              <w:rPr>
                <w:rFonts w:ascii="Cambria Math" w:hAnsi="Cambria Math"/>
              </w:rPr>
              <m:t>P=1</m:t>
            </m:r>
          </m:e>
        </m:d>
      </m:oMath>
      <w:r w:rsidRPr="00410822">
        <w:t xml:space="preserve"> or late</w:t>
      </w:r>
      <w:r>
        <w:t xml:space="preserve"> </w:t>
      </w:r>
      <m:oMath>
        <m:d>
          <m:dPr>
            <m:ctrlPr>
              <w:rPr>
                <w:rFonts w:ascii="Cambria Math" w:hAnsi="Cambria Math"/>
                <w:i/>
              </w:rPr>
            </m:ctrlPr>
          </m:dPr>
          <m:e>
            <m:r>
              <w:rPr>
                <w:rFonts w:ascii="Cambria Math" w:hAnsi="Cambria Math"/>
              </w:rPr>
              <m:t>P=2</m:t>
            </m:r>
          </m:e>
        </m:d>
      </m:oMath>
      <w:r w:rsidRPr="00410822">
        <w:t xml:space="preserve"> regime of a new market opportunity, </w:t>
      </w:r>
      <m:oMath>
        <m:sSub>
          <m:sSubPr>
            <m:ctrlPr>
              <w:rPr>
                <w:rFonts w:ascii="Cambria Math" w:hAnsi="Cambria Math"/>
                <w:i/>
              </w:rPr>
            </m:ctrlPr>
          </m:sSubPr>
          <m:e>
            <m:r>
              <w:rPr>
                <w:rFonts w:ascii="Cambria Math" w:hAnsi="Cambria Math"/>
              </w:rPr>
              <m:t>Speed Capability</m:t>
            </m:r>
          </m:e>
          <m:sub>
            <m:r>
              <w:rPr>
                <w:rFonts w:ascii="Cambria Math" w:hAnsi="Cambria Math"/>
              </w:rPr>
              <m:t>j,t</m:t>
            </m:r>
          </m:sub>
        </m:sSub>
      </m:oMath>
      <w:r>
        <w:t xml:space="preserve"> </w:t>
      </w:r>
      <w:r w:rsidRPr="00410822">
        <w:t>is a measure of the intrinsic speed capabilities of the firm, and</w:t>
      </w:r>
      <w:r>
        <w:t xml:space="preserve"> </w:t>
      </w:r>
      <m:oMath>
        <m:sSub>
          <m:sSubPr>
            <m:ctrlPr>
              <w:rPr>
                <w:rFonts w:ascii="Cambria Math" w:hAnsi="Cambria Math"/>
                <w:b/>
                <w:i/>
              </w:rPr>
            </m:ctrlPr>
          </m:sSubPr>
          <m:e>
            <m:r>
              <m:rPr>
                <m:sty m:val="bi"/>
              </m:rPr>
              <w:rPr>
                <w:rFonts w:ascii="Cambria Math" w:hAnsi="Cambria Math"/>
              </w:rPr>
              <m:t>X</m:t>
            </m:r>
          </m:e>
          <m:sub>
            <m:r>
              <m:rPr>
                <m:sty m:val="bi"/>
              </m:rPr>
              <w:rPr>
                <w:rFonts w:ascii="Cambria Math" w:hAnsi="Cambria Math"/>
              </w:rPr>
              <m:t>j</m:t>
            </m:r>
          </m:sub>
        </m:sSub>
      </m:oMath>
      <w:r w:rsidRPr="00410822">
        <w:t xml:space="preserve"> is a set of firm and industry effects to control for other firm and industry heterogeneity. </w:t>
      </w:r>
      <w:r>
        <w:t xml:space="preserve">When market conditions are uncertain in the early regime, we argue that </w:t>
      </w:r>
      <w:r w:rsidRPr="00410822">
        <w:t xml:space="preserve">faster firms </w:t>
      </w:r>
      <w:r>
        <w:t xml:space="preserve">that </w:t>
      </w:r>
      <w:r w:rsidRPr="00410822">
        <w:t>have the ability to wait</w:t>
      </w:r>
      <w:r>
        <w:t>,</w:t>
      </w:r>
      <w:r w:rsidRPr="00410822">
        <w:t xml:space="preserve"> collect additional information</w:t>
      </w:r>
      <w:r>
        <w:t>,</w:t>
      </w:r>
      <w:r w:rsidRPr="00410822">
        <w:t xml:space="preserve"> and learn from prior entrants at a lower cost should perform better </w:t>
      </w:r>
      <w:r>
        <w:t>by waiting – that is,</w:t>
      </w:r>
      <w:r w:rsidRPr="00410822">
        <w:t xml:space="preserve"> </w:t>
      </w:r>
      <m:oMath>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&gt;</m:t>
        </m:r>
        <m:sSub>
          <m:sSubPr>
            <m:ctrlPr>
              <w:rPr>
                <w:rFonts w:ascii="Cambria Math" w:hAnsi="Cambria Math"/>
                <w:i/>
              </w:rPr>
            </m:ctrlPr>
          </m:sSubPr>
          <m:e>
            <m:r>
              <w:rPr>
                <w:rFonts w:ascii="Cambria Math" w:hAnsi="Cambria Math"/>
              </w:rPr>
              <m:t>β</m:t>
            </m:r>
          </m:e>
          <m:sub>
            <m:r>
              <w:rPr>
                <w:rFonts w:ascii="Cambria Math" w:hAnsi="Cambria Math"/>
              </w:rPr>
              <m:t>1</m:t>
            </m:r>
          </m:sub>
        </m:sSub>
      </m:oMath>
      <w:r>
        <w:t xml:space="preserve"> and </w:t>
      </w:r>
      <m:oMath>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&gt;0</m:t>
        </m:r>
      </m:oMath>
      <w:r>
        <w:t>.</w:t>
      </w:r>
      <w:r w:rsidRPr="00410822">
        <w:t xml:space="preserve"> These predictions </w:t>
      </w:r>
      <w:r>
        <w:t>are consistent with prior</w:t>
      </w:r>
      <w:r w:rsidRPr="00410822">
        <w:t xml:space="preserve"> literature on the performance implications of intrinsic speed capabilities </w:t>
      </w:r>
      <w:r>
        <w:t>(</w:t>
      </w:r>
      <w:r w:rsidRPr="00410822">
        <w:t>Pach</w:t>
      </w:r>
      <w:r>
        <w:t>eco-de-</w:t>
      </w:r>
      <w:r>
        <w:lastRenderedPageBreak/>
        <w:t xml:space="preserve">Almeida, Hawk and Yeung </w:t>
      </w:r>
      <w:r w:rsidRPr="00410822">
        <w:t>2010) an</w:t>
      </w:r>
      <w:r>
        <w:t xml:space="preserve">d with the notion of </w:t>
      </w:r>
      <w:r w:rsidRPr="00410822">
        <w:t>“fast follower” st</w:t>
      </w:r>
      <w:r>
        <w:t>rategy (Baldwin and Childs 1969;</w:t>
      </w:r>
      <w:r w:rsidRPr="00410822">
        <w:t xml:space="preserve"> </w:t>
      </w:r>
      <w:proofErr w:type="spellStart"/>
      <w:r w:rsidRPr="00410822">
        <w:t>Markides</w:t>
      </w:r>
      <w:proofErr w:type="spellEnd"/>
      <w:r w:rsidRPr="00410822">
        <w:t xml:space="preserve"> and </w:t>
      </w:r>
      <w:proofErr w:type="spellStart"/>
      <w:r w:rsidRPr="00410822">
        <w:t>Geroski</w:t>
      </w:r>
      <w:proofErr w:type="spellEnd"/>
      <w:r w:rsidRPr="00410822">
        <w:t xml:space="preserve"> 2005).</w:t>
      </w:r>
      <w:r w:rsidR="005B3F14" w:rsidRPr="00EA27C5">
        <w:rPr>
          <w:rStyle w:val="FootnoteReference"/>
        </w:rPr>
        <w:footnoteReference w:id="3"/>
      </w:r>
    </w:p>
    <w:p w:rsidR="00B729D1" w:rsidRDefault="0015445D" w:rsidP="0015445D">
      <w:pPr>
        <w:spacing w:line="480" w:lineRule="auto"/>
        <w:ind w:firstLine="720"/>
      </w:pPr>
      <w:r>
        <w:t xml:space="preserve">As discussed when we presented </w:t>
      </w:r>
      <w:r w:rsidR="00206EB2">
        <w:t>Hypothesis</w:t>
      </w:r>
      <w:r w:rsidR="00924CDC">
        <w:t xml:space="preserve"> </w:t>
      </w:r>
      <w:r>
        <w:t>1</w:t>
      </w:r>
      <w:r w:rsidR="00B729D1">
        <w:t xml:space="preserve"> above</w:t>
      </w:r>
      <w:r>
        <w:t xml:space="preserve">, our line of reasoning applies when the value of the option </w:t>
      </w:r>
      <w:r w:rsidRPr="00410822">
        <w:t xml:space="preserve">to wait is high, </w:t>
      </w:r>
      <w:r>
        <w:t>which</w:t>
      </w:r>
      <w:r w:rsidRPr="00410822">
        <w:t xml:space="preserve"> is the case when investment</w:t>
      </w:r>
      <w:r>
        <w:t>s</w:t>
      </w:r>
      <w:r w:rsidRPr="00410822">
        <w:t xml:space="preserve"> </w:t>
      </w:r>
      <w:r>
        <w:t>are</w:t>
      </w:r>
      <w:r w:rsidRPr="00410822">
        <w:t xml:space="preserve"> </w:t>
      </w:r>
      <w:r w:rsidR="00B729D1">
        <w:t xml:space="preserve">irreversible, or </w:t>
      </w:r>
      <w:r>
        <w:t>usage-</w:t>
      </w:r>
      <w:r w:rsidRPr="00410822">
        <w:t>specific.</w:t>
      </w:r>
      <w:r>
        <w:t xml:space="preserve"> </w:t>
      </w:r>
      <w:r w:rsidR="00B729D1">
        <w:t>In contrast, w</w:t>
      </w:r>
      <w:r>
        <w:t xml:space="preserve">hen investments are usage-flexible, the advantages of waiting are limited and, thus, late entry by intrinsically faster firms should not have significant performance implications. </w:t>
      </w:r>
      <w:r w:rsidR="00B729D1">
        <w:t>This prediction is summarized in our next hypothesis.</w:t>
      </w:r>
    </w:p>
    <w:p w:rsidR="00B729D1" w:rsidRDefault="00B729D1" w:rsidP="001F124F">
      <w:pPr>
        <w:spacing w:line="480" w:lineRule="auto"/>
        <w:ind w:left="720"/>
      </w:pPr>
      <w:r>
        <w:t>HYPOTHESIS 2</w:t>
      </w:r>
      <w:r w:rsidR="00267FE1">
        <w:t xml:space="preserve"> (Fast-Mover Advantages)</w:t>
      </w:r>
      <w:r>
        <w:t xml:space="preserve">: </w:t>
      </w:r>
      <w:r w:rsidRPr="00776A96">
        <w:rPr>
          <w:i/>
        </w:rPr>
        <w:t xml:space="preserve">Intrinsically faster firms that enter uncertain new markets later outperform all other entrants when investments are </w:t>
      </w:r>
      <w:r>
        <w:rPr>
          <w:i/>
        </w:rPr>
        <w:t>usage-specific.</w:t>
      </w:r>
    </w:p>
    <w:p w:rsidR="0015445D" w:rsidRDefault="00B729D1" w:rsidP="0015445D">
      <w:pPr>
        <w:spacing w:line="480" w:lineRule="auto"/>
        <w:ind w:firstLine="720"/>
      </w:pPr>
      <w:r>
        <w:t>For clarity purposes</w:t>
      </w:r>
      <w:r w:rsidR="00DE6A52">
        <w:t xml:space="preserve"> and </w:t>
      </w:r>
      <w:r>
        <w:t>consistent with hypothesis 2, w</w:t>
      </w:r>
      <w:r w:rsidR="0015445D" w:rsidRPr="00410822">
        <w:t xml:space="preserve">e further </w:t>
      </w:r>
      <w:r w:rsidR="0015445D">
        <w:t xml:space="preserve">differentiate </w:t>
      </w:r>
      <w:r w:rsidR="0015445D" w:rsidRPr="00410822">
        <w:t>the performance implications of entry timing with intrinsic speed capabilities</w:t>
      </w:r>
      <w:proofErr w:type="gramStart"/>
      <w:r w:rsidR="0015445D">
        <w:t xml:space="preserve">, </w:t>
      </w:r>
      <w:proofErr w:type="gramEnd"/>
      <m:oMath>
        <m:sSub>
          <m:sSubPr>
            <m:ctrlPr>
              <w:rPr>
                <w:rFonts w:ascii="Cambria Math" w:hAnsi="Cambria Math"/>
                <w:i/>
              </w:rPr>
            </m:ctrlPr>
          </m:sSubPr>
          <m:e>
            <m:r>
              <w:rPr>
                <w:rFonts w:ascii="Cambria Math" w:hAnsi="Cambria Math"/>
              </w:rPr>
              <m:t>β</m:t>
            </m:r>
          </m:e>
          <m:sub>
            <m:r>
              <w:rPr>
                <w:rFonts w:ascii="Cambria Math" w:hAnsi="Cambria Math"/>
              </w:rPr>
              <m:t>P</m:t>
            </m:r>
          </m:sub>
        </m:sSub>
      </m:oMath>
      <w:r w:rsidR="0015445D">
        <w:t>, as follows</w:t>
      </w:r>
      <w:r w:rsidR="0015445D" w:rsidRPr="00410822">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7"/>
        <w:gridCol w:w="6703"/>
        <w:gridCol w:w="1436"/>
      </w:tblGrid>
      <w:tr w:rsidR="0015445D" w:rsidTr="0085587A">
        <w:tc>
          <w:tcPr>
            <w:tcW w:w="750" w:type="pct"/>
            <w:vAlign w:val="center"/>
          </w:tcPr>
          <w:p w:rsidR="0015445D" w:rsidRDefault="0015445D" w:rsidP="0085587A">
            <w:pPr>
              <w:spacing w:before="200" w:after="200"/>
              <w:jc w:val="center"/>
            </w:pPr>
          </w:p>
        </w:tc>
        <w:tc>
          <w:tcPr>
            <w:tcW w:w="3500" w:type="pct"/>
            <w:vAlign w:val="center"/>
          </w:tcPr>
          <w:p w:rsidR="0015445D" w:rsidRDefault="00165F5B" w:rsidP="0085587A">
            <m:oMathPara>
              <m:oMath>
                <m:sSub>
                  <m:sSubPr>
                    <m:ctrlPr>
                      <w:rPr>
                        <w:rFonts w:ascii="Cambria Math" w:hAnsi="Cambria Math"/>
                        <w:i/>
                      </w:rPr>
                    </m:ctrlPr>
                  </m:sSubPr>
                  <m:e>
                    <m:r>
                      <w:rPr>
                        <w:rFonts w:ascii="Cambria Math" w:hAnsi="Cambria Math"/>
                      </w:rPr>
                      <m:t>β</m:t>
                    </m:r>
                  </m:e>
                  <m:sub>
                    <m:r>
                      <w:rPr>
                        <w:rFonts w:ascii="Cambria Math" w:hAnsi="Cambria Math"/>
                      </w:rPr>
                      <m:t>P</m:t>
                    </m:r>
                  </m:sub>
                </m:sSub>
                <m:r>
                  <w:rPr>
                    <w:rFonts w:ascii="Cambria Math" w:hAnsi="Cambria Math"/>
                  </w:rPr>
                  <m:t>=</m:t>
                </m:r>
                <m:sSubSup>
                  <m:sSubSupPr>
                    <m:ctrlPr>
                      <w:rPr>
                        <w:rFonts w:ascii="Cambria Math" w:hAnsi="Cambria Math"/>
                        <w:i/>
                      </w:rPr>
                    </m:ctrlPr>
                  </m:sSubSupPr>
                  <m:e>
                    <m:r>
                      <w:rPr>
                        <w:rFonts w:ascii="Cambria Math" w:hAnsi="Cambria Math"/>
                      </w:rPr>
                      <m:t>β</m:t>
                    </m:r>
                  </m:e>
                  <m:sub>
                    <m:r>
                      <w:rPr>
                        <w:rFonts w:ascii="Cambria Math" w:hAnsi="Cambria Math"/>
                      </w:rPr>
                      <m:t>P</m:t>
                    </m:r>
                  </m:sub>
                  <m:sup>
                    <m:r>
                      <w:rPr>
                        <w:rFonts w:ascii="Cambria Math" w:hAnsi="Cambria Math"/>
                      </w:rPr>
                      <m:t>S</m:t>
                    </m:r>
                  </m:sup>
                </m:sSubSup>
                <m:r>
                  <w:rPr>
                    <w:rFonts w:ascii="Cambria Math" w:hAnsi="Cambria Math"/>
                  </w:rPr>
                  <m:t>Usage|Specific+</m:t>
                </m:r>
                <m:sSubSup>
                  <m:sSubSupPr>
                    <m:ctrlPr>
                      <w:rPr>
                        <w:rFonts w:ascii="Cambria Math" w:hAnsi="Cambria Math"/>
                        <w:i/>
                      </w:rPr>
                    </m:ctrlPr>
                  </m:sSubSupPr>
                  <m:e>
                    <m:r>
                      <w:rPr>
                        <w:rFonts w:ascii="Cambria Math" w:hAnsi="Cambria Math"/>
                      </w:rPr>
                      <m:t>β</m:t>
                    </m:r>
                  </m:e>
                  <m:sub>
                    <m:r>
                      <w:rPr>
                        <w:rFonts w:ascii="Cambria Math" w:hAnsi="Cambria Math"/>
                      </w:rPr>
                      <m:t>P</m:t>
                    </m:r>
                  </m:sub>
                  <m:sup>
                    <m:r>
                      <w:rPr>
                        <w:rFonts w:ascii="Cambria Math" w:hAnsi="Cambria Math"/>
                      </w:rPr>
                      <m:t>F</m:t>
                    </m:r>
                  </m:sup>
                </m:sSubSup>
                <m:r>
                  <w:rPr>
                    <w:rFonts w:ascii="Cambria Math" w:hAnsi="Cambria Math"/>
                  </w:rPr>
                  <m:t>Usage|Flexible</m:t>
                </m:r>
              </m:oMath>
            </m:oMathPara>
          </w:p>
        </w:tc>
        <w:tc>
          <w:tcPr>
            <w:tcW w:w="750" w:type="pct"/>
            <w:vAlign w:val="center"/>
          </w:tcPr>
          <w:p w:rsidR="0015445D" w:rsidRPr="00E5296B" w:rsidRDefault="0015445D" w:rsidP="0085587A">
            <w:pPr>
              <w:pStyle w:val="ListParagraph"/>
              <w:numPr>
                <w:ilvl w:val="0"/>
                <w:numId w:val="15"/>
              </w:numPr>
              <w:spacing w:before="200" w:after="200" w:line="240" w:lineRule="auto"/>
              <w:jc w:val="center"/>
            </w:pPr>
          </w:p>
        </w:tc>
      </w:tr>
    </w:tbl>
    <w:p w:rsidR="0015445D" w:rsidRPr="00FB63AB" w:rsidRDefault="0015445D" w:rsidP="0015445D">
      <w:pPr>
        <w:spacing w:line="480" w:lineRule="auto"/>
      </w:pPr>
      <w:proofErr w:type="gramStart"/>
      <w:r>
        <w:t>w</w:t>
      </w:r>
      <w:r w:rsidRPr="00410822">
        <w:t>here</w:t>
      </w:r>
      <w:proofErr w:type="gramEnd"/>
      <w:r>
        <w:t xml:space="preserve"> </w:t>
      </w:r>
      <m:oMath>
        <m:r>
          <w:rPr>
            <w:rFonts w:ascii="Cambria Math" w:hAnsi="Cambria Math"/>
          </w:rPr>
          <m:t>Usage|Specific</m:t>
        </m:r>
      </m:oMath>
      <w:r w:rsidRPr="00410822">
        <w:t xml:space="preserve"> and </w:t>
      </w:r>
      <m:oMath>
        <m:r>
          <w:rPr>
            <w:rFonts w:ascii="Cambria Math" w:hAnsi="Cambria Math"/>
          </w:rPr>
          <m:t>Usage|Flex</m:t>
        </m:r>
        <m:r>
          <w:rPr>
            <w:rFonts w:ascii="Cambria Math" w:hAnsi="Cambria Math"/>
          </w:rPr>
          <m:t>ible</m:t>
        </m:r>
      </m:oMath>
      <w:r w:rsidRPr="00410822">
        <w:t xml:space="preserve"> are </w:t>
      </w:r>
      <w:r>
        <w:t xml:space="preserve">mutually exclusive </w:t>
      </w:r>
      <w:r w:rsidRPr="00410822">
        <w:t xml:space="preserve">dummies indicating </w:t>
      </w:r>
      <w:r>
        <w:t xml:space="preserve">whether </w:t>
      </w:r>
      <w:r w:rsidRPr="00410822">
        <w:t xml:space="preserve">entry is associated with </w:t>
      </w:r>
      <w:r>
        <w:t>a usage-specific or usage-flexible investment</w:t>
      </w:r>
      <w:r w:rsidRPr="00410822">
        <w:t>. Substituting expression</w:t>
      </w:r>
      <w:r>
        <w:t xml:space="preserve"> (2) </w:t>
      </w:r>
      <w:r w:rsidRPr="00410822">
        <w:t>into</w:t>
      </w:r>
      <w:r>
        <w:t xml:space="preserve"> (1)</w:t>
      </w:r>
      <w:r w:rsidRPr="00410822">
        <w:t xml:space="preserve"> </w:t>
      </w:r>
      <w:r w:rsidR="006756FE" w:rsidRPr="00410822">
        <w:fldChar w:fldCharType="begin"/>
      </w:r>
      <w:r w:rsidRPr="00410822">
        <w:instrText xml:space="preserve"> GOTOBUTTON ZEqnNum802119  \* MERGEFORMAT </w:instrText>
      </w:r>
      <w:r w:rsidR="006756FE" w:rsidRPr="00410822">
        <w:fldChar w:fldCharType="end"/>
      </w:r>
      <w:r w:rsidRPr="00410822">
        <w:t xml:space="preserve">gives us the following equation </w:t>
      </w:r>
      <w:r>
        <w:t>to test the contingencies of a fast-</w:t>
      </w:r>
      <w:r w:rsidRPr="00410822">
        <w:t>follower strategy:</w:t>
      </w:r>
    </w:p>
    <w:tbl>
      <w:tblPr>
        <w:tblStyle w:val="TableGrid"/>
        <w:tblW w:w="5388" w:type="pct"/>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9611"/>
        <w:gridCol w:w="419"/>
      </w:tblGrid>
      <w:tr w:rsidR="0015445D" w:rsidTr="0085587A">
        <w:tc>
          <w:tcPr>
            <w:tcW w:w="140" w:type="pct"/>
            <w:vAlign w:val="center"/>
          </w:tcPr>
          <w:p w:rsidR="0015445D" w:rsidRDefault="0015445D" w:rsidP="0085587A"/>
        </w:tc>
        <w:tc>
          <w:tcPr>
            <w:tcW w:w="4657" w:type="pct"/>
            <w:vAlign w:val="center"/>
          </w:tcPr>
          <w:p w:rsidR="0015445D" w:rsidRPr="000B693E" w:rsidRDefault="00165F5B" w:rsidP="0085587A">
            <w:pPr>
              <w:pStyle w:val="MTDisplayEquation"/>
              <w:spacing w:before="200" w:after="200" w:line="240" w:lineRule="auto"/>
              <w:ind w:left="163" w:right="-1098"/>
            </w:pPr>
            <m:oMathPara>
              <m:oMathParaPr>
                <m:jc m:val="left"/>
              </m:oMathParaPr>
              <m:oMath>
                <m:sSub>
                  <m:sSubPr>
                    <m:ctrlPr>
                      <w:rPr>
                        <w:rFonts w:ascii="Cambria Math" w:hAnsi="Cambria Math"/>
                      </w:rPr>
                    </m:ctrlPr>
                  </m:sSubPr>
                  <m:e>
                    <m:r>
                      <m:rPr>
                        <m:sty m:val="p"/>
                      </m:rPr>
                      <w:rPr>
                        <w:rFonts w:ascii="Cambria Math" w:hAnsi="Cambria Math"/>
                      </w:rPr>
                      <m:t>Π</m:t>
                    </m:r>
                  </m:e>
                  <m:sub>
                    <m:r>
                      <w:rPr>
                        <w:rFonts w:ascii="Cambria Math" w:hAnsi="Cambria Math"/>
                      </w:rPr>
                      <m:t>j,t</m:t>
                    </m:r>
                  </m:sub>
                </m:sSub>
                <m:r>
                  <m:rPr>
                    <m:sty m:val="p"/>
                  </m:rP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P=1,  2</m:t>
                    </m:r>
                  </m:sub>
                  <m:sup/>
                  <m:e>
                    <m:sSubSup>
                      <m:sSubSupPr>
                        <m:ctrlPr>
                          <w:rPr>
                            <w:rFonts w:ascii="Cambria Math" w:hAnsi="Cambria Math"/>
                            <w:i/>
                          </w:rPr>
                        </m:ctrlPr>
                      </m:sSubSupPr>
                      <m:e>
                        <m:r>
                          <w:rPr>
                            <w:rFonts w:ascii="Cambria Math" w:hAnsi="Cambria Math"/>
                          </w:rPr>
                          <m:t>(β</m:t>
                        </m:r>
                      </m:e>
                      <m:sub>
                        <m:r>
                          <w:rPr>
                            <w:rFonts w:ascii="Cambria Math" w:hAnsi="Cambria Math"/>
                          </w:rPr>
                          <m:t>P</m:t>
                        </m:r>
                      </m:sub>
                      <m:sup>
                        <m:r>
                          <w:rPr>
                            <w:rFonts w:ascii="Cambria Math" w:hAnsi="Cambria Math"/>
                          </w:rPr>
                          <m:t>S</m:t>
                        </m:r>
                      </m:sup>
                    </m:sSubSup>
                    <m:sSub>
                      <m:sSubPr>
                        <m:ctrlPr>
                          <w:rPr>
                            <w:rFonts w:ascii="Cambria Math" w:hAnsi="Cambria Math"/>
                            <w:i/>
                          </w:rPr>
                        </m:ctrlPr>
                      </m:sSubPr>
                      <m:e>
                        <m:r>
                          <w:rPr>
                            <w:rFonts w:ascii="Cambria Math" w:hAnsi="Cambria Math"/>
                          </w:rPr>
                          <m:t>Speed Capability</m:t>
                        </m:r>
                      </m:e>
                      <m:sub>
                        <m:r>
                          <w:rPr>
                            <w:rFonts w:ascii="Cambria Math" w:hAnsi="Cambria Math"/>
                          </w:rPr>
                          <m:t>j,t</m:t>
                        </m:r>
                      </m:sub>
                    </m:sSub>
                    <m:r>
                      <w:rPr>
                        <w:rFonts w:ascii="Cambria Math" w:hAnsi="Cambria Math"/>
                      </w:rPr>
                      <m:t xml:space="preserve"> x</m:t>
                    </m:r>
                    <m:r>
                      <m:rPr>
                        <m:sty m:val="p"/>
                      </m:rPr>
                      <w:rPr>
                        <w:rFonts w:ascii="Cambria Math" w:hAnsi="Cambria Math"/>
                      </w:rPr>
                      <m:t xml:space="preserve"> </m:t>
                    </m:r>
                    <m:r>
                      <w:rPr>
                        <w:rFonts w:ascii="Cambria Math" w:hAnsi="Cambria Math"/>
                      </w:rPr>
                      <m:t xml:space="preserve">Entry </m:t>
                    </m:r>
                    <m:sSub>
                      <m:sSubPr>
                        <m:ctrlPr>
                          <w:rPr>
                            <w:rFonts w:ascii="Cambria Math" w:hAnsi="Cambria Math"/>
                            <w:i/>
                          </w:rPr>
                        </m:ctrlPr>
                      </m:sSubPr>
                      <m:e>
                        <m:r>
                          <w:rPr>
                            <w:rFonts w:ascii="Cambria Math" w:hAnsi="Cambria Math"/>
                          </w:rPr>
                          <m:t>Timing</m:t>
                        </m:r>
                      </m:e>
                      <m:sub>
                        <m:r>
                          <w:rPr>
                            <w:rFonts w:ascii="Cambria Math" w:hAnsi="Cambria Math"/>
                          </w:rPr>
                          <m:t>P</m:t>
                        </m:r>
                      </m:sub>
                    </m:sSub>
                    <m:r>
                      <w:rPr>
                        <w:rFonts w:ascii="Cambria Math" w:hAnsi="Cambria Math"/>
                      </w:rPr>
                      <m:t xml:space="preserve"> x</m:t>
                    </m:r>
                    <m:r>
                      <m:rPr>
                        <m:sty m:val="p"/>
                      </m:rPr>
                      <w:rPr>
                        <w:rFonts w:ascii="Cambria Math" w:hAnsi="Cambria Math"/>
                      </w:rPr>
                      <m:t xml:space="preserve"> </m:t>
                    </m:r>
                    <m:r>
                      <w:rPr>
                        <w:rFonts w:ascii="Cambria Math" w:hAnsi="Cambria Math"/>
                      </w:rPr>
                      <m:t>Usage</m:t>
                    </m:r>
                    <m:d>
                      <m:dPr>
                        <m:begChr m:val="|"/>
                        <m:endChr m:val="|"/>
                        <m:ctrlPr>
                          <w:rPr>
                            <w:rFonts w:ascii="Cambria Math" w:hAnsi="Cambria Math"/>
                            <w:i/>
                          </w:rPr>
                        </m:ctrlPr>
                      </m:dPr>
                      <m:e>
                        <m:r>
                          <w:rPr>
                            <w:rFonts w:ascii="Cambria Math" w:hAnsi="Cambria Math"/>
                          </w:rPr>
                          <m:t xml:space="preserve">Specific+ </m:t>
                        </m:r>
                        <m:sSubSup>
                          <m:sSubSupPr>
                            <m:ctrlPr>
                              <w:rPr>
                                <w:rFonts w:ascii="Cambria Math" w:hAnsi="Cambria Math"/>
                                <w:i/>
                              </w:rPr>
                            </m:ctrlPr>
                          </m:sSubSupPr>
                          <m:e>
                            <m:r>
                              <w:rPr>
                                <w:rFonts w:ascii="Cambria Math" w:hAnsi="Cambria Math"/>
                              </w:rPr>
                              <m:t>β</m:t>
                            </m:r>
                          </m:e>
                          <m:sub>
                            <m:r>
                              <w:rPr>
                                <w:rFonts w:ascii="Cambria Math" w:hAnsi="Cambria Math"/>
                              </w:rPr>
                              <m:t>P</m:t>
                            </m:r>
                          </m:sub>
                          <m:sup>
                            <m:r>
                              <w:rPr>
                                <w:rFonts w:ascii="Cambria Math" w:hAnsi="Cambria Math"/>
                              </w:rPr>
                              <m:t>F</m:t>
                            </m:r>
                          </m:sup>
                        </m:sSubSup>
                        <m:sSub>
                          <m:sSubPr>
                            <m:ctrlPr>
                              <w:rPr>
                                <w:rFonts w:ascii="Cambria Math" w:hAnsi="Cambria Math"/>
                                <w:i/>
                              </w:rPr>
                            </m:ctrlPr>
                          </m:sSubPr>
                          <m:e>
                            <m:r>
                              <w:rPr>
                                <w:rFonts w:ascii="Cambria Math" w:hAnsi="Cambria Math"/>
                              </w:rPr>
                              <m:t>Speed Capability</m:t>
                            </m:r>
                          </m:e>
                          <m:sub>
                            <m:r>
                              <w:rPr>
                                <w:rFonts w:ascii="Cambria Math" w:hAnsi="Cambria Math"/>
                              </w:rPr>
                              <m:t>j,t</m:t>
                            </m:r>
                          </m:sub>
                        </m:sSub>
                        <m:r>
                          <w:rPr>
                            <w:rFonts w:ascii="Cambria Math" w:hAnsi="Cambria Math"/>
                          </w:rPr>
                          <m:t xml:space="preserve"> x</m:t>
                        </m:r>
                        <m:r>
                          <m:rPr>
                            <m:sty m:val="p"/>
                          </m:rPr>
                          <w:rPr>
                            <w:rFonts w:ascii="Cambria Math" w:hAnsi="Cambria Math"/>
                          </w:rPr>
                          <m:t xml:space="preserve"> Entry </m:t>
                        </m:r>
                        <m:sSub>
                          <m:sSubPr>
                            <m:ctrlPr>
                              <w:rPr>
                                <w:rFonts w:ascii="Cambria Math" w:hAnsi="Cambria Math"/>
                                <w:i/>
                              </w:rPr>
                            </m:ctrlPr>
                          </m:sSubPr>
                          <m:e>
                            <m:r>
                              <w:rPr>
                                <w:rFonts w:ascii="Cambria Math" w:hAnsi="Cambria Math"/>
                              </w:rPr>
                              <m:t>Timing</m:t>
                            </m:r>
                          </m:e>
                          <m:sub>
                            <m:r>
                              <w:rPr>
                                <w:rFonts w:ascii="Cambria Math" w:hAnsi="Cambria Math"/>
                              </w:rPr>
                              <m:t>P</m:t>
                            </m:r>
                          </m:sub>
                        </m:sSub>
                        <m:r>
                          <w:rPr>
                            <w:rFonts w:ascii="Cambria Math" w:hAnsi="Cambria Math"/>
                          </w:rPr>
                          <m:t xml:space="preserve"> x</m:t>
                        </m:r>
                        <m:r>
                          <m:rPr>
                            <m:sty m:val="p"/>
                          </m:rPr>
                          <w:rPr>
                            <w:rFonts w:ascii="Cambria Math" w:hAnsi="Cambria Math"/>
                          </w:rPr>
                          <m:t xml:space="preserve"> </m:t>
                        </m:r>
                        <m:r>
                          <w:rPr>
                            <w:rFonts w:ascii="Cambria Math" w:hAnsi="Cambria Math"/>
                          </w:rPr>
                          <m:t>Usage</m:t>
                        </m:r>
                      </m:e>
                    </m:d>
                    <m:r>
                      <w:rPr>
                        <w:rFonts w:ascii="Cambria Math" w:hAnsi="Cambria Math"/>
                      </w:rPr>
                      <m:t>Flexible) +</m:t>
                    </m:r>
                    <m:sSub>
                      <m:sSubPr>
                        <m:ctrlPr>
                          <w:rPr>
                            <w:rFonts w:ascii="Cambria Math" w:hAnsi="Cambria Math"/>
                            <w:b/>
                            <w:i/>
                          </w:rPr>
                        </m:ctrlPr>
                      </m:sSubPr>
                      <m:e>
                        <m:r>
                          <m:rPr>
                            <m:sty m:val="bi"/>
                          </m:rPr>
                          <w:rPr>
                            <w:rFonts w:ascii="Cambria Math" w:hAnsi="Cambria Math"/>
                          </w:rPr>
                          <m:t>β</m:t>
                        </m:r>
                      </m:e>
                      <m:sub>
                        <m:r>
                          <m:rPr>
                            <m:sty m:val="bi"/>
                          </m:rPr>
                          <w:rPr>
                            <w:rFonts w:ascii="Cambria Math" w:hAnsi="Cambria Math"/>
                          </w:rPr>
                          <m:t>3</m:t>
                        </m:r>
                      </m:sub>
                    </m:sSub>
                    <m:sSub>
                      <m:sSubPr>
                        <m:ctrlPr>
                          <w:rPr>
                            <w:rFonts w:ascii="Cambria Math" w:hAnsi="Cambria Math"/>
                            <w:b/>
                            <w:i/>
                          </w:rPr>
                        </m:ctrlPr>
                      </m:sSubPr>
                      <m:e>
                        <m:r>
                          <m:rPr>
                            <m:sty m:val="bi"/>
                          </m:rPr>
                          <w:rPr>
                            <w:rFonts w:ascii="Cambria Math" w:hAnsi="Cambria Math"/>
                          </w:rPr>
                          <m:t>X</m:t>
                        </m:r>
                      </m:e>
                      <m:sub>
                        <m:r>
                          <m:rPr>
                            <m:sty m:val="bi"/>
                          </m:rP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j,t</m:t>
                        </m:r>
                      </m:sub>
                    </m:sSub>
                  </m:e>
                </m:nary>
              </m:oMath>
            </m:oMathPara>
          </w:p>
        </w:tc>
        <w:tc>
          <w:tcPr>
            <w:tcW w:w="203" w:type="pct"/>
            <w:vAlign w:val="center"/>
          </w:tcPr>
          <w:p w:rsidR="0015445D" w:rsidRPr="00E5296B" w:rsidRDefault="0015445D" w:rsidP="0085587A">
            <w:pPr>
              <w:pStyle w:val="ListParagraph"/>
              <w:numPr>
                <w:ilvl w:val="0"/>
                <w:numId w:val="15"/>
              </w:numPr>
              <w:spacing w:before="200" w:after="200" w:line="240" w:lineRule="auto"/>
              <w:jc w:val="center"/>
            </w:pPr>
          </w:p>
        </w:tc>
      </w:tr>
    </w:tbl>
    <w:p w:rsidR="0015445D" w:rsidRPr="00410822" w:rsidRDefault="0015445D" w:rsidP="0015445D">
      <w:pPr>
        <w:spacing w:line="480" w:lineRule="auto"/>
      </w:pPr>
      <w:r w:rsidRPr="00410822">
        <w:lastRenderedPageBreak/>
        <w:t xml:space="preserve">Since the performance benefits from delayed entry should be larger </w:t>
      </w:r>
      <w:r>
        <w:t>with high usage-specificity</w:t>
      </w:r>
      <w:r w:rsidRPr="00410822">
        <w:t>, we predict that</w:t>
      </w:r>
      <w:r>
        <w:t xml:space="preserve"> </w:t>
      </w:r>
      <m:oMath>
        <m:sSubSup>
          <m:sSubSupPr>
            <m:ctrlPr>
              <w:rPr>
                <w:rFonts w:ascii="Cambria Math" w:hAnsi="Cambria Math"/>
                <w:i/>
              </w:rPr>
            </m:ctrlPr>
          </m:sSubSupPr>
          <m:e>
            <m:r>
              <w:rPr>
                <w:rFonts w:ascii="Cambria Math" w:hAnsi="Cambria Math"/>
              </w:rPr>
              <m:t>β</m:t>
            </m:r>
          </m:e>
          <m:sub>
            <m:r>
              <w:rPr>
                <w:rFonts w:ascii="Cambria Math" w:hAnsi="Cambria Math"/>
              </w:rPr>
              <m:t>2</m:t>
            </m:r>
          </m:sub>
          <m:sup>
            <m:r>
              <w:rPr>
                <w:rFonts w:ascii="Cambria Math" w:hAnsi="Cambria Math"/>
              </w:rPr>
              <m:t>S</m:t>
            </m:r>
          </m:sup>
        </m:sSubSup>
        <m:r>
          <w:rPr>
            <w:rFonts w:ascii="Cambria Math" w:hAnsi="Cambria Math"/>
          </w:rPr>
          <m:t>&gt;</m:t>
        </m:r>
        <m:sSubSup>
          <m:sSubSupPr>
            <m:ctrlPr>
              <w:rPr>
                <w:rFonts w:ascii="Cambria Math" w:hAnsi="Cambria Math"/>
                <w:i/>
              </w:rPr>
            </m:ctrlPr>
          </m:sSubSupPr>
          <m:e>
            <m:r>
              <w:rPr>
                <w:rFonts w:ascii="Cambria Math" w:hAnsi="Cambria Math"/>
              </w:rPr>
              <m:t>β</m:t>
            </m:r>
          </m:e>
          <m:sub>
            <m:r>
              <w:rPr>
                <w:rFonts w:ascii="Cambria Math" w:hAnsi="Cambria Math"/>
              </w:rPr>
              <m:t>1</m:t>
            </m:r>
          </m:sub>
          <m:sup>
            <m:r>
              <w:rPr>
                <w:rFonts w:ascii="Cambria Math" w:hAnsi="Cambria Math"/>
              </w:rPr>
              <m:t>S</m:t>
            </m:r>
          </m:sup>
        </m:sSubSup>
      </m:oMath>
      <w:r>
        <w:t xml:space="preserve"> </w:t>
      </w:r>
      <w:proofErr w:type="gramStart"/>
      <w:r>
        <w:t xml:space="preserve">and </w:t>
      </w:r>
      <w:proofErr w:type="gramEnd"/>
      <m:oMath>
        <m:sSubSup>
          <m:sSubSupPr>
            <m:ctrlPr>
              <w:rPr>
                <w:rFonts w:ascii="Cambria Math" w:hAnsi="Cambria Math"/>
                <w:i/>
              </w:rPr>
            </m:ctrlPr>
          </m:sSubSupPr>
          <m:e>
            <m:r>
              <w:rPr>
                <w:rFonts w:ascii="Cambria Math" w:hAnsi="Cambria Math"/>
              </w:rPr>
              <m:t>β</m:t>
            </m:r>
          </m:e>
          <m:sub>
            <m:r>
              <w:rPr>
                <w:rFonts w:ascii="Cambria Math" w:hAnsi="Cambria Math"/>
              </w:rPr>
              <m:t>2</m:t>
            </m:r>
          </m:sub>
          <m:sup>
            <m:r>
              <w:rPr>
                <w:rFonts w:ascii="Cambria Math" w:hAnsi="Cambria Math"/>
              </w:rPr>
              <m:t>S</m:t>
            </m:r>
          </m:sup>
        </m:sSubSup>
        <m:r>
          <w:rPr>
            <w:rFonts w:ascii="Cambria Math" w:hAnsi="Cambria Math"/>
          </w:rPr>
          <m:t>&gt;0</m:t>
        </m:r>
      </m:oMath>
      <w:r>
        <w:t xml:space="preserve">. </w:t>
      </w:r>
      <w:r w:rsidR="00013D6B">
        <w:t>Finally</w:t>
      </w:r>
      <w:r>
        <w:t xml:space="preserve">, the performance </w:t>
      </w:r>
      <w:r w:rsidRPr="00410822">
        <w:t xml:space="preserve">benefits from delayed entry </w:t>
      </w:r>
      <w:r>
        <w:t>with usage-flexible investments</w:t>
      </w:r>
      <w:r w:rsidR="00FC6AF1">
        <w:t xml:space="preserve"> are uncertain</w:t>
      </w:r>
      <w:r>
        <w:t xml:space="preserve">.  </w:t>
      </w:r>
    </w:p>
    <w:p w:rsidR="0015445D" w:rsidRPr="00410822" w:rsidRDefault="0015445D" w:rsidP="00905FF1">
      <w:pPr>
        <w:spacing w:after="200" w:line="276" w:lineRule="auto"/>
        <w:rPr>
          <w:b/>
        </w:rPr>
      </w:pPr>
      <w:r w:rsidRPr="00410822">
        <w:rPr>
          <w:b/>
        </w:rPr>
        <w:t>RESEARCH DESIGN</w:t>
      </w:r>
    </w:p>
    <w:p w:rsidR="0015445D" w:rsidRPr="00410822" w:rsidRDefault="0015445D" w:rsidP="0015445D">
      <w:pPr>
        <w:spacing w:line="480" w:lineRule="auto"/>
      </w:pPr>
      <w:r w:rsidRPr="00410822">
        <w:rPr>
          <w:b/>
        </w:rPr>
        <w:t>Sample</w:t>
      </w:r>
    </w:p>
    <w:p w:rsidR="002F0465" w:rsidRDefault="0015445D" w:rsidP="0015445D">
      <w:pPr>
        <w:spacing w:line="480" w:lineRule="auto"/>
      </w:pPr>
      <w:r>
        <w:t>We examine the</w:t>
      </w:r>
      <w:r w:rsidRPr="00410822">
        <w:t xml:space="preserve"> empirical relations</w:t>
      </w:r>
      <w:r w:rsidR="00D10E1D">
        <w:t>hip</w:t>
      </w:r>
      <w:r w:rsidRPr="00410822">
        <w:t xml:space="preserve"> between speed capabilities, entry timing, and subsequent entry performance in the context of the Atlantic Basin LNG submarket of the global LNG industry from 1996 to 2007. </w:t>
      </w:r>
      <w:r w:rsidR="002F0465">
        <w:t xml:space="preserve">To save space, </w:t>
      </w:r>
      <w:r w:rsidR="00EA0FBE">
        <w:t>we</w:t>
      </w:r>
      <w:r w:rsidRPr="00410822">
        <w:t xml:space="preserve"> </w:t>
      </w:r>
      <w:r w:rsidR="002F0465">
        <w:t xml:space="preserve">report in Appendix I </w:t>
      </w:r>
      <w:r w:rsidRPr="00410822">
        <w:t xml:space="preserve">background </w:t>
      </w:r>
      <w:r w:rsidR="002F0465">
        <w:t xml:space="preserve">information </w:t>
      </w:r>
      <w:r w:rsidRPr="00410822">
        <w:t>on the LNG industry and the emergence of the Atlantic Basin submarket as a new market opportun</w:t>
      </w:r>
      <w:r w:rsidR="00EA0FBE">
        <w:t>ity</w:t>
      </w:r>
      <w:r w:rsidR="00D10E1D">
        <w:t xml:space="preserve"> -</w:t>
      </w:r>
      <w:r w:rsidR="002F0465">
        <w:t xml:space="preserve"> and its special features that make it an attractive context for our study. We mention here two critical features that are pertinent to our study.  </w:t>
      </w:r>
    </w:p>
    <w:p w:rsidR="00035A40" w:rsidRDefault="002F0465" w:rsidP="00464D21">
      <w:pPr>
        <w:spacing w:line="480" w:lineRule="auto"/>
        <w:ind w:firstLine="720"/>
      </w:pPr>
      <w:r>
        <w:t xml:space="preserve">First, we </w:t>
      </w:r>
      <w:r w:rsidR="00035A40" w:rsidRPr="00410822">
        <w:t>ground our study of new market entry decisions using the broad empirical patterns of the emergence of new market opportunities as depicted in studies on industry evolution (</w:t>
      </w:r>
      <w:proofErr w:type="spellStart"/>
      <w:r w:rsidR="00035A40" w:rsidRPr="00410822">
        <w:t>Gort</w:t>
      </w:r>
      <w:proofErr w:type="spellEnd"/>
      <w:r w:rsidR="00035A40" w:rsidRPr="00410822">
        <w:t xml:space="preserve"> and </w:t>
      </w:r>
      <w:proofErr w:type="spellStart"/>
      <w:r w:rsidR="00035A40" w:rsidRPr="00410822">
        <w:t>Klepper</w:t>
      </w:r>
      <w:proofErr w:type="spellEnd"/>
      <w:r w:rsidR="00035A40" w:rsidRPr="00410822">
        <w:t xml:space="preserve"> 1982; Agarwal and </w:t>
      </w:r>
      <w:proofErr w:type="spellStart"/>
      <w:r w:rsidR="00035A40" w:rsidRPr="00410822">
        <w:t>Gort</w:t>
      </w:r>
      <w:proofErr w:type="spellEnd"/>
      <w:r w:rsidR="00035A40" w:rsidRPr="00410822">
        <w:t xml:space="preserve"> 1996). According to this literature, the early stage of an industry tends to be characterized by two phases: Phase I where entry is slow, and Phase II where entry accelerates until reaching a peak. The boundary between Phase I and Phase II usually is determined by “a sharp increase in the rate of entry of new competitors into the industry” (</w:t>
      </w:r>
      <w:proofErr w:type="spellStart"/>
      <w:r w:rsidR="00035A40" w:rsidRPr="00410822">
        <w:t>Gort</w:t>
      </w:r>
      <w:proofErr w:type="spellEnd"/>
      <w:r w:rsidR="00035A40" w:rsidRPr="00410822">
        <w:t xml:space="preserve"> and </w:t>
      </w:r>
      <w:proofErr w:type="spellStart"/>
      <w:r w:rsidR="00035A40" w:rsidRPr="00410822">
        <w:t>Klepper</w:t>
      </w:r>
      <w:proofErr w:type="spellEnd"/>
      <w:r w:rsidR="00035A40" w:rsidRPr="00410822">
        <w:t xml:space="preserve"> 1982, </w:t>
      </w:r>
      <w:r w:rsidR="00035A40">
        <w:t>p.</w:t>
      </w:r>
      <w:r w:rsidR="00035A40" w:rsidRPr="00410822">
        <w:t xml:space="preserve"> 631), and this increase in entry is typically associated with some int</w:t>
      </w:r>
      <w:r w:rsidR="00035A40">
        <w:t>roduction of new “</w:t>
      </w:r>
      <w:r w:rsidR="00035A40" w:rsidRPr="00410822">
        <w:t>information emanating from sources outside the set of current producers” (</w:t>
      </w:r>
      <w:proofErr w:type="spellStart"/>
      <w:r w:rsidR="00035A40" w:rsidRPr="00410822">
        <w:t>Gort</w:t>
      </w:r>
      <w:proofErr w:type="spellEnd"/>
      <w:r w:rsidR="00035A40" w:rsidRPr="00410822">
        <w:t xml:space="preserve"> and </w:t>
      </w:r>
      <w:proofErr w:type="spellStart"/>
      <w:r w:rsidR="00035A40" w:rsidRPr="00410822">
        <w:t>Klepper</w:t>
      </w:r>
      <w:proofErr w:type="spellEnd"/>
      <w:r w:rsidR="00035A40" w:rsidRPr="00410822">
        <w:t xml:space="preserve"> 1982, </w:t>
      </w:r>
      <w:r w:rsidR="00035A40">
        <w:t>p.</w:t>
      </w:r>
      <w:r w:rsidR="00035A40" w:rsidRPr="00410822">
        <w:t xml:space="preserve"> 632) that facilitates </w:t>
      </w:r>
      <w:proofErr w:type="spellStart"/>
      <w:r w:rsidR="00035A40" w:rsidRPr="00410822">
        <w:t>entry.</w:t>
      </w:r>
      <w:r>
        <w:t>As</w:t>
      </w:r>
      <w:proofErr w:type="spellEnd"/>
      <w:r>
        <w:t xml:space="preserve"> presented in </w:t>
      </w:r>
      <w:r w:rsidR="00E03F5B">
        <w:t xml:space="preserve">Figure 1 and discussed in </w:t>
      </w:r>
      <w:r>
        <w:t>the appendix</w:t>
      </w:r>
      <w:r w:rsidRPr="00D3114D">
        <w:t xml:space="preserve">, </w:t>
      </w:r>
      <w:r w:rsidR="00035A40" w:rsidRPr="005D453E">
        <w:t>construction activity in Atlantic Basin LNG closely follows the</w:t>
      </w:r>
      <w:r w:rsidR="000F3FFB" w:rsidRPr="00D3114D">
        <w:t>se</w:t>
      </w:r>
      <w:r w:rsidR="00035A40" w:rsidRPr="005D453E">
        <w:t xml:space="preserve"> patterns</w:t>
      </w:r>
      <w:r w:rsidR="000F3FFB" w:rsidRPr="00D3114D">
        <w:t xml:space="preserve">. </w:t>
      </w:r>
      <w:r w:rsidR="00035A40" w:rsidRPr="005D453E">
        <w:t xml:space="preserve">Entry occurred from the mid-1990s to 2000 at a very slow rate </w:t>
      </w:r>
      <w:r w:rsidR="000F3FFB" w:rsidRPr="00D3114D">
        <w:t xml:space="preserve">when </w:t>
      </w:r>
      <w:r w:rsidR="00035A40" w:rsidRPr="005D453E">
        <w:t xml:space="preserve">natural gas prices </w:t>
      </w:r>
      <w:r w:rsidR="000F3FFB" w:rsidRPr="00D3114D">
        <w:t xml:space="preserve">were </w:t>
      </w:r>
      <w:r w:rsidR="00035A40" w:rsidRPr="005D453E">
        <w:t>historically</w:t>
      </w:r>
      <w:r w:rsidR="000F3FFB" w:rsidRPr="00D3114D">
        <w:t xml:space="preserve"> low and the market was uncertain. </w:t>
      </w:r>
      <w:r w:rsidR="00491CEA">
        <w:t xml:space="preserve">In the winter of </w:t>
      </w:r>
      <w:r w:rsidR="00035A40" w:rsidRPr="005D453E">
        <w:t xml:space="preserve">2000, </w:t>
      </w:r>
      <w:r w:rsidR="000F3FFB" w:rsidRPr="001B2C11">
        <w:t>following market liberalization</w:t>
      </w:r>
      <w:r w:rsidR="00464D21" w:rsidRPr="001B2C11">
        <w:t xml:space="preserve"> and increase in </w:t>
      </w:r>
      <w:r w:rsidR="000F3FFB" w:rsidRPr="001B2C11">
        <w:t xml:space="preserve">demand, </w:t>
      </w:r>
      <w:r w:rsidR="0021121A">
        <w:t xml:space="preserve">natural gas </w:t>
      </w:r>
      <w:r w:rsidR="000F3FFB" w:rsidRPr="001B2C11">
        <w:t>price</w:t>
      </w:r>
      <w:r w:rsidR="0021121A">
        <w:t>s</w:t>
      </w:r>
      <w:r w:rsidR="000F3FFB" w:rsidRPr="001B2C11">
        <w:t xml:space="preserve"> </w:t>
      </w:r>
      <w:r w:rsidR="00464D21" w:rsidRPr="001B2C11">
        <w:t>surged</w:t>
      </w:r>
      <w:r w:rsidR="0021121A">
        <w:t xml:space="preserve"> upward to over five times typical </w:t>
      </w:r>
      <w:r w:rsidR="0021121A">
        <w:lastRenderedPageBreak/>
        <w:t>price levels</w:t>
      </w:r>
      <w:r w:rsidR="00464D21" w:rsidRPr="001B2C11">
        <w:t xml:space="preserve"> and a </w:t>
      </w:r>
      <w:r w:rsidR="000F3FFB" w:rsidRPr="001B2C11">
        <w:t>consensus of uncertainty reduction</w:t>
      </w:r>
      <w:r w:rsidR="00464D21" w:rsidRPr="001B2C11">
        <w:t xml:space="preserve"> developed</w:t>
      </w:r>
      <w:r w:rsidR="000F3FFB" w:rsidRPr="001B2C11">
        <w:t>. E</w:t>
      </w:r>
      <w:r w:rsidR="00035A40" w:rsidRPr="005D453E">
        <w:t>ntry dramatically accelerates in the Atlantic Basin LNG market until the end of our sample (with a slight reduction in entry in 2007).</w:t>
      </w:r>
      <w:r w:rsidR="00035A40" w:rsidRPr="00410822">
        <w:t xml:space="preserve"> </w:t>
      </w:r>
      <w:r w:rsidR="00035A40">
        <w:t xml:space="preserve">As a result, </w:t>
      </w:r>
      <w:r w:rsidR="00464D21">
        <w:t xml:space="preserve">we </w:t>
      </w:r>
      <w:r w:rsidR="00035A40">
        <w:t>partitioned</w:t>
      </w:r>
      <w:r w:rsidR="00E71F3D">
        <w:t xml:space="preserve"> the</w:t>
      </w:r>
      <w:r w:rsidR="00035A40">
        <w:t xml:space="preserve"> entry queue based on a</w:t>
      </w:r>
      <w:r w:rsidR="00035A40" w:rsidRPr="00410822">
        <w:t xml:space="preserve"> pre-2000 </w:t>
      </w:r>
      <w:r w:rsidR="00035A40">
        <w:t>highly</w:t>
      </w:r>
      <w:r w:rsidR="00035A40" w:rsidRPr="00410822">
        <w:t xml:space="preserve"> uncertain regime </w:t>
      </w:r>
      <w:r w:rsidR="00035A40">
        <w:t xml:space="preserve">(corresponding to </w:t>
      </w:r>
      <w:proofErr w:type="gramStart"/>
      <w:r w:rsidR="00035A40">
        <w:t>Phase</w:t>
      </w:r>
      <w:proofErr w:type="gramEnd"/>
      <w:r w:rsidR="00035A40">
        <w:t xml:space="preserve"> I) and a post-2000 regime with </w:t>
      </w:r>
      <w:r w:rsidR="00035A40" w:rsidRPr="00410822">
        <w:t xml:space="preserve">an empirically validated </w:t>
      </w:r>
      <w:r w:rsidR="00035A40">
        <w:t xml:space="preserve">and exogenously determined </w:t>
      </w:r>
      <w:r w:rsidR="00035A40" w:rsidRPr="00410822">
        <w:t xml:space="preserve">uncertainty reduction (corresponding to Phase II). </w:t>
      </w:r>
      <w:r w:rsidR="00160019">
        <w:t xml:space="preserve">Note that we use the change in LNG pricing in 2000 </w:t>
      </w:r>
      <w:r w:rsidR="000A26D3">
        <w:t xml:space="preserve">– and not the market diffusion of technological information (as in </w:t>
      </w:r>
      <w:proofErr w:type="spellStart"/>
      <w:r w:rsidR="000A26D3">
        <w:t>Gort</w:t>
      </w:r>
      <w:proofErr w:type="spellEnd"/>
      <w:r w:rsidR="000A26D3">
        <w:t xml:space="preserve"> and </w:t>
      </w:r>
      <w:proofErr w:type="spellStart"/>
      <w:r w:rsidR="000A26D3">
        <w:t>Klepper</w:t>
      </w:r>
      <w:proofErr w:type="spellEnd"/>
      <w:r w:rsidR="000A26D3">
        <w:t xml:space="preserve">, 1982) – </w:t>
      </w:r>
      <w:r w:rsidR="00160019">
        <w:t>as</w:t>
      </w:r>
      <w:r w:rsidR="00A46230">
        <w:t xml:space="preserve"> </w:t>
      </w:r>
      <w:r w:rsidR="00160019">
        <w:t>the boundary between Phases I and II</w:t>
      </w:r>
      <w:r w:rsidR="00A46230">
        <w:t xml:space="preserve"> because </w:t>
      </w:r>
      <w:r w:rsidR="003D3E16">
        <w:t xml:space="preserve">LNG is a commodity market </w:t>
      </w:r>
      <w:r w:rsidR="00043AFB">
        <w:t>with</w:t>
      </w:r>
      <w:r w:rsidR="003D3E16">
        <w:t xml:space="preserve"> limited </w:t>
      </w:r>
      <w:r w:rsidR="00A46230">
        <w:t xml:space="preserve">product innovation.   </w:t>
      </w:r>
    </w:p>
    <w:p w:rsidR="003B4DC2" w:rsidRDefault="003B4DC2" w:rsidP="00905FF1">
      <w:pPr>
        <w:spacing w:line="480" w:lineRule="auto"/>
        <w:jc w:val="center"/>
      </w:pPr>
      <w:r>
        <w:t>**Insert Figure 1 about here**</w:t>
      </w:r>
    </w:p>
    <w:p w:rsidR="00780E3B" w:rsidRDefault="00464D21" w:rsidP="00A86E03">
      <w:pPr>
        <w:spacing w:line="480" w:lineRule="auto"/>
        <w:ind w:firstLine="720"/>
      </w:pPr>
      <w:r>
        <w:t>Second, o</w:t>
      </w:r>
      <w:r w:rsidR="00035A40">
        <w:t xml:space="preserve">ur empirical </w:t>
      </w:r>
      <w:r w:rsidR="00924CDC">
        <w:t>hypotheses</w:t>
      </w:r>
      <w:r w:rsidR="00035A40">
        <w:t xml:space="preserve"> </w:t>
      </w:r>
      <w:r>
        <w:t xml:space="preserve">build on </w:t>
      </w:r>
      <w:r w:rsidR="00035A40">
        <w:t>usage-specific</w:t>
      </w:r>
      <w:r>
        <w:t xml:space="preserve">ity. </w:t>
      </w:r>
      <w:r w:rsidR="00035A40">
        <w:t>An ideal proxy for usage flexibility is difficult to obtain. Fortunately, w</w:t>
      </w:r>
      <w:r w:rsidR="00035A40" w:rsidRPr="00410822">
        <w:t xml:space="preserve">e </w:t>
      </w:r>
      <w:r w:rsidR="00035A40">
        <w:t xml:space="preserve">can partition our sample </w:t>
      </w:r>
      <w:r w:rsidR="00035A40" w:rsidRPr="00410822">
        <w:t>by facility type: gasification vs. liquefaction facilities</w:t>
      </w:r>
      <w:r w:rsidR="00035A40">
        <w:t>. Gasification facilities are usage-specific due to the minimal return available if the chosen import market does not become economically viable. Liquefaction facilities are usage-flexible since the LNG output from liquefaction can be diverted and sold in other markets</w:t>
      </w:r>
      <w:r w:rsidR="00524C21">
        <w:t xml:space="preserve"> – g</w:t>
      </w:r>
      <w:r w:rsidR="00035A40">
        <w:t xml:space="preserve">iven the multiple </w:t>
      </w:r>
      <w:proofErr w:type="gramStart"/>
      <w:r w:rsidR="00035A40">
        <w:t>alternatives,</w:t>
      </w:r>
      <w:proofErr w:type="gramEnd"/>
      <w:r w:rsidR="00035A40">
        <w:t xml:space="preserve"> the value of the investment is less critically dependent on the development of the original intended use.  </w:t>
      </w:r>
      <w:r>
        <w:t xml:space="preserve">Our empirical </w:t>
      </w:r>
      <w:r w:rsidR="00924CDC">
        <w:t>hypotheses</w:t>
      </w:r>
      <w:r>
        <w:t xml:space="preserve"> </w:t>
      </w:r>
      <w:r w:rsidR="00780E3B">
        <w:t>appl</w:t>
      </w:r>
      <w:r w:rsidR="00924CDC">
        <w:t xml:space="preserve">y </w:t>
      </w:r>
      <w:r w:rsidR="00780E3B">
        <w:t xml:space="preserve">to </w:t>
      </w:r>
      <w:r w:rsidR="00524C21">
        <w:t>gasification investments due to the high level of usage-specificity</w:t>
      </w:r>
      <w:r w:rsidR="00780E3B">
        <w:t>.</w:t>
      </w:r>
    </w:p>
    <w:p w:rsidR="00BF2510" w:rsidRDefault="0015445D" w:rsidP="0015445D">
      <w:pPr>
        <w:spacing w:line="480" w:lineRule="auto"/>
      </w:pPr>
      <w:r w:rsidRPr="00410822">
        <w:rPr>
          <w:b/>
        </w:rPr>
        <w:t>Data</w:t>
      </w:r>
      <w:r w:rsidRPr="00410822">
        <w:t xml:space="preserve"> </w:t>
      </w:r>
    </w:p>
    <w:p w:rsidR="005D453E" w:rsidRPr="0083512F" w:rsidRDefault="0015445D" w:rsidP="0015445D">
      <w:pPr>
        <w:spacing w:line="480" w:lineRule="auto"/>
      </w:pPr>
      <w:r w:rsidRPr="00410822">
        <w:t xml:space="preserve">Our main source of data on entry into LNG is the worldwide LNG construction projects dataset from the </w:t>
      </w:r>
      <w:r w:rsidRPr="00410822">
        <w:rPr>
          <w:i/>
        </w:rPr>
        <w:t>Oil and Gas Journal (OGJ)</w:t>
      </w:r>
      <w:r w:rsidRPr="00410822">
        <w:t xml:space="preserve">. We supplemented this data with other sources on LNG projects and project ownership from the </w:t>
      </w:r>
      <w:r w:rsidRPr="00410822">
        <w:rPr>
          <w:i/>
        </w:rPr>
        <w:t xml:space="preserve">LNG Observer, </w:t>
      </w:r>
      <w:r w:rsidRPr="00410822">
        <w:t>the 2007 LNG World Trade poster produced by the OGJ and the Gas Technology Institute, the Energy Information Administration’s</w:t>
      </w:r>
      <w:r>
        <w:t xml:space="preserve"> (EIA) </w:t>
      </w:r>
      <w:r w:rsidRPr="00410822">
        <w:t xml:space="preserve"> 2003 report “The Global Liquefied Natural Gas Market: Status &amp; Outlook”, </w:t>
      </w:r>
      <w:proofErr w:type="spellStart"/>
      <w:r w:rsidRPr="00410822">
        <w:t>Tusiani</w:t>
      </w:r>
      <w:proofErr w:type="spellEnd"/>
      <w:r w:rsidRPr="00410822">
        <w:t xml:space="preserve"> and </w:t>
      </w:r>
      <w:r w:rsidRPr="00410822">
        <w:lastRenderedPageBreak/>
        <w:t xml:space="preserve">Shearer’s </w:t>
      </w:r>
      <w:r w:rsidRPr="00410822">
        <w:rPr>
          <w:i/>
        </w:rPr>
        <w:t>LNG: A Nontechnical Guide</w:t>
      </w:r>
      <w:r w:rsidRPr="00410822">
        <w:t xml:space="preserve">, and company websites. This data collection effort produced a dataset of 352 LNG projects from 1996 to 2007, </w:t>
      </w:r>
      <w:r w:rsidR="001C73C2">
        <w:t xml:space="preserve">and </w:t>
      </w:r>
      <w:r w:rsidRPr="00410822">
        <w:t>represents an exhaustive database of all construction activity in LNG during our period of analysis.</w:t>
      </w:r>
      <w:r w:rsidRPr="00410822">
        <w:rPr>
          <w:rStyle w:val="FootnoteReference"/>
        </w:rPr>
        <w:footnoteReference w:id="4"/>
      </w:r>
      <w:r w:rsidRPr="00410822">
        <w:t xml:space="preserve"> We then mapped this entry information to the firm-year, parent company level using the ownership information collected during our data work. We matched this data with hand collected information on parent company oil and gas reserves from the OGJ100/200</w:t>
      </w:r>
      <w:r>
        <w:t xml:space="preserve"> (the OGJ’s survey of the 100 leading US-based and 200 leading international oil and gas companies)</w:t>
      </w:r>
      <w:r w:rsidRPr="00410822">
        <w:t xml:space="preserve"> and company annual reports and 10-Ks, LNG tanker information from the </w:t>
      </w:r>
      <w:r w:rsidRPr="00410822">
        <w:rPr>
          <w:i/>
        </w:rPr>
        <w:t>LNG Observer</w:t>
      </w:r>
      <w:r w:rsidRPr="00410822">
        <w:t xml:space="preserve"> and the EIA, financial information from the OGJ100/200, </w:t>
      </w:r>
      <w:proofErr w:type="spellStart"/>
      <w:r w:rsidRPr="00410822">
        <w:t>Orbis</w:t>
      </w:r>
      <w:proofErr w:type="spellEnd"/>
      <w:r w:rsidRPr="00410822">
        <w:t xml:space="preserve">, </w:t>
      </w:r>
      <w:proofErr w:type="spellStart"/>
      <w:r w:rsidRPr="00410822">
        <w:t>Compustat</w:t>
      </w:r>
      <w:proofErr w:type="spellEnd"/>
      <w:r w:rsidRPr="00410822">
        <w:t xml:space="preserve"> and company filings, project execution data unrelated to LNG from the OGJ, and LNG experience data spanning to the beginning of the industry in the 1960s from the OGJ. After deleting observations due to missing data for needed covariates, our final sample contained a panel dataset over 12 year between 1996 and 2007 and produced a sample of 585 firm year records corresponding to 50 firms. We believe this dataset comprises a comprehensive and unique panel dataset of all entrants into Atlantic Basin LNG with available and useable data for covariates.</w:t>
      </w:r>
    </w:p>
    <w:p w:rsidR="0015445D" w:rsidRPr="00410822" w:rsidRDefault="0015445D" w:rsidP="0015445D">
      <w:pPr>
        <w:spacing w:line="480" w:lineRule="auto"/>
        <w:rPr>
          <w:u w:val="single"/>
        </w:rPr>
      </w:pPr>
      <w:r>
        <w:rPr>
          <w:b/>
        </w:rPr>
        <w:t xml:space="preserve">Dependent Variable: </w:t>
      </w:r>
      <w:r w:rsidRPr="00410822">
        <w:rPr>
          <w:b/>
        </w:rPr>
        <w:t>Entry Decisions</w:t>
      </w:r>
    </w:p>
    <w:p w:rsidR="0015445D" w:rsidRPr="0083512F" w:rsidRDefault="0015445D" w:rsidP="0015445D">
      <w:pPr>
        <w:spacing w:line="480" w:lineRule="auto"/>
      </w:pPr>
      <w:r w:rsidRPr="00410822">
        <w:t xml:space="preserve">To study entry decisions, we create a series of dependent variables that equal 1 if a firm begins an LNG facility in a given year and 0 otherwise. We define entry as the initiation of a </w:t>
      </w:r>
      <w:r w:rsidRPr="00410822">
        <w:lastRenderedPageBreak/>
        <w:t>liquefaction or gasification project</w:t>
      </w:r>
      <w:r>
        <w:t xml:space="preserve"> [</w:t>
      </w:r>
      <w:proofErr w:type="spellStart"/>
      <w:r>
        <w:rPr>
          <w:i/>
        </w:rPr>
        <w:t>LNG|Entry</w:t>
      </w:r>
      <w:proofErr w:type="spellEnd"/>
      <w:r>
        <w:t>]</w:t>
      </w:r>
      <w:r w:rsidRPr="00410822">
        <w:t xml:space="preserve">. </w:t>
      </w:r>
      <w:r>
        <w:t>We further differentiate entries</w:t>
      </w:r>
      <w:r w:rsidRPr="00410822">
        <w:t xml:space="preserve"> by </w:t>
      </w:r>
      <w:r>
        <w:t>liquefaction [</w:t>
      </w:r>
      <w:proofErr w:type="spellStart"/>
      <w:r>
        <w:rPr>
          <w:i/>
        </w:rPr>
        <w:t>LIQ|Entry</w:t>
      </w:r>
      <w:proofErr w:type="spellEnd"/>
      <w:r>
        <w:t>]</w:t>
      </w:r>
      <w:r w:rsidRPr="00410822">
        <w:t xml:space="preserve"> </w:t>
      </w:r>
      <w:r>
        <w:t>and gasification [</w:t>
      </w:r>
      <w:proofErr w:type="spellStart"/>
      <w:r>
        <w:rPr>
          <w:i/>
        </w:rPr>
        <w:t>GAS|Entry</w:t>
      </w:r>
      <w:proofErr w:type="spellEnd"/>
      <w:r>
        <w:t>] projects</w:t>
      </w:r>
      <w:r w:rsidRPr="00410822">
        <w:t xml:space="preserve">. </w:t>
      </w:r>
    </w:p>
    <w:p w:rsidR="0015445D" w:rsidRPr="00410822" w:rsidRDefault="0015445D" w:rsidP="0015445D">
      <w:pPr>
        <w:spacing w:line="480" w:lineRule="auto"/>
        <w:rPr>
          <w:u w:val="single"/>
        </w:rPr>
      </w:pPr>
      <w:r>
        <w:rPr>
          <w:b/>
        </w:rPr>
        <w:t xml:space="preserve">Dependent Variable: </w:t>
      </w:r>
      <w:r w:rsidRPr="00410822">
        <w:rPr>
          <w:b/>
        </w:rPr>
        <w:t>Entry Performance</w:t>
      </w:r>
    </w:p>
    <w:p w:rsidR="005E6226" w:rsidRDefault="0015445D">
      <w:pPr>
        <w:spacing w:line="480" w:lineRule="auto"/>
      </w:pPr>
      <w:r w:rsidRPr="00410822">
        <w:t xml:space="preserve">To measure entry performance, we construct </w:t>
      </w:r>
      <w:r w:rsidRPr="00410822">
        <w:rPr>
          <w:i/>
        </w:rPr>
        <w:t>CAR</w:t>
      </w:r>
      <w:r w:rsidRPr="00410822">
        <w:t xml:space="preserve"> as the cumulative abnormal stock market return at the time when a firm announces entry with an LNG facility. To construct </w:t>
      </w:r>
      <w:r w:rsidRPr="00410822">
        <w:rPr>
          <w:i/>
        </w:rPr>
        <w:t>CAR</w:t>
      </w:r>
      <w:r w:rsidRPr="00410822">
        <w:t xml:space="preserve">, we first conduct the following data work: For each LNG project in our dataset, we identify the date of announcement for each LNG project using Factiva and Lexis-Nexis. We merge these announcement dates with stock market return data from CRSP. After cleaning our data, we have 291 global LNG projects with a useable announcement date and available stock price information. When we restrict our analysis to the Atlantic Basin, our data on projects in the Atlantic Basin with available corresponding US stock market information from CRSP gives us a sample of 185 events. Several firms however have repeat observations when they enter into more than one project in the Atlantic Basin in a given day. To avoid double-counting these observations in our analysis, we drop 14 duplicate observations and end up with a sample of 171 events. </w:t>
      </w:r>
    </w:p>
    <w:p w:rsidR="005C6F2D" w:rsidRDefault="0015445D" w:rsidP="001F124F">
      <w:pPr>
        <w:spacing w:line="480" w:lineRule="auto"/>
        <w:ind w:firstLine="720"/>
      </w:pPr>
      <w:r w:rsidRPr="00EE3ABF">
        <w:t xml:space="preserve">We then </w:t>
      </w:r>
      <w:r w:rsidR="000C1087" w:rsidRPr="00EE3ABF">
        <w:t>use standard event study methodology</w:t>
      </w:r>
      <w:r w:rsidR="00382F17" w:rsidRPr="00EE3ABF">
        <w:t>, as in Brown and Warner (1980)</w:t>
      </w:r>
      <w:r w:rsidR="000C1087" w:rsidRPr="00EE3ABF">
        <w:t xml:space="preserve"> to estimate a three day event window [-1, +1] cumulative abnormal stock market return when a firm announces entry with an LNG facility</w:t>
      </w:r>
      <w:r w:rsidRPr="00EE3ABF">
        <w:t>.</w:t>
      </w:r>
      <w:r w:rsidR="00032F47">
        <w:t xml:space="preserve"> </w:t>
      </w:r>
      <w:r w:rsidR="00EE3ABF" w:rsidRPr="00EE3ABF">
        <w:t>Specifically</w:t>
      </w:r>
      <w:r w:rsidR="00032F47">
        <w:t>,</w:t>
      </w:r>
      <w:r w:rsidR="00EE3ABF" w:rsidRPr="00EE3ABF">
        <w:t xml:space="preserve"> </w:t>
      </w:r>
      <w:r w:rsidR="00FA00D5">
        <w:t>w</w:t>
      </w:r>
      <w:r w:rsidR="00EE3ABF" w:rsidRPr="001F124F">
        <w:t>e first estimate the expected stock market return for each company using OLS as</w:t>
      </w:r>
      <w:proofErr w:type="gramStart"/>
      <w:r w:rsidR="00EE3ABF" w:rsidRPr="001F124F">
        <w:t xml:space="preserve">: </w:t>
      </w:r>
      <w:proofErr w:type="gramEnd"/>
      <m:oMath>
        <m:sSub>
          <m:sSubPr>
            <m:ctrlPr>
              <w:rPr>
                <w:rFonts w:ascii="Cambria Math" w:hAnsi="Cambria Math"/>
                <w:i/>
              </w:rPr>
            </m:ctrlPr>
          </m:sSubPr>
          <m:e>
            <m:r>
              <w:rPr>
                <w:rFonts w:ascii="Cambria Math" w:hAnsi="Cambria Math"/>
              </w:rPr>
              <m:t>RET</m:t>
            </m:r>
          </m:e>
          <m:sub>
            <m:r>
              <w:rPr>
                <w:rFonts w:ascii="Cambria Math" w:hAnsi="Cambria Math"/>
              </w:rPr>
              <m:t>j,t</m:t>
            </m:r>
          </m:sub>
        </m:sSub>
        <m:r>
          <w:rPr>
            <w:rFonts w:ascii="Cambria Math" w:hAnsi="Cambria Math"/>
          </w:rPr>
          <m:t>=α+</m:t>
        </m:r>
        <m:sSub>
          <m:sSubPr>
            <m:ctrlPr>
              <w:rPr>
                <w:rFonts w:ascii="Cambria Math" w:hAnsi="Cambria Math"/>
                <w:i/>
              </w:rPr>
            </m:ctrlPr>
          </m:sSubPr>
          <m:e>
            <m:r>
              <w:rPr>
                <w:rFonts w:ascii="Cambria Math" w:hAnsi="Cambria Math"/>
              </w:rPr>
              <m:t>β</m:t>
            </m:r>
          </m:e>
          <m:sub>
            <m:r>
              <w:rPr>
                <w:rFonts w:ascii="Cambria Math" w:hAnsi="Cambria Math"/>
              </w:rPr>
              <m:t>j</m:t>
            </m:r>
          </m:sub>
        </m:sSub>
        <m:sSub>
          <m:sSubPr>
            <m:ctrlPr>
              <w:rPr>
                <w:rFonts w:ascii="Cambria Math" w:hAnsi="Cambria Math"/>
                <w:i/>
              </w:rPr>
            </m:ctrlPr>
          </m:sSubPr>
          <m:e>
            <m:r>
              <w:rPr>
                <w:rFonts w:ascii="Cambria Math" w:hAnsi="Cambria Math"/>
              </w:rPr>
              <m:t>VWRETD</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j,t</m:t>
            </m:r>
          </m:sub>
        </m:sSub>
      </m:oMath>
      <w:r w:rsidR="00EE3ABF" w:rsidRPr="001F124F">
        <w:t xml:space="preserve">.  In our estimation, </w:t>
      </w:r>
      <m:oMath>
        <m:sSub>
          <m:sSubPr>
            <m:ctrlPr>
              <w:rPr>
                <w:rFonts w:ascii="Cambria Math" w:eastAsia="Calibri" w:hAnsi="Cambria Math"/>
                <w:i/>
              </w:rPr>
            </m:ctrlPr>
          </m:sSubPr>
          <m:e>
            <m:r>
              <w:rPr>
                <w:rFonts w:ascii="Cambria Math" w:hAnsi="Cambria Math"/>
              </w:rPr>
              <m:t>RET</m:t>
            </m:r>
          </m:e>
          <m:sub>
            <m:r>
              <w:rPr>
                <w:rFonts w:ascii="Cambria Math" w:hAnsi="Cambria Math"/>
              </w:rPr>
              <m:t>j,t</m:t>
            </m:r>
          </m:sub>
        </m:sSub>
      </m:oMath>
      <w:r w:rsidR="00EE3ABF" w:rsidRPr="001F124F">
        <w:rPr>
          <w:position w:val="-14"/>
        </w:rPr>
        <w:t xml:space="preserve"> </w:t>
      </w:r>
      <w:r w:rsidR="00EE3ABF" w:rsidRPr="001F124F">
        <w:t xml:space="preserve">is the daily stock return series for firm </w:t>
      </w:r>
      <m:oMath>
        <m:r>
          <w:rPr>
            <w:rFonts w:ascii="Cambria Math" w:hAnsi="Cambria Math"/>
          </w:rPr>
          <m:t>j</m:t>
        </m:r>
      </m:oMath>
      <w:r w:rsidR="00EE3ABF" w:rsidRPr="001F124F">
        <w:t xml:space="preserve"> and </w:t>
      </w:r>
      <m:oMath>
        <m:sSub>
          <m:sSubPr>
            <m:ctrlPr>
              <w:rPr>
                <w:rFonts w:ascii="Cambria Math" w:eastAsia="Calibri" w:hAnsi="Cambria Math"/>
                <w:i/>
              </w:rPr>
            </m:ctrlPr>
          </m:sSubPr>
          <m:e>
            <m:r>
              <w:rPr>
                <w:rFonts w:ascii="Cambria Math" w:hAnsi="Cambria Math"/>
              </w:rPr>
              <m:t>VWRETD</m:t>
            </m:r>
          </m:e>
          <m:sub>
            <m:r>
              <w:rPr>
                <w:rFonts w:ascii="Cambria Math" w:hAnsi="Cambria Math"/>
              </w:rPr>
              <m:t>t</m:t>
            </m:r>
          </m:sub>
        </m:sSub>
      </m:oMath>
      <w:r w:rsidR="00EE3ABF" w:rsidRPr="001F124F">
        <w:t xml:space="preserve"> is the daily value weighted market index return series from CRSP. The parameters are estimated using a 200 day window of stock market data 50 days prior to the announcement date [-250,-50). The regression gives us the expected stock market return </w:t>
      </w:r>
      <m:oMath>
        <m:acc>
          <m:accPr>
            <m:ctrlPr>
              <w:rPr>
                <w:rFonts w:ascii="Cambria Math" w:eastAsia="Calibri" w:hAnsi="Cambria Math"/>
                <w:i/>
              </w:rPr>
            </m:ctrlPr>
          </m:accPr>
          <m:e>
            <m:sSub>
              <m:sSubPr>
                <m:ctrlPr>
                  <w:rPr>
                    <w:rFonts w:ascii="Cambria Math" w:eastAsia="Calibri" w:hAnsi="Cambria Math"/>
                    <w:i/>
                  </w:rPr>
                </m:ctrlPr>
              </m:sSubPr>
              <m:e>
                <m:r>
                  <w:rPr>
                    <w:rFonts w:ascii="Cambria Math" w:hAnsi="Cambria Math"/>
                  </w:rPr>
                  <m:t>RET</m:t>
                </m:r>
              </m:e>
              <m:sub>
                <m:r>
                  <w:rPr>
                    <w:rFonts w:ascii="Cambria Math" w:hAnsi="Cambria Math"/>
                  </w:rPr>
                  <m:t>j,t</m:t>
                </m:r>
              </m:sub>
            </m:sSub>
          </m:e>
        </m:acc>
      </m:oMath>
      <w:r w:rsidR="00EE3ABF" w:rsidRPr="001F124F">
        <w:t xml:space="preserve">  during an event window surrounding the day the firm </w:t>
      </w:r>
      <w:r w:rsidR="00EE3ABF" w:rsidRPr="001F124F">
        <w:lastRenderedPageBreak/>
        <w:t xml:space="preserve">announces entry into LNG.  We then calculate the abnormal stock market return for the firm during the event window by subtracting the predicted return from the actual return: </w:t>
      </w:r>
      <m:oMath>
        <m:sSub>
          <m:sSubPr>
            <m:ctrlPr>
              <w:rPr>
                <w:rFonts w:ascii="Cambria Math" w:hAnsi="Cambria Math"/>
                <w:i/>
              </w:rPr>
            </m:ctrlPr>
          </m:sSubPr>
          <m:e>
            <m:sSub>
              <m:sSubPr>
                <m:ctrlPr>
                  <w:rPr>
                    <w:rFonts w:ascii="Cambria Math" w:hAnsi="Cambria Math"/>
                    <w:i/>
                  </w:rPr>
                </m:ctrlPr>
              </m:sSubPr>
              <m:e>
                <m:r>
                  <w:rPr>
                    <w:rFonts w:ascii="Cambria Math" w:hAnsi="Cambria Math"/>
                  </w:rPr>
                  <m:t>AR</m:t>
                </m:r>
              </m:e>
              <m:sub>
                <m:r>
                  <w:rPr>
                    <w:rFonts w:ascii="Cambria Math" w:hAnsi="Cambria Math"/>
                  </w:rPr>
                  <m:t>j,t</m:t>
                </m:r>
              </m:sub>
            </m:sSub>
            <m:r>
              <w:rPr>
                <w:rFonts w:ascii="Cambria Math" w:hAnsi="Cambria Math"/>
              </w:rPr>
              <m:t>=RET</m:t>
            </m:r>
          </m:e>
          <m:sub>
            <m:r>
              <w:rPr>
                <w:rFonts w:ascii="Cambria Math" w:hAnsi="Cambria Math"/>
              </w:rPr>
              <m:t>j,t</m:t>
            </m:r>
          </m:sub>
        </m:sSub>
        <m:r>
          <w:rPr>
            <w:rFonts w:ascii="Cambria Math" w:hAnsi="Cambria Math"/>
          </w:rPr>
          <m:t>-</m:t>
        </m:r>
        <m:acc>
          <m:accPr>
            <m:ctrlPr>
              <w:rPr>
                <w:rFonts w:ascii="Cambria Math" w:hAnsi="Cambria Math"/>
                <w:i/>
              </w:rPr>
            </m:ctrlPr>
          </m:accPr>
          <m:e>
            <m:sSub>
              <m:sSubPr>
                <m:ctrlPr>
                  <w:rPr>
                    <w:rFonts w:ascii="Cambria Math" w:hAnsi="Cambria Math"/>
                    <w:i/>
                  </w:rPr>
                </m:ctrlPr>
              </m:sSubPr>
              <m:e>
                <m:r>
                  <w:rPr>
                    <w:rFonts w:ascii="Cambria Math" w:hAnsi="Cambria Math"/>
                  </w:rPr>
                  <m:t>RET</m:t>
                </m:r>
              </m:e>
              <m:sub>
                <m:r>
                  <w:rPr>
                    <w:rFonts w:ascii="Cambria Math" w:hAnsi="Cambria Math"/>
                  </w:rPr>
                  <m:t>j,t</m:t>
                </m:r>
              </m:sub>
            </m:sSub>
          </m:e>
        </m:acc>
        <m:r>
          <w:rPr>
            <w:rFonts w:ascii="Cambria Math" w:hAnsi="Cambria Math"/>
          </w:rPr>
          <m:t>.</m:t>
        </m:r>
      </m:oMath>
      <w:r w:rsidR="005B37AC">
        <w:t xml:space="preserve"> </w:t>
      </w:r>
      <w:r w:rsidR="00EE3ABF" w:rsidRPr="001F124F">
        <w:t xml:space="preserve">The cumulative abnormal return </w:t>
      </w:r>
      <w:r w:rsidR="00EE3ABF" w:rsidRPr="001F124F">
        <w:rPr>
          <w:i/>
        </w:rPr>
        <w:t xml:space="preserve">CAR </w:t>
      </w:r>
      <w:r w:rsidR="00EE3ABF" w:rsidRPr="001F124F">
        <w:t>is the</w:t>
      </w:r>
      <w:r w:rsidR="00EE3ABF" w:rsidRPr="001F124F">
        <w:rPr>
          <w:i/>
        </w:rPr>
        <w:t xml:space="preserve"> </w:t>
      </w:r>
      <w:r w:rsidR="00EE3ABF" w:rsidRPr="001F124F">
        <w:t>abnormal stock market return over the event window [-1, +1].</w:t>
      </w:r>
    </w:p>
    <w:p w:rsidR="0015445D" w:rsidRPr="00410822" w:rsidRDefault="0015445D" w:rsidP="005C6F2D">
      <w:pPr>
        <w:spacing w:line="480" w:lineRule="auto"/>
        <w:rPr>
          <w:b/>
        </w:rPr>
      </w:pPr>
      <w:r>
        <w:rPr>
          <w:b/>
        </w:rPr>
        <w:t>Main</w:t>
      </w:r>
      <w:r w:rsidRPr="00410822">
        <w:rPr>
          <w:b/>
        </w:rPr>
        <w:t xml:space="preserve"> Independent Variable: Speed</w:t>
      </w:r>
      <w:r>
        <w:rPr>
          <w:b/>
        </w:rPr>
        <w:t xml:space="preserve"> Capability</w:t>
      </w:r>
    </w:p>
    <w:p w:rsidR="0015445D" w:rsidRPr="00410822" w:rsidRDefault="0015445D" w:rsidP="0015445D">
      <w:pPr>
        <w:spacing w:line="480" w:lineRule="auto"/>
      </w:pPr>
      <w:r w:rsidRPr="00410822">
        <w:t xml:space="preserve">The central explanatory variable, </w:t>
      </w:r>
      <w:r w:rsidRPr="00410822">
        <w:rPr>
          <w:i/>
        </w:rPr>
        <w:t>Speed</w:t>
      </w:r>
      <w:r>
        <w:rPr>
          <w:i/>
        </w:rPr>
        <w:t xml:space="preserve"> Capability</w:t>
      </w:r>
      <w:r w:rsidRPr="00410822">
        <w:t xml:space="preserve">, is the measure of the intrinsic speed capabilities of the firm in a given year. To construct our measure of speed capabilities, we faced several requirements: (1) </w:t>
      </w:r>
      <w:r>
        <w:t>Since i</w:t>
      </w:r>
      <w:r w:rsidRPr="00410822">
        <w:t xml:space="preserve">ntrinsic speed capabilities in LNG project development is unobserved, we required a </w:t>
      </w:r>
      <w:r>
        <w:t xml:space="preserve"> </w:t>
      </w:r>
      <w:r w:rsidRPr="00410822">
        <w:t xml:space="preserve">proxy </w:t>
      </w:r>
      <w:r>
        <w:t xml:space="preserve">that is </w:t>
      </w:r>
      <w:r w:rsidRPr="00410822">
        <w:t xml:space="preserve">highly correlated with the unobserved variable; </w:t>
      </w:r>
      <w:r>
        <w:t xml:space="preserve">and, </w:t>
      </w:r>
      <w:r w:rsidRPr="00410822">
        <w:t xml:space="preserve">(2) The </w:t>
      </w:r>
      <w:r>
        <w:t xml:space="preserve"> measure </w:t>
      </w:r>
      <w:r w:rsidRPr="00410822">
        <w:t xml:space="preserve">should be uncorrelated with other unobserved factors related to entry decisions into LNG to avoid </w:t>
      </w:r>
      <w:proofErr w:type="spellStart"/>
      <w:r w:rsidRPr="00410822">
        <w:t>endogeneity</w:t>
      </w:r>
      <w:proofErr w:type="spellEnd"/>
      <w:r w:rsidRPr="00410822">
        <w:t>.</w:t>
      </w:r>
    </w:p>
    <w:p w:rsidR="0015445D" w:rsidRPr="00410822" w:rsidRDefault="0015445D" w:rsidP="0015445D">
      <w:pPr>
        <w:spacing w:line="480" w:lineRule="auto"/>
        <w:ind w:firstLine="720"/>
      </w:pPr>
      <w:r w:rsidRPr="00410822">
        <w:t xml:space="preserve">To meet these criteria, we construct an entirely separate dataset of </w:t>
      </w:r>
      <w:r>
        <w:t xml:space="preserve">oil and gas </w:t>
      </w:r>
      <w:r w:rsidRPr="00410822">
        <w:t xml:space="preserve">construction projects unrelated to LNG. A proxy for speed capabilities based on LNG projects would likely be correlated with other unobserved factors associated with the evolution of the LNG industry, such as preemption and information revelation (i.e., learning opportunities). By using data from construction projects that exist independently from the LNG submarket, our proxy of speed capabilities has less of an </w:t>
      </w:r>
      <w:proofErr w:type="spellStart"/>
      <w:r w:rsidRPr="00410822">
        <w:t>endogeneity</w:t>
      </w:r>
      <w:proofErr w:type="spellEnd"/>
      <w:r w:rsidRPr="00410822">
        <w:t xml:space="preserve"> problem. Finally, </w:t>
      </w:r>
      <w:r>
        <w:t xml:space="preserve">we need to be confident that our </w:t>
      </w:r>
      <w:r w:rsidRPr="00410822">
        <w:t xml:space="preserve">proxy for speed capabilities based on projects unrelated to LNG </w:t>
      </w:r>
      <w:r>
        <w:t xml:space="preserve">is </w:t>
      </w:r>
      <w:r w:rsidRPr="00410822">
        <w:t xml:space="preserve">highly correlated with intrinsic speed capabilities in LNG project execution. </w:t>
      </w:r>
      <w:r>
        <w:t xml:space="preserve">Oil and gas </w:t>
      </w:r>
      <w:r w:rsidRPr="00410822">
        <w:t xml:space="preserve">firms </w:t>
      </w:r>
      <w:r>
        <w:t xml:space="preserve">typically have internally shared management </w:t>
      </w:r>
      <w:r w:rsidRPr="00410822">
        <w:t xml:space="preserve">processes, cultures and capabilities that determine project development speed across </w:t>
      </w:r>
      <w:r>
        <w:t xml:space="preserve">project type and </w:t>
      </w:r>
      <w:r w:rsidRPr="00410822">
        <w:t>submarkets</w:t>
      </w:r>
      <w:r>
        <w:t>.</w:t>
      </w:r>
      <w:r w:rsidR="000A0E81">
        <w:t xml:space="preserve"> </w:t>
      </w:r>
      <w:r w:rsidR="000A0E81" w:rsidRPr="000A0E81">
        <w:t xml:space="preserve">An example is CHPDEP, the Chevron Project Development and Execution Process. Chevron applies this process to all large investment projects across submarkets, implying that Chevron’s speed capabilities should be present in </w:t>
      </w:r>
      <w:r w:rsidR="000A0E81" w:rsidRPr="000A0E81">
        <w:lastRenderedPageBreak/>
        <w:t xml:space="preserve">different submarkets and highly correlated. ExxonMobil also has a common project management culture across </w:t>
      </w:r>
      <w:proofErr w:type="gramStart"/>
      <w:r w:rsidR="000A0E81" w:rsidRPr="000A0E81">
        <w:t>submarkets that stresses</w:t>
      </w:r>
      <w:proofErr w:type="gramEnd"/>
      <w:r w:rsidR="000A0E81" w:rsidRPr="000A0E81">
        <w:t xml:space="preserve"> outcome metrics and accountability.</w:t>
      </w:r>
      <w:r>
        <w:t xml:space="preserve"> This evidence suggests that </w:t>
      </w:r>
      <w:r w:rsidRPr="00410822">
        <w:t xml:space="preserve">our </w:t>
      </w:r>
      <w:r w:rsidRPr="00410822">
        <w:rPr>
          <w:i/>
        </w:rPr>
        <w:t>Speed</w:t>
      </w:r>
      <w:r>
        <w:rPr>
          <w:i/>
        </w:rPr>
        <w:t xml:space="preserve"> Capability</w:t>
      </w:r>
      <w:r w:rsidRPr="00410822">
        <w:t xml:space="preserve"> </w:t>
      </w:r>
      <w:r>
        <w:t xml:space="preserve">proxy based on oil and gas project data </w:t>
      </w:r>
      <w:r w:rsidRPr="00410822">
        <w:t>should be highly correlated with intrinsic speed capabilities in LNG project development.</w:t>
      </w:r>
      <w:r>
        <w:rPr>
          <w:rStyle w:val="FootnoteReference"/>
        </w:rPr>
        <w:footnoteReference w:id="5"/>
      </w:r>
    </w:p>
    <w:p w:rsidR="0015445D" w:rsidRPr="00637130" w:rsidRDefault="0015445D" w:rsidP="0015445D">
      <w:pPr>
        <w:spacing w:line="480" w:lineRule="auto"/>
        <w:ind w:firstLine="720"/>
      </w:pPr>
      <w:r w:rsidRPr="00637130">
        <w:t xml:space="preserve">Our dataset of projects unrelated to LNG comes from the </w:t>
      </w:r>
      <w:r w:rsidRPr="00637130">
        <w:rPr>
          <w:i/>
        </w:rPr>
        <w:t>Oil and Gas Journal</w:t>
      </w:r>
      <w:r w:rsidRPr="00637130">
        <w:t>. Our data covers 4,782 projects on refining, petrochemical, gas processing, pipeline, and sulfur facility construction projects across 105 countries from 1995-2007. These facilities are independent from the liquefied natural gas sub-industry. In order to obtain histories of each project and corresponding measures of time-to-build, we follow the development of each project across issues of the Oil and Gas Journal. Our measure of time-to-build is the lag between the start and end dates of plant development reported in the OGJ.</w:t>
      </w:r>
      <w:r w:rsidRPr="00637130">
        <w:rPr>
          <w:rStyle w:val="FootnoteReference"/>
        </w:rPr>
        <w:footnoteReference w:id="6"/>
      </w:r>
      <w:r w:rsidRPr="00637130">
        <w:t xml:space="preserve"> We then map each project to its main parent using the </w:t>
      </w:r>
      <w:r w:rsidRPr="00637130">
        <w:rPr>
          <w:i/>
        </w:rPr>
        <w:t>Directory of Corporate Affiliates</w:t>
      </w:r>
      <w:r w:rsidRPr="00637130">
        <w:t xml:space="preserve">, the ownership data in the </w:t>
      </w:r>
      <w:proofErr w:type="spellStart"/>
      <w:r w:rsidRPr="00637130">
        <w:t>Orbis</w:t>
      </w:r>
      <w:proofErr w:type="spellEnd"/>
      <w:r w:rsidRPr="00637130">
        <w:t xml:space="preserve"> dataset from the Bureau van </w:t>
      </w:r>
      <w:proofErr w:type="spellStart"/>
      <w:r w:rsidRPr="00637130">
        <w:t>Dijk</w:t>
      </w:r>
      <w:proofErr w:type="spellEnd"/>
      <w:r w:rsidRPr="00637130">
        <w:t xml:space="preserve">, and internet searches. </w:t>
      </w:r>
    </w:p>
    <w:p w:rsidR="0015445D" w:rsidRPr="00637130" w:rsidRDefault="0015445D" w:rsidP="0015445D">
      <w:pPr>
        <w:spacing w:line="480" w:lineRule="auto"/>
        <w:ind w:firstLine="720"/>
      </w:pPr>
      <w:r w:rsidRPr="00637130">
        <w:t xml:space="preserve">We conceptualize intrinsic speed capabilities as the ability of the firm to complete investment projects faster than industry average. To create our measure of intrinsic speed capabilities, we use the same general approach to measure firm speed as in Pacheco-de-Almeida, Hawk and Yeung (2010). In this approach, we decompose the time-to-build of each project into a systematic component and an idiosyncratic component (corresponding to the degree to which </w:t>
      </w:r>
      <w:r w:rsidRPr="00637130">
        <w:lastRenderedPageBreak/>
        <w:t xml:space="preserve">firms are faster or slower than systematic average). Specifically, we pull project level data from all firms for all facilities (indexed by </w:t>
      </w:r>
      <w:r w:rsidRPr="00637130">
        <w:rPr>
          <w:i/>
        </w:rPr>
        <w:t>f</w:t>
      </w:r>
      <w:r w:rsidRPr="00637130">
        <w:t>),</w:t>
      </w:r>
      <w:r w:rsidR="00CD69EB">
        <w:t xml:space="preserve"> </w:t>
      </w:r>
      <w:r w:rsidRPr="00637130">
        <w:t xml:space="preserve">all geographic regions (indexed by </w:t>
      </w:r>
      <w:r w:rsidRPr="00637130">
        <w:rPr>
          <w:i/>
        </w:rPr>
        <w:t>l</w:t>
      </w:r>
      <w:r w:rsidRPr="00637130">
        <w:t xml:space="preserve">), all industries (indexed by </w:t>
      </w:r>
      <w:r w:rsidRPr="00637130">
        <w:rPr>
          <w:i/>
        </w:rPr>
        <w:t>i</w:t>
      </w:r>
      <w:r w:rsidRPr="00637130">
        <w:t xml:space="preserve">) and all years (indexed by </w:t>
      </w:r>
      <w:r w:rsidRPr="00637130">
        <w:rPr>
          <w:i/>
        </w:rPr>
        <w:t>t</w:t>
      </w:r>
      <w:r w:rsidRPr="00637130">
        <w:t>) in our sample to run the following regression</w:t>
      </w:r>
      <w:r w:rsidRPr="00637130">
        <w:rPr>
          <w:rStyle w:val="FootnoteReference"/>
        </w:rPr>
        <w:footnoteReference w:id="7"/>
      </w:r>
      <w:r w:rsidRPr="00637130">
        <w:t>:</w:t>
      </w:r>
    </w:p>
    <w:tbl>
      <w:tblPr>
        <w:tblStyle w:val="TableGrid"/>
        <w:tblW w:w="5447" w:type="pct"/>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8765"/>
        <w:gridCol w:w="1431"/>
      </w:tblGrid>
      <w:tr w:rsidR="0015445D" w:rsidRPr="00637130" w:rsidTr="003379FF">
        <w:tc>
          <w:tcPr>
            <w:tcW w:w="113" w:type="pct"/>
            <w:vAlign w:val="center"/>
          </w:tcPr>
          <w:p w:rsidR="0015445D" w:rsidRPr="00637130" w:rsidRDefault="0015445D" w:rsidP="0085587A">
            <w:pPr>
              <w:spacing w:after="200"/>
            </w:pPr>
          </w:p>
        </w:tc>
        <w:tc>
          <w:tcPr>
            <w:tcW w:w="4201" w:type="pct"/>
            <w:vAlign w:val="center"/>
          </w:tcPr>
          <w:p w:rsidR="0015445D" w:rsidRPr="003379FF" w:rsidRDefault="00165F5B" w:rsidP="00CB2BF3">
            <w:pPr>
              <w:spacing w:after="200"/>
            </w:pPr>
            <m:oMathPara>
              <m:oMathParaPr>
                <m:jc m:val="center"/>
              </m:oMathParaPr>
              <m:oMath>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acc>
                          <m:accPr>
                            <m:chr m:val="̃"/>
                            <m:ctrlPr>
                              <w:rPr>
                                <w:rFonts w:ascii="Cambria Math" w:hAnsi="Cambria Math"/>
                                <w:i/>
                              </w:rPr>
                            </m:ctrlPr>
                          </m:accPr>
                          <m:e>
                            <m:r>
                              <w:rPr>
                                <w:rFonts w:ascii="Cambria Math" w:hAnsi="Cambria Math"/>
                              </w:rPr>
                              <m:t>T</m:t>
                            </m:r>
                          </m:e>
                        </m:acc>
                      </m:e>
                      <m:sub>
                        <m:r>
                          <w:rPr>
                            <w:rFonts w:ascii="Cambria Math" w:hAnsi="Cambria Math"/>
                          </w:rPr>
                          <m:t>f,i,l,t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E</m:t>
                            </m:r>
                          </m:e>
                          <m:sub>
                            <m:r>
                              <w:rPr>
                                <w:rFonts w:ascii="Cambria Math" w:hAnsi="Cambria Math"/>
                              </w:rPr>
                              <m:t>f,i,l,t</m:t>
                            </m:r>
                          </m:sub>
                        </m:sSub>
                        <m:r>
                          <w:rPr>
                            <w:rFonts w:ascii="Cambria Math" w:hAnsi="Cambria Math"/>
                          </w:rPr>
                          <m:t>+</m:t>
                        </m:r>
                      </m:e>
                    </m:func>
                    <m:sSub>
                      <m:sSubPr>
                        <m:ctrlPr>
                          <w:rPr>
                            <w:rFonts w:ascii="Cambria Math" w:hAnsi="Cambria Math"/>
                            <w:i/>
                          </w:rPr>
                        </m:ctrlPr>
                      </m:sSubPr>
                      <m:e>
                        <m:r>
                          <w:rPr>
                            <w:rFonts w:ascii="Cambria Math" w:hAnsi="Cambria Math"/>
                          </w:rPr>
                          <m:t>β</m:t>
                        </m:r>
                      </m:e>
                      <m:sub>
                        <m:r>
                          <w:rPr>
                            <w:rFonts w:ascii="Cambria Math" w:hAnsi="Cambria Math"/>
                          </w:rPr>
                          <m:t>2</m:t>
                        </m:r>
                      </m:sub>
                    </m:sSub>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acc>
                              <m:accPr>
                                <m:chr m:val="̅"/>
                                <m:ctrlPr>
                                  <w:rPr>
                                    <w:rFonts w:ascii="Cambria Math" w:hAnsi="Cambria Math"/>
                                    <w:i/>
                                  </w:rPr>
                                </m:ctrlPr>
                              </m:accPr>
                              <m:e>
                                <m:r>
                                  <w:rPr>
                                    <w:rFonts w:ascii="Cambria Math" w:hAnsi="Cambria Math"/>
                                  </w:rPr>
                                  <m:t>∆</m:t>
                                </m:r>
                              </m:e>
                            </m:acc>
                          </m:e>
                          <m:sub>
                            <m:r>
                              <w:rPr>
                                <w:rFonts w:ascii="Cambria Math" w:hAnsi="Cambria Math"/>
                              </w:rPr>
                              <m:t>l,t</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β</m:t>
                                </m:r>
                              </m:e>
                            </m:acc>
                          </m:e>
                          <m:sub>
                            <m:r>
                              <w:rPr>
                                <w:rFonts w:ascii="Cambria Math" w:hAnsi="Cambria Math"/>
                              </w:rPr>
                              <m:t>3</m:t>
                            </m:r>
                          </m:sub>
                        </m:sSub>
                        <m:r>
                          <w:rPr>
                            <w:rFonts w:ascii="Cambria Math" w:hAnsi="Cambria Math"/>
                          </w:rPr>
                          <m:t>IDUM+</m:t>
                        </m:r>
                      </m:e>
                    </m:func>
                  </m:e>
                </m:func>
                <m:sSub>
                  <m:sSubPr>
                    <m:ctrlPr>
                      <w:rPr>
                        <w:rFonts w:ascii="Cambria Math" w:hAnsi="Cambria Math"/>
                        <w:i/>
                      </w:rPr>
                    </m:ctrlPr>
                  </m:sSubPr>
                  <m:e>
                    <m:acc>
                      <m:accPr>
                        <m:chr m:val="⃑"/>
                        <m:ctrlPr>
                          <w:rPr>
                            <w:rFonts w:ascii="Cambria Math" w:hAnsi="Cambria Math"/>
                            <w:i/>
                          </w:rPr>
                        </m:ctrlPr>
                      </m:accPr>
                      <m:e>
                        <m:r>
                          <w:rPr>
                            <w:rFonts w:ascii="Cambria Math" w:hAnsi="Cambria Math"/>
                          </w:rPr>
                          <m:t>β</m:t>
                        </m:r>
                      </m:e>
                    </m:acc>
                  </m:e>
                  <m:sub>
                    <m:r>
                      <w:rPr>
                        <w:rFonts w:ascii="Cambria Math" w:hAnsi="Cambria Math"/>
                      </w:rPr>
                      <m:t>4</m:t>
                    </m:r>
                  </m:sub>
                </m:sSub>
                <m:r>
                  <w:rPr>
                    <w:rFonts w:ascii="Cambria Math" w:hAnsi="Cambria Math"/>
                  </w:rPr>
                  <m:t>LDUM+</m:t>
                </m:r>
                <m:sSub>
                  <m:sSubPr>
                    <m:ctrlPr>
                      <w:rPr>
                        <w:rFonts w:ascii="Cambria Math" w:hAnsi="Cambria Math"/>
                        <w:i/>
                      </w:rPr>
                    </m:ctrlPr>
                  </m:sSubPr>
                  <m:e>
                    <m:acc>
                      <m:accPr>
                        <m:chr m:val="⃑"/>
                        <m:ctrlPr>
                          <w:rPr>
                            <w:rFonts w:ascii="Cambria Math" w:hAnsi="Cambria Math"/>
                            <w:i/>
                          </w:rPr>
                        </m:ctrlPr>
                      </m:accPr>
                      <m:e>
                        <m:r>
                          <w:rPr>
                            <w:rFonts w:ascii="Cambria Math" w:hAnsi="Cambria Math"/>
                          </w:rPr>
                          <m:t>β</m:t>
                        </m:r>
                      </m:e>
                    </m:acc>
                  </m:e>
                  <m:sub>
                    <m:r>
                      <w:rPr>
                        <w:rFonts w:ascii="Cambria Math" w:hAnsi="Cambria Math"/>
                      </w:rPr>
                      <m:t>5</m:t>
                    </m:r>
                  </m:sub>
                </m:sSub>
                <m:r>
                  <w:rPr>
                    <w:rFonts w:ascii="Cambria Math" w:hAnsi="Cambria Math"/>
                  </w:rPr>
                  <m:t>YDUM+</m:t>
                </m:r>
                <m:sSub>
                  <m:sSubPr>
                    <m:ctrlPr>
                      <w:rPr>
                        <w:rFonts w:ascii="Cambria Math" w:hAnsi="Cambria Math"/>
                        <w:i/>
                      </w:rPr>
                    </m:ctrlPr>
                  </m:sSubPr>
                  <m:e>
                    <m:r>
                      <w:rPr>
                        <w:rFonts w:ascii="Cambria Math" w:hAnsi="Cambria Math"/>
                      </w:rPr>
                      <m:t>θ</m:t>
                    </m:r>
                  </m:e>
                  <m:sub>
                    <m:r>
                      <w:rPr>
                        <w:rFonts w:ascii="Cambria Math" w:hAnsi="Cambria Math"/>
                      </w:rPr>
                      <m:t>f,i,l,t</m:t>
                    </m:r>
                  </m:sub>
                </m:sSub>
              </m:oMath>
            </m:oMathPara>
          </w:p>
        </w:tc>
        <w:tc>
          <w:tcPr>
            <w:tcW w:w="686" w:type="pct"/>
            <w:vAlign w:val="center"/>
          </w:tcPr>
          <w:p w:rsidR="0015445D" w:rsidRPr="00637130" w:rsidRDefault="0015445D" w:rsidP="0085587A">
            <w:pPr>
              <w:pStyle w:val="ListParagraph"/>
              <w:numPr>
                <w:ilvl w:val="0"/>
                <w:numId w:val="16"/>
              </w:numPr>
              <w:spacing w:after="200" w:line="240" w:lineRule="auto"/>
              <w:ind w:right="346"/>
              <w:jc w:val="left"/>
            </w:pPr>
          </w:p>
        </w:tc>
      </w:tr>
    </w:tbl>
    <w:p w:rsidR="0015445D" w:rsidRPr="00637130" w:rsidRDefault="0015445D" w:rsidP="0015445D">
      <w:pPr>
        <w:spacing w:line="480" w:lineRule="auto"/>
      </w:pPr>
      <w:proofErr w:type="gramStart"/>
      <w:r w:rsidRPr="00637130">
        <w:t>where</w:t>
      </w:r>
      <w:proofErr w:type="gramEnd"/>
      <w:r w:rsidRPr="00637130">
        <w:t xml:space="preserve"> </w:t>
      </w:r>
      <m:oMath>
        <m:sSub>
          <m:sSubPr>
            <m:ctrlPr>
              <w:rPr>
                <w:rFonts w:ascii="Cambria Math" w:eastAsia="Calibri" w:hAnsi="Cambria Math"/>
                <w:i/>
              </w:rPr>
            </m:ctrlPr>
          </m:sSubPr>
          <m:e>
            <m:acc>
              <m:accPr>
                <m:chr m:val="̃"/>
                <m:ctrlPr>
                  <w:rPr>
                    <w:rFonts w:ascii="Cambria Math" w:eastAsia="Calibri" w:hAnsi="Cambria Math"/>
                    <w:i/>
                  </w:rPr>
                </m:ctrlPr>
              </m:accPr>
              <m:e>
                <m:r>
                  <w:rPr>
                    <w:rFonts w:ascii="Cambria Math" w:hAnsi="Cambria Math"/>
                  </w:rPr>
                  <m:t>T</m:t>
                </m:r>
              </m:e>
            </m:acc>
          </m:e>
          <m:sub>
            <m:r>
              <w:rPr>
                <w:rFonts w:ascii="Cambria Math" w:hAnsi="Cambria Math"/>
              </w:rPr>
              <m:t>f,i,l,t</m:t>
            </m:r>
          </m:sub>
        </m:sSub>
      </m:oMath>
      <w:r w:rsidRPr="00637130">
        <w:t xml:space="preserve"> is the time-to-build of the project, </w:t>
      </w:r>
      <m:oMath>
        <m:sSub>
          <m:sSubPr>
            <m:ctrlPr>
              <w:rPr>
                <w:rFonts w:ascii="Cambria Math" w:eastAsia="Calibri" w:hAnsi="Cambria Math"/>
                <w:i/>
              </w:rPr>
            </m:ctrlPr>
          </m:sSubPr>
          <m:e>
            <m:r>
              <w:rPr>
                <w:rFonts w:ascii="Cambria Math" w:hAnsi="Cambria Math"/>
              </w:rPr>
              <m:t>E</m:t>
            </m:r>
          </m:e>
          <m:sub>
            <m:r>
              <w:rPr>
                <w:rFonts w:ascii="Cambria Math" w:hAnsi="Cambria Math"/>
              </w:rPr>
              <m:t>f,i,l,t</m:t>
            </m:r>
          </m:sub>
        </m:sSub>
      </m:oMath>
      <w:r w:rsidRPr="00637130">
        <w:rPr>
          <w:position w:val="-14"/>
        </w:rPr>
        <w:t xml:space="preserve"> </w:t>
      </w:r>
      <w:r w:rsidRPr="00637130">
        <w:t xml:space="preserve">is the capacity of the project, </w:t>
      </w:r>
      <m:oMath>
        <m:sSub>
          <m:sSubPr>
            <m:ctrlPr>
              <w:rPr>
                <w:rFonts w:ascii="Cambria Math" w:eastAsia="Calibri" w:hAnsi="Cambria Math"/>
                <w:i/>
              </w:rPr>
            </m:ctrlPr>
          </m:sSubPr>
          <m:e>
            <m:acc>
              <m:accPr>
                <m:chr m:val="̅"/>
                <m:ctrlPr>
                  <w:rPr>
                    <w:rFonts w:ascii="Cambria Math" w:eastAsia="Calibri" w:hAnsi="Cambria Math"/>
                    <w:i/>
                  </w:rPr>
                </m:ctrlPr>
              </m:accPr>
              <m:e>
                <m:r>
                  <w:rPr>
                    <w:rFonts w:ascii="Cambria Math" w:hAnsi="Cambria Math"/>
                  </w:rPr>
                  <m:t>∆</m:t>
                </m:r>
              </m:e>
            </m:acc>
          </m:e>
          <m:sub>
            <m:r>
              <w:rPr>
                <w:rFonts w:ascii="Cambria Math" w:hAnsi="Cambria Math"/>
              </w:rPr>
              <m:t>l,t</m:t>
            </m:r>
          </m:sub>
        </m:sSub>
      </m:oMath>
      <w:r w:rsidRPr="00637130">
        <w:rPr>
          <w:position w:val="-14"/>
        </w:rPr>
        <w:t xml:space="preserve"> </w:t>
      </w:r>
      <w:r w:rsidRPr="00637130">
        <w:t xml:space="preserve">is a proxy for the local demand growth, and </w:t>
      </w:r>
      <m:oMath>
        <m:r>
          <w:rPr>
            <w:rFonts w:ascii="Cambria Math" w:hAnsi="Cambria Math"/>
          </w:rPr>
          <m:t>IDUM</m:t>
        </m:r>
      </m:oMath>
      <w:r w:rsidRPr="00637130">
        <w:t xml:space="preserve">, </w:t>
      </w:r>
      <m:oMath>
        <m:r>
          <w:rPr>
            <w:rFonts w:ascii="Cambria Math" w:hAnsi="Cambria Math"/>
          </w:rPr>
          <m:t>LDUM</m:t>
        </m:r>
      </m:oMath>
      <w:r w:rsidRPr="00637130">
        <w:t xml:space="preserve"> and </w:t>
      </w:r>
      <w:r w:rsidRPr="00637130">
        <w:rPr>
          <w:i/>
        </w:rPr>
        <w:t>YDUM</w:t>
      </w:r>
      <w:r w:rsidRPr="00637130">
        <w:t xml:space="preserve"> are, respectively, column vectors of industry, geographic region and year dummies for the project. Intuitively, development times are positively associated with the size of a project and are usually compressed when the local market demand is fast growing. As well, they are affected by year, industry and country specific factor</w:t>
      </w:r>
      <w:r w:rsidR="0056563F">
        <w:t xml:space="preserve">s (e.g., bureaucratic delays). </w:t>
      </w:r>
      <w:r w:rsidRPr="00637130">
        <w:t>Following Pacheco-de-Almeida, Hawk and Yeung (2010), we discount our measure of time-to-build with estimates of the industry discount rate. The industry discount rate (</w:t>
      </w:r>
      <w:r w:rsidRPr="00637130">
        <w:rPr>
          <w:position w:val="-4"/>
        </w:rPr>
        <w:object w:dxaOrig="180"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8.4pt" o:ole="">
            <v:imagedata r:id="rId12" o:title=""/>
          </v:shape>
          <o:OLEObject Type="Embed" ProgID="Equation.DSMT4" ShapeID="_x0000_i1025" DrawAspect="Content" ObjectID="_1400390232" r:id="rId13"/>
        </w:object>
      </w:r>
      <w:r w:rsidRPr="00637130">
        <w:t xml:space="preserve">) is </w:t>
      </w:r>
      <w:proofErr w:type="spellStart"/>
      <w:r w:rsidRPr="00637130">
        <w:t>proxied</w:t>
      </w:r>
      <w:proofErr w:type="spellEnd"/>
      <w:r w:rsidRPr="00637130">
        <w:t xml:space="preserve"> by the average WACC (weighted average cost of capital) across all oil and gas companies with </w:t>
      </w:r>
      <w:proofErr w:type="spellStart"/>
      <w:r w:rsidRPr="00637130">
        <w:t>Compustat</w:t>
      </w:r>
      <w:proofErr w:type="spellEnd"/>
      <w:r w:rsidRPr="00637130">
        <w:t>-CRSP Merged financial data from 1996 to 2005.</w:t>
      </w:r>
      <w:r w:rsidRPr="00637130">
        <w:rPr>
          <w:rStyle w:val="FootnoteReference"/>
        </w:rPr>
        <w:footnoteReference w:id="8"/>
      </w:r>
      <w:r w:rsidRPr="00637130">
        <w:rPr>
          <w:vertAlign w:val="superscript"/>
        </w:rPr>
        <w:t>,</w:t>
      </w:r>
      <w:r w:rsidRPr="00637130">
        <w:rPr>
          <w:rStyle w:val="FootnoteReference"/>
        </w:rPr>
        <w:footnoteReference w:id="9"/>
      </w:r>
      <w:r w:rsidRPr="00637130">
        <w:t xml:space="preserve"> We </w:t>
      </w:r>
      <w:r w:rsidRPr="00637130">
        <w:lastRenderedPageBreak/>
        <w:t>obtain capacity figures using OGJ data (in volume and mass units). Local demand growth (</w:t>
      </w:r>
      <m:oMath>
        <m:sSub>
          <m:sSubPr>
            <m:ctrlPr>
              <w:rPr>
                <w:rFonts w:ascii="Cambria Math" w:eastAsia="Calibri" w:hAnsi="Cambria Math"/>
                <w:i/>
              </w:rPr>
            </m:ctrlPr>
          </m:sSubPr>
          <m:e>
            <m:acc>
              <m:accPr>
                <m:chr m:val="̅"/>
                <m:ctrlPr>
                  <w:rPr>
                    <w:rFonts w:ascii="Cambria Math" w:eastAsia="Calibri" w:hAnsi="Cambria Math"/>
                    <w:i/>
                  </w:rPr>
                </m:ctrlPr>
              </m:accPr>
              <m:e>
                <m:r>
                  <w:rPr>
                    <w:rFonts w:ascii="Cambria Math" w:hAnsi="Cambria Math"/>
                  </w:rPr>
                  <m:t>∆</m:t>
                </m:r>
              </m:e>
            </m:acc>
          </m:e>
          <m:sub>
            <m:r>
              <w:rPr>
                <w:rFonts w:ascii="Cambria Math" w:hAnsi="Cambria Math"/>
              </w:rPr>
              <m:t>l,t</m:t>
            </m:r>
          </m:sub>
        </m:sSub>
      </m:oMath>
      <w:r w:rsidRPr="00637130">
        <w:t xml:space="preserve">) is proxied by the yearly growth rate in real GDP in the country of the project from the World Bank Development Indicators database. </w:t>
      </w:r>
    </w:p>
    <w:p w:rsidR="0015445D" w:rsidRPr="00637130" w:rsidRDefault="0015445D" w:rsidP="0015445D">
      <w:pPr>
        <w:spacing w:line="480" w:lineRule="auto"/>
        <w:ind w:firstLine="720"/>
      </w:pPr>
      <w:r w:rsidRPr="00637130">
        <w:t xml:space="preserve">The estimated residual </w:t>
      </w:r>
      <m:oMath>
        <m:sSub>
          <m:sSubPr>
            <m:ctrlPr>
              <w:rPr>
                <w:rFonts w:ascii="Cambria Math" w:eastAsia="Calibri" w:hAnsi="Cambria Math"/>
                <w:i/>
              </w:rPr>
            </m:ctrlPr>
          </m:sSubPr>
          <m:e>
            <m:r>
              <w:rPr>
                <w:rFonts w:ascii="Cambria Math" w:hAnsi="Cambria Math"/>
              </w:rPr>
              <m:t>θ</m:t>
            </m:r>
          </m:e>
          <m:sub>
            <m:r>
              <w:rPr>
                <w:rFonts w:ascii="Cambria Math" w:hAnsi="Cambria Math"/>
              </w:rPr>
              <m:t>f,i,l,t</m:t>
            </m:r>
          </m:sub>
        </m:sSub>
      </m:oMath>
      <w:r w:rsidRPr="00637130">
        <w:t xml:space="preserve"> associated with a project for a given firm (denoted </w:t>
      </w:r>
      <m:oMath>
        <m:sSubSup>
          <m:sSubSupPr>
            <m:ctrlPr>
              <w:rPr>
                <w:rFonts w:ascii="Cambria Math" w:hAnsi="Cambria Math"/>
                <w:i/>
              </w:rPr>
            </m:ctrlPr>
          </m:sSubSupPr>
          <m:e>
            <m:r>
              <w:rPr>
                <w:rFonts w:ascii="Cambria Math" w:hAnsi="Cambria Math"/>
              </w:rPr>
              <m:t>θ</m:t>
            </m:r>
          </m:e>
          <m:sub>
            <m:r>
              <w:rPr>
                <w:rFonts w:ascii="Cambria Math" w:hAnsi="Cambria Math"/>
              </w:rPr>
              <m:t>f,i,l,t</m:t>
            </m:r>
          </m:sub>
          <m:sup>
            <m:r>
              <w:rPr>
                <w:rFonts w:ascii="Cambria Math" w:hAnsi="Cambria Math"/>
              </w:rPr>
              <m:t>j</m:t>
            </m:r>
          </m:sup>
        </m:sSubSup>
      </m:oMath>
      <w:r w:rsidRPr="00637130">
        <w:t xml:space="preserve"> for firm </w:t>
      </w:r>
      <w:r w:rsidRPr="00637130">
        <w:rPr>
          <w:i/>
        </w:rPr>
        <w:t>j</w:t>
      </w:r>
      <w:r w:rsidRPr="00637130">
        <w:t xml:space="preserve">) from our estimation of equation </w:t>
      </w:r>
      <w:r w:rsidR="00E568EA">
        <w:t>4</w:t>
      </w:r>
      <w:r w:rsidRPr="00637130">
        <w:t xml:space="preserve"> represents the idiosyncratic component of the time-to-build that is uncorrelated with the systematic determinants of time-to-build associated with capacity, demand condition, time fixed effects, industry and geographic regional</w:t>
      </w:r>
      <w:r w:rsidRPr="00637130" w:rsidDel="00287CD3">
        <w:t xml:space="preserve"> </w:t>
      </w:r>
      <w:r w:rsidRPr="00637130">
        <w:t xml:space="preserve">fixed effects. A negative residual implies the project was finished faster than average, whereas a positive residual indicates the opposite. </w:t>
      </w:r>
    </w:p>
    <w:p w:rsidR="0015445D" w:rsidRPr="00637130" w:rsidRDefault="0015445D" w:rsidP="0015445D">
      <w:pPr>
        <w:spacing w:line="480" w:lineRule="auto"/>
        <w:ind w:firstLine="720"/>
      </w:pPr>
      <w:r w:rsidRPr="00637130">
        <w:t>We use this measure of project speed to create a measure of firm speed. First, for comparability, we ha</w:t>
      </w:r>
      <w:r w:rsidR="0056563F">
        <w:t xml:space="preserve">ve to standardize the measure. </w:t>
      </w:r>
      <w:r w:rsidRPr="00637130">
        <w:t>We calculate the mean and standard deviation o</w:t>
      </w:r>
      <w:r w:rsidR="0085587A" w:rsidRPr="00637130">
        <w:t xml:space="preserve">f </w:t>
      </w:r>
      <m:oMath>
        <m:sSubSup>
          <m:sSubSupPr>
            <m:ctrlPr>
              <w:rPr>
                <w:rFonts w:ascii="Cambria Math" w:hAnsi="Cambria Math"/>
                <w:i/>
              </w:rPr>
            </m:ctrlPr>
          </m:sSubSupPr>
          <m:e>
            <m:r>
              <w:rPr>
                <w:rFonts w:ascii="Cambria Math" w:hAnsi="Cambria Math"/>
              </w:rPr>
              <m:t>θ</m:t>
            </m:r>
          </m:e>
          <m:sub>
            <m:r>
              <w:rPr>
                <w:rFonts w:ascii="Cambria Math" w:hAnsi="Cambria Math"/>
              </w:rPr>
              <m:t>f,i.l,t</m:t>
            </m:r>
          </m:sub>
          <m:sup>
            <m:r>
              <w:rPr>
                <w:rFonts w:ascii="Cambria Math" w:hAnsi="Cambria Math"/>
              </w:rPr>
              <m:t>j</m:t>
            </m:r>
          </m:sup>
        </m:sSubSup>
      </m:oMath>
      <w:r w:rsidR="0085587A" w:rsidRPr="00637130">
        <w:t xml:space="preserve"> </w:t>
      </w:r>
      <w:r w:rsidRPr="00637130">
        <w:t xml:space="preserve">within each industry-region subgroup for each year, where the mean is calculated as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θ</m:t>
                </m:r>
              </m:e>
            </m:acc>
          </m:e>
          <m:sub>
            <m:r>
              <w:rPr>
                <w:rFonts w:ascii="Cambria Math" w:hAnsi="Cambria Math"/>
              </w:rPr>
              <m:t>i,l,t</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j</m:t>
                </m:r>
              </m:sub>
              <m:sup/>
              <m:e>
                <m:nary>
                  <m:naryPr>
                    <m:chr m:val="∑"/>
                    <m:limLoc m:val="undOvr"/>
                    <m:supHide m:val="1"/>
                    <m:ctrlPr>
                      <w:rPr>
                        <w:rFonts w:ascii="Cambria Math" w:hAnsi="Cambria Math"/>
                        <w:i/>
                      </w:rPr>
                    </m:ctrlPr>
                  </m:naryPr>
                  <m:sub>
                    <m:r>
                      <w:rPr>
                        <w:rFonts w:ascii="Cambria Math" w:hAnsi="Cambria Math"/>
                      </w:rPr>
                      <m:t>f</m:t>
                    </m:r>
                  </m:sub>
                  <m:sup/>
                  <m:e>
                    <m:sSubSup>
                      <m:sSubSupPr>
                        <m:ctrlPr>
                          <w:rPr>
                            <w:rFonts w:ascii="Cambria Math" w:hAnsi="Cambria Math"/>
                            <w:i/>
                          </w:rPr>
                        </m:ctrlPr>
                      </m:sSubSupPr>
                      <m:e>
                        <m:r>
                          <w:rPr>
                            <w:rFonts w:ascii="Cambria Math" w:hAnsi="Cambria Math"/>
                          </w:rPr>
                          <m:t>θ</m:t>
                        </m:r>
                      </m:e>
                      <m:sub>
                        <m:r>
                          <w:rPr>
                            <w:rFonts w:ascii="Cambria Math" w:hAnsi="Cambria Math"/>
                          </w:rPr>
                          <m:t>f,i,l,t</m:t>
                        </m:r>
                      </m:sub>
                      <m:sup>
                        <m:r>
                          <w:rPr>
                            <w:rFonts w:ascii="Cambria Math" w:hAnsi="Cambria Math"/>
                          </w:rPr>
                          <m:t>j</m:t>
                        </m:r>
                      </m:sup>
                    </m:sSubSup>
                  </m:e>
                </m:nary>
              </m:e>
            </m:nary>
          </m:num>
          <m:den>
            <m:sSub>
              <m:sSubPr>
                <m:ctrlPr>
                  <w:rPr>
                    <w:rFonts w:ascii="Cambria Math" w:hAnsi="Cambria Math"/>
                    <w:i/>
                  </w:rPr>
                </m:ctrlPr>
              </m:sSubPr>
              <m:e>
                <m:r>
                  <w:rPr>
                    <w:rFonts w:ascii="Cambria Math" w:hAnsi="Cambria Math"/>
                  </w:rPr>
                  <m:t>n</m:t>
                </m:r>
              </m:e>
              <m:sub>
                <m:r>
                  <w:rPr>
                    <w:rFonts w:ascii="Cambria Math" w:hAnsi="Cambria Math"/>
                  </w:rPr>
                  <m:t>i,l,t</m:t>
                </m:r>
              </m:sub>
            </m:sSub>
          </m:den>
        </m:f>
      </m:oMath>
      <w:r w:rsidRPr="00637130">
        <w:t xml:space="preserve"> and the standard deviation is calculated as </w:t>
      </w:r>
      <m:oMath>
        <m:sSub>
          <m:sSubPr>
            <m:ctrlPr>
              <w:rPr>
                <w:rFonts w:ascii="Cambria Math" w:hAnsi="Cambria Math"/>
                <w:i/>
              </w:rPr>
            </m:ctrlPr>
          </m:sSubPr>
          <m:e>
            <m:r>
              <w:rPr>
                <w:rFonts w:ascii="Cambria Math" w:hAnsi="Cambria Math"/>
              </w:rPr>
              <m:t>σ</m:t>
            </m:r>
          </m:e>
          <m:sub>
            <m:r>
              <w:rPr>
                <w:rFonts w:ascii="Cambria Math" w:hAnsi="Cambria Math"/>
              </w:rPr>
              <m:t>i,l,t</m:t>
            </m:r>
          </m:sub>
        </m:sSub>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nary>
                      <m:naryPr>
                        <m:chr m:val="∑"/>
                        <m:limLoc m:val="subSup"/>
                        <m:supHide m:val="1"/>
                        <m:ctrlPr>
                          <w:rPr>
                            <w:rFonts w:ascii="Cambria Math" w:hAnsi="Cambria Math"/>
                            <w:i/>
                          </w:rPr>
                        </m:ctrlPr>
                      </m:naryPr>
                      <m:sub>
                        <m:r>
                          <w:rPr>
                            <w:rFonts w:ascii="Cambria Math" w:hAnsi="Cambria Math"/>
                          </w:rPr>
                          <m:t>j</m:t>
                        </m:r>
                      </m:sub>
                      <m:sup/>
                      <m:e>
                        <m:sSup>
                          <m:sSupPr>
                            <m:ctrlPr>
                              <w:rPr>
                                <w:rFonts w:ascii="Cambria Math" w:hAnsi="Cambria Math"/>
                                <w:i/>
                              </w:rPr>
                            </m:ctrlPr>
                          </m:sSupPr>
                          <m:e>
                            <m:nary>
                              <m:naryPr>
                                <m:chr m:val="∑"/>
                                <m:limLoc m:val="undOvr"/>
                                <m:supHide m:val="1"/>
                                <m:ctrlPr>
                                  <w:rPr>
                                    <w:rFonts w:ascii="Cambria Math" w:hAnsi="Cambria Math"/>
                                    <w:i/>
                                  </w:rPr>
                                </m:ctrlPr>
                              </m:naryPr>
                              <m:sub>
                                <m:r>
                                  <w:rPr>
                                    <w:rFonts w:ascii="Cambria Math" w:hAnsi="Cambria Math"/>
                                  </w:rPr>
                                  <m:t>f</m:t>
                                </m:r>
                              </m:sub>
                              <m:sup/>
                              <m:e>
                                <m:d>
                                  <m:dPr>
                                    <m:ctrlPr>
                                      <w:rPr>
                                        <w:rFonts w:ascii="Cambria Math" w:hAnsi="Cambria Math"/>
                                        <w:i/>
                                      </w:rPr>
                                    </m:ctrlPr>
                                  </m:dPr>
                                  <m:e>
                                    <m:sSubSup>
                                      <m:sSubSupPr>
                                        <m:ctrlPr>
                                          <w:rPr>
                                            <w:rFonts w:ascii="Cambria Math" w:hAnsi="Cambria Math"/>
                                            <w:i/>
                                          </w:rPr>
                                        </m:ctrlPr>
                                      </m:sSubSupPr>
                                      <m:e>
                                        <m:r>
                                          <w:rPr>
                                            <w:rFonts w:ascii="Cambria Math" w:hAnsi="Cambria Math"/>
                                          </w:rPr>
                                          <m:t>θ</m:t>
                                        </m:r>
                                      </m:e>
                                      <m:sub>
                                        <m:r>
                                          <w:rPr>
                                            <w:rFonts w:ascii="Cambria Math" w:hAnsi="Cambria Math"/>
                                          </w:rPr>
                                          <m:t>f,i.l,t</m:t>
                                        </m:r>
                                      </m:sub>
                                      <m:sup>
                                        <m:r>
                                          <w:rPr>
                                            <w:rFonts w:ascii="Cambria Math" w:hAnsi="Cambria Math"/>
                                          </w:rPr>
                                          <m:t>j</m:t>
                                        </m:r>
                                      </m:sup>
                                    </m:sSubSup>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θ</m:t>
                                            </m:r>
                                          </m:e>
                                        </m:acc>
                                      </m:e>
                                      <m:sub>
                                        <m:r>
                                          <w:rPr>
                                            <w:rFonts w:ascii="Cambria Math" w:hAnsi="Cambria Math"/>
                                          </w:rPr>
                                          <m:t>i,l,t</m:t>
                                        </m:r>
                                      </m:sub>
                                    </m:sSub>
                                  </m:e>
                                </m:d>
                              </m:e>
                            </m:nary>
                          </m:e>
                          <m:sup>
                            <m:r>
                              <w:rPr>
                                <w:rFonts w:ascii="Cambria Math" w:hAnsi="Cambria Math"/>
                              </w:rPr>
                              <m:t>2</m:t>
                            </m:r>
                          </m:sup>
                        </m:sSup>
                      </m:e>
                    </m:nary>
                  </m:num>
                  <m:den>
                    <m:sSub>
                      <m:sSubPr>
                        <m:ctrlPr>
                          <w:rPr>
                            <w:rFonts w:ascii="Cambria Math" w:hAnsi="Cambria Math"/>
                            <w:i/>
                          </w:rPr>
                        </m:ctrlPr>
                      </m:sSubPr>
                      <m:e>
                        <m:r>
                          <w:rPr>
                            <w:rFonts w:ascii="Cambria Math" w:hAnsi="Cambria Math"/>
                          </w:rPr>
                          <m:t>n</m:t>
                        </m:r>
                      </m:e>
                      <m:sub>
                        <m:r>
                          <w:rPr>
                            <w:rFonts w:ascii="Cambria Math" w:hAnsi="Cambria Math"/>
                          </w:rPr>
                          <m:t>i,l,t</m:t>
                        </m:r>
                      </m:sub>
                    </m:sSub>
                    <m:r>
                      <w:rPr>
                        <w:rFonts w:ascii="Cambria Math" w:hAnsi="Cambria Math"/>
                      </w:rPr>
                      <m:t xml:space="preserve"> </m:t>
                    </m:r>
                    <m:r>
                      <w:rPr>
                        <w:rFonts w:ascii="Cambria Math" w:hAnsi="Cambria Math"/>
                        <w:vanish/>
                      </w:rPr>
                      <m:t xml:space="preserve"> ,e is be a summing our</m:t>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w:rPr>
                        <w:rFonts w:ascii="Cambria Math" w:hAnsi="Cambria Math"/>
                      </w:rPr>
                      <m:t>-1</m:t>
                    </m:r>
                  </m:den>
                </m:f>
              </m:e>
            </m:d>
          </m:e>
          <m:sup>
            <m:f>
              <m:fPr>
                <m:ctrlPr>
                  <w:rPr>
                    <w:rFonts w:ascii="Cambria Math" w:hAnsi="Cambria Math"/>
                    <w:i/>
                  </w:rPr>
                </m:ctrlPr>
              </m:fPr>
              <m:num>
                <m:r>
                  <w:rPr>
                    <w:rFonts w:ascii="Cambria Math" w:hAnsi="Cambria Math"/>
                  </w:rPr>
                  <m:t>1</m:t>
                </m:r>
              </m:num>
              <m:den>
                <m:r>
                  <w:rPr>
                    <w:rFonts w:ascii="Cambria Math" w:hAnsi="Cambria Math"/>
                  </w:rPr>
                  <m:t>2</m:t>
                </m:r>
              </m:den>
            </m:f>
          </m:sup>
        </m:sSup>
      </m:oMath>
      <w:r w:rsidRPr="00637130">
        <w:t xml:space="preserve">. We then standardize each observation of </w:t>
      </w:r>
      <m:oMath>
        <m:sSubSup>
          <m:sSubSupPr>
            <m:ctrlPr>
              <w:rPr>
                <w:rFonts w:ascii="Cambria Math" w:hAnsi="Cambria Math"/>
                <w:i/>
              </w:rPr>
            </m:ctrlPr>
          </m:sSubSupPr>
          <m:e>
            <m:r>
              <w:rPr>
                <w:rFonts w:ascii="Cambria Math" w:hAnsi="Cambria Math"/>
              </w:rPr>
              <m:t>θ</m:t>
            </m:r>
          </m:e>
          <m:sub>
            <m:r>
              <w:rPr>
                <w:rFonts w:ascii="Cambria Math" w:hAnsi="Cambria Math"/>
              </w:rPr>
              <m:t>f,i.l,t</m:t>
            </m:r>
          </m:sub>
          <m:sup>
            <m:r>
              <w:rPr>
                <w:rFonts w:ascii="Cambria Math" w:hAnsi="Cambria Math"/>
              </w:rPr>
              <m:t>j</m:t>
            </m:r>
          </m:sup>
        </m:sSubSup>
      </m:oMath>
      <w:r w:rsidRPr="00637130">
        <w:t xml:space="preserve"> (</w:t>
      </w:r>
      <w:proofErr w:type="gramStart"/>
      <w:r w:rsidRPr="00637130">
        <w:t xml:space="preserve">denoted </w:t>
      </w:r>
      <w:proofErr w:type="gramEnd"/>
      <m:oMath>
        <m:sSubSup>
          <m:sSubSupPr>
            <m:ctrlPr>
              <w:rPr>
                <w:rFonts w:ascii="Cambria Math" w:hAnsi="Cambria Math"/>
                <w:i/>
              </w:rPr>
            </m:ctrlPr>
          </m:sSubSupPr>
          <m:e>
            <m:acc>
              <m:accPr>
                <m:chr m:val="̃"/>
                <m:ctrlPr>
                  <w:rPr>
                    <w:rFonts w:ascii="Cambria Math" w:hAnsi="Cambria Math"/>
                    <w:i/>
                  </w:rPr>
                </m:ctrlPr>
              </m:accPr>
              <m:e>
                <m:r>
                  <w:rPr>
                    <w:rFonts w:ascii="Cambria Math" w:hAnsi="Cambria Math"/>
                  </w:rPr>
                  <m:t>θ</m:t>
                </m:r>
              </m:e>
            </m:acc>
          </m:e>
          <m:sub>
            <m:r>
              <w:rPr>
                <w:rFonts w:ascii="Cambria Math" w:hAnsi="Cambria Math"/>
              </w:rPr>
              <m:t>f,i,l,t</m:t>
            </m:r>
          </m:sub>
          <m:sup>
            <m:r>
              <w:rPr>
                <w:rFonts w:ascii="Cambria Math" w:hAnsi="Cambria Math"/>
              </w:rPr>
              <m:t>j</m:t>
            </m:r>
          </m:sup>
        </m:sSubSup>
      </m:oMath>
      <w:r w:rsidRPr="00637130">
        <w:t xml:space="preserve">) using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θ</m:t>
                </m:r>
              </m:e>
            </m:acc>
          </m:e>
          <m:sub>
            <m:r>
              <w:rPr>
                <w:rFonts w:ascii="Cambria Math" w:hAnsi="Cambria Math"/>
              </w:rPr>
              <m:t>i,l,t</m:t>
            </m:r>
          </m:sub>
        </m:sSub>
      </m:oMath>
      <w:r w:rsidRPr="00637130">
        <w:t xml:space="preserve"> and </w:t>
      </w:r>
      <m:oMath>
        <m:sSub>
          <m:sSubPr>
            <m:ctrlPr>
              <w:rPr>
                <w:rFonts w:ascii="Cambria Math" w:hAnsi="Cambria Math"/>
                <w:i/>
              </w:rPr>
            </m:ctrlPr>
          </m:sSubPr>
          <m:e>
            <m:r>
              <w:rPr>
                <w:rFonts w:ascii="Cambria Math" w:hAnsi="Cambria Math"/>
              </w:rPr>
              <m:t>σ</m:t>
            </m:r>
          </m:e>
          <m:sub>
            <m:r>
              <w:rPr>
                <w:rFonts w:ascii="Cambria Math" w:hAnsi="Cambria Math"/>
              </w:rPr>
              <m:t>i,l,t</m:t>
            </m:r>
          </m:sub>
        </m:sSub>
      </m:oMath>
      <w:r w:rsidRPr="00637130">
        <w:t xml:space="preserve"> as follows: </w:t>
      </w:r>
      <m:oMath>
        <m:sSubSup>
          <m:sSubSupPr>
            <m:ctrlPr>
              <w:rPr>
                <w:rFonts w:ascii="Cambria Math" w:eastAsia="Calibri" w:hAnsi="Cambria Math"/>
                <w:i/>
              </w:rPr>
            </m:ctrlPr>
          </m:sSubSupPr>
          <m:e>
            <m:acc>
              <m:accPr>
                <m:chr m:val="̃"/>
                <m:ctrlPr>
                  <w:rPr>
                    <w:rFonts w:ascii="Cambria Math" w:eastAsia="Calibri" w:hAnsi="Cambria Math"/>
                    <w:i/>
                  </w:rPr>
                </m:ctrlPr>
              </m:accPr>
              <m:e>
                <m:r>
                  <w:rPr>
                    <w:rFonts w:ascii="Cambria Math" w:eastAsia="Calibri" w:hAnsi="Cambria Math"/>
                  </w:rPr>
                  <m:t>θ</m:t>
                </m:r>
              </m:e>
            </m:acc>
          </m:e>
          <m:sub>
            <m:r>
              <w:rPr>
                <w:rFonts w:ascii="Cambria Math" w:eastAsia="Calibri" w:hAnsi="Cambria Math"/>
              </w:rPr>
              <m:t>f,i,l,t</m:t>
            </m:r>
          </m:sub>
          <m:sup>
            <m:r>
              <w:rPr>
                <w:rFonts w:ascii="Cambria Math" w:eastAsia="Calibri" w:hAnsi="Cambria Math"/>
              </w:rPr>
              <m:t>j</m:t>
            </m:r>
          </m:sup>
        </m:sSubSup>
        <m:r>
          <w:rPr>
            <w:rFonts w:ascii="Cambria Math" w:eastAsia="Calibri"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θ</m:t>
                </m:r>
              </m:e>
              <m:sub>
                <m:r>
                  <w:rPr>
                    <w:rFonts w:ascii="Cambria Math" w:hAnsi="Cambria Math"/>
                  </w:rPr>
                  <m:t>f,i.l,t</m:t>
                </m:r>
              </m:sub>
              <m:sup>
                <m:r>
                  <w:rPr>
                    <w:rFonts w:ascii="Cambria Math" w:hAnsi="Cambria Math"/>
                  </w:rPr>
                  <m:t>j</m:t>
                </m:r>
              </m:sup>
            </m:sSubSup>
            <m:r>
              <m:rPr>
                <m:sty m:val="p"/>
              </m:rPr>
              <w:rPr>
                <w:rFonts w:ascii="Cambria Math" w:hAnsi="Cambria Math"/>
              </w:rPr>
              <m:t xml:space="preserve"> </m:t>
            </m:r>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θ</m:t>
                    </m:r>
                  </m:e>
                </m:acc>
              </m:e>
              <m:sub>
                <m:r>
                  <w:rPr>
                    <w:rFonts w:ascii="Cambria Math" w:hAnsi="Cambria Math"/>
                  </w:rPr>
                  <m:t>i,l,t</m:t>
                </m:r>
              </m:sub>
            </m:sSub>
          </m:num>
          <m:den>
            <m:sSub>
              <m:sSubPr>
                <m:ctrlPr>
                  <w:rPr>
                    <w:rFonts w:ascii="Cambria Math" w:hAnsi="Cambria Math"/>
                    <w:i/>
                  </w:rPr>
                </m:ctrlPr>
              </m:sSubPr>
              <m:e>
                <m:r>
                  <w:rPr>
                    <w:rFonts w:ascii="Cambria Math" w:hAnsi="Cambria Math"/>
                  </w:rPr>
                  <m:t>σ</m:t>
                </m:r>
              </m:e>
              <m:sub>
                <m:r>
                  <w:rPr>
                    <w:rFonts w:ascii="Cambria Math" w:hAnsi="Cambria Math"/>
                  </w:rPr>
                  <m:t>i,l,t</m:t>
                </m:r>
              </m:sub>
            </m:sSub>
          </m:den>
        </m:f>
      </m:oMath>
      <w:r w:rsidRPr="00637130">
        <w:t xml:space="preserve">. </w:t>
      </w:r>
      <w:r w:rsidR="00A475D8" w:rsidRPr="00637130">
        <w:t>Next</w:t>
      </w:r>
      <w:r w:rsidRPr="00637130">
        <w:t xml:space="preserve">, we build our measure of firm speed for firm </w:t>
      </w:r>
      <w:r w:rsidRPr="00637130">
        <w:rPr>
          <w:i/>
        </w:rPr>
        <w:t>j</w:t>
      </w:r>
      <w:r w:rsidRPr="00637130">
        <w:t xml:space="preserve"> by summing up the standardized project speed measure </w:t>
      </w:r>
      <m:oMath>
        <m:sSubSup>
          <m:sSubSupPr>
            <m:ctrlPr>
              <w:rPr>
                <w:rFonts w:ascii="Cambria Math" w:hAnsi="Cambria Math"/>
                <w:i/>
              </w:rPr>
            </m:ctrlPr>
          </m:sSubSupPr>
          <m:e>
            <m:acc>
              <m:accPr>
                <m:chr m:val="̃"/>
                <m:ctrlPr>
                  <w:rPr>
                    <w:rFonts w:ascii="Cambria Math" w:hAnsi="Cambria Math"/>
                    <w:i/>
                  </w:rPr>
                </m:ctrlPr>
              </m:accPr>
              <m:e>
                <m:r>
                  <w:rPr>
                    <w:rFonts w:ascii="Cambria Math" w:hAnsi="Cambria Math"/>
                  </w:rPr>
                  <m:t>θ</m:t>
                </m:r>
              </m:e>
            </m:acc>
          </m:e>
          <m:sub>
            <m:r>
              <w:rPr>
                <w:rFonts w:ascii="Cambria Math" w:hAnsi="Cambria Math"/>
              </w:rPr>
              <m:t>f,i,l,t</m:t>
            </m:r>
          </m:sub>
          <m:sup>
            <m:r>
              <w:rPr>
                <w:rFonts w:ascii="Cambria Math" w:hAnsi="Cambria Math"/>
              </w:rPr>
              <m:t>j</m:t>
            </m:r>
          </m:sup>
        </m:sSubSup>
      </m:oMath>
      <w:r w:rsidRPr="00637130">
        <w:t xml:space="preserve"> for all of the projects that firm </w:t>
      </w:r>
      <w:r w:rsidRPr="00637130">
        <w:rPr>
          <w:i/>
        </w:rPr>
        <w:t>j</w:t>
      </w:r>
      <w:r w:rsidRPr="00637130">
        <w:t xml:space="preserve"> completes in year t and taking the average. Finally, we reverse code this measure so positive values indicate a faster firm. Formally, </w:t>
      </w:r>
      <m:oMath>
        <m:sSubSup>
          <m:sSubSupPr>
            <m:ctrlPr>
              <w:rPr>
                <w:rFonts w:ascii="Cambria Math" w:hAnsi="Cambria Math"/>
              </w:rPr>
            </m:ctrlPr>
          </m:sSubSupPr>
          <m:e>
            <m:r>
              <m:rPr>
                <m:sty m:val="p"/>
              </m:rPr>
              <w:rPr>
                <w:rFonts w:ascii="Cambria Math" w:hAnsi="Cambria Math" w:hint="eastAsia"/>
              </w:rPr>
              <m:t>Θ</m:t>
            </m:r>
          </m:e>
          <m:sub>
            <m:r>
              <m:rPr>
                <m:sty m:val="p"/>
              </m:rPr>
              <w:rPr>
                <w:rFonts w:ascii="Cambria Math" w:hAnsi="Cambria Math"/>
              </w:rPr>
              <m:t>t</m:t>
            </m:r>
          </m:sub>
          <m:sup>
            <m:r>
              <m:rPr>
                <m:sty m:val="p"/>
              </m:rPr>
              <w:rPr>
                <w:rFonts w:ascii="Cambria Math" w:hAnsi="Cambria Math"/>
              </w:rPr>
              <m:t>j</m:t>
            </m:r>
          </m:sup>
        </m:sSubSup>
        <m:r>
          <m:rPr>
            <m:sty m:val="p"/>
          </m:rPr>
          <w:rPr>
            <w:rFonts w:ascii="Cambria Math" w:hAnsi="Cambria Math"/>
          </w:rPr>
          <m:t>=-</m:t>
        </m:r>
        <m:f>
          <m:fPr>
            <m:type m:val="lin"/>
            <m:ctrlPr>
              <w:rPr>
                <w:rFonts w:ascii="Cambria Math" w:hAnsi="Cambria Math"/>
              </w:rPr>
            </m:ctrlPr>
          </m:fPr>
          <m:num>
            <m:d>
              <m:dPr>
                <m:ctrlPr>
                  <w:rPr>
                    <w:rFonts w:ascii="Cambria Math" w:hAnsi="Cambria Math"/>
                  </w:rPr>
                </m:ctrlPr>
              </m:dPr>
              <m:e>
                <m:nary>
                  <m:naryPr>
                    <m:chr m:val="∑"/>
                    <m:limLoc m:val="undOvr"/>
                    <m:supHide m:val="1"/>
                    <m:ctrlPr>
                      <w:rPr>
                        <w:rFonts w:ascii="Cambria Math" w:hAnsi="Cambria Math"/>
                      </w:rPr>
                    </m:ctrlPr>
                  </m:naryPr>
                  <m:sub>
                    <m:r>
                      <w:rPr>
                        <w:rFonts w:ascii="Cambria Math" w:hAnsi="Cambria Math"/>
                      </w:rPr>
                      <m:t>f,i,l</m:t>
                    </m:r>
                  </m:sub>
                  <m:sup/>
                  <m:e>
                    <m:sSubSup>
                      <m:sSubSupPr>
                        <m:ctrlPr>
                          <w:rPr>
                            <w:rFonts w:ascii="Cambria Math" w:hAnsi="Cambria Math"/>
                            <w:i/>
                          </w:rPr>
                        </m:ctrlPr>
                      </m:sSubSupPr>
                      <m:e>
                        <m:acc>
                          <m:accPr>
                            <m:chr m:val="̃"/>
                            <m:ctrlPr>
                              <w:rPr>
                                <w:rFonts w:ascii="Cambria Math" w:hAnsi="Cambria Math"/>
                                <w:i/>
                              </w:rPr>
                            </m:ctrlPr>
                          </m:accPr>
                          <m:e>
                            <m:r>
                              <w:rPr>
                                <w:rFonts w:ascii="Cambria Math" w:hAnsi="Cambria Math"/>
                              </w:rPr>
                              <m:t>θ</m:t>
                            </m:r>
                          </m:e>
                        </m:acc>
                      </m:e>
                      <m:sub>
                        <m:r>
                          <w:rPr>
                            <w:rFonts w:ascii="Cambria Math" w:hAnsi="Cambria Math"/>
                          </w:rPr>
                          <m:t>f,i,l,t</m:t>
                        </m:r>
                      </m:sub>
                      <m:sup>
                        <m:r>
                          <w:rPr>
                            <w:rFonts w:ascii="Cambria Math" w:hAnsi="Cambria Math"/>
                          </w:rPr>
                          <m:t>j</m:t>
                        </m:r>
                      </m:sup>
                    </m:sSubSup>
                  </m:e>
                </m:nary>
              </m:e>
            </m:d>
          </m:num>
          <m:den>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t</m:t>
                </m:r>
              </m:sub>
              <m:sup>
                <m:r>
                  <m:rPr>
                    <m:sty m:val="p"/>
                  </m:rPr>
                  <w:rPr>
                    <w:rFonts w:ascii="Cambria Math" w:hAnsi="Cambria Math"/>
                  </w:rPr>
                  <m:t>j</m:t>
                </m:r>
              </m:sup>
            </m:sSubSup>
          </m:den>
        </m:f>
      </m:oMath>
      <w:r w:rsidRPr="00637130">
        <w:t xml:space="preserve"> is</w:t>
      </w:r>
      <w:r w:rsidRPr="00637130">
        <w:rPr>
          <w:i/>
        </w:rPr>
        <w:t xml:space="preserve"> </w:t>
      </w:r>
      <w:r w:rsidRPr="00637130">
        <w:t xml:space="preserve">the average standardized investment speed of all </w:t>
      </w:r>
      <m:oMath>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t</m:t>
            </m:r>
          </m:sub>
          <m:sup>
            <m:r>
              <m:rPr>
                <m:sty m:val="p"/>
              </m:rPr>
              <w:rPr>
                <w:rFonts w:ascii="Cambria Math" w:hAnsi="Cambria Math"/>
              </w:rPr>
              <m:t>j</m:t>
            </m:r>
          </m:sup>
        </m:sSubSup>
      </m:oMath>
      <w:r w:rsidRPr="00637130">
        <w:t xml:space="preserve"> projects completed by firm </w:t>
      </w:r>
      <w:r w:rsidRPr="00637130">
        <w:rPr>
          <w:i/>
        </w:rPr>
        <w:t xml:space="preserve">j </w:t>
      </w:r>
      <w:r w:rsidRPr="00637130">
        <w:t xml:space="preserve">at time </w:t>
      </w:r>
      <w:proofErr w:type="gramStart"/>
      <w:r w:rsidRPr="00637130">
        <w:rPr>
          <w:i/>
        </w:rPr>
        <w:t>t</w:t>
      </w:r>
      <w:r w:rsidRPr="00637130">
        <w:t>.</w:t>
      </w:r>
      <w:proofErr w:type="gramEnd"/>
      <w:r w:rsidRPr="00637130">
        <w:t xml:space="preserve"> </w:t>
      </w:r>
    </w:p>
    <w:p w:rsidR="005D453E" w:rsidRDefault="0015445D" w:rsidP="00905FF1">
      <w:pPr>
        <w:spacing w:line="480" w:lineRule="auto"/>
        <w:ind w:firstLine="720"/>
        <w:rPr>
          <w:b/>
        </w:rPr>
      </w:pPr>
      <w:r w:rsidRPr="00637130">
        <w:lastRenderedPageBreak/>
        <w:t xml:space="preserve">We then adjust our speed measure to fit a panel of firm-year observations. Our goal is to have a firm speed measure that accurately reflects the speed capabilities of the firm over time. Thus, we take the following approach: first, we define our measure of firm speed </w:t>
      </w:r>
      <m:oMath>
        <m:sSub>
          <m:sSubPr>
            <m:ctrlPr>
              <w:rPr>
                <w:rFonts w:ascii="Cambria Math" w:hAnsi="Cambria Math"/>
                <w:i/>
              </w:rPr>
            </m:ctrlPr>
          </m:sSubPr>
          <m:e>
            <m:r>
              <w:rPr>
                <w:rFonts w:ascii="Cambria Math" w:hAnsi="Cambria Math"/>
              </w:rPr>
              <m:t>Speed Capability</m:t>
            </m:r>
          </m:e>
          <m:sub>
            <m:r>
              <w:rPr>
                <w:rFonts w:ascii="Cambria Math" w:hAnsi="Cambria Math"/>
              </w:rPr>
              <m:t>j,t</m:t>
            </m:r>
          </m:sub>
        </m:sSub>
      </m:oMath>
      <w:r w:rsidRPr="00637130">
        <w:t xml:space="preserve"> as the moving average of </w:t>
      </w:r>
      <m:oMath>
        <m:sSubSup>
          <m:sSubSupPr>
            <m:ctrlPr>
              <w:rPr>
                <w:rFonts w:ascii="Cambria Math" w:hAnsi="Cambria Math"/>
              </w:rPr>
            </m:ctrlPr>
          </m:sSubSupPr>
          <m:e>
            <m:r>
              <m:rPr>
                <m:sty m:val="p"/>
              </m:rPr>
              <w:rPr>
                <w:rFonts w:ascii="Cambria Math" w:hAnsi="Cambria Math" w:hint="eastAsia"/>
              </w:rPr>
              <m:t>Θ</m:t>
            </m:r>
          </m:e>
          <m:sub>
            <m:r>
              <m:rPr>
                <m:sty m:val="p"/>
              </m:rPr>
              <w:rPr>
                <w:rFonts w:ascii="Cambria Math" w:hAnsi="Cambria Math"/>
              </w:rPr>
              <m:t>t</m:t>
            </m:r>
          </m:sub>
          <m:sup>
            <m:r>
              <m:rPr>
                <m:sty m:val="p"/>
              </m:rPr>
              <w:rPr>
                <w:rFonts w:ascii="Cambria Math" w:hAnsi="Cambria Math"/>
              </w:rPr>
              <m:t>j</m:t>
            </m:r>
          </m:sup>
        </m:sSubSup>
      </m:oMath>
      <w:r w:rsidRPr="00637130">
        <w:t xml:space="preserve"> over the current year and the prior two years. Thus</w:t>
      </w:r>
      <w:proofErr w:type="gramStart"/>
      <w:r w:rsidRPr="00637130">
        <w:t xml:space="preserve">, </w:t>
      </w:r>
      <w:proofErr w:type="gramEnd"/>
      <m:oMath>
        <m:sSub>
          <m:sSubPr>
            <m:ctrlPr>
              <w:rPr>
                <w:rFonts w:ascii="Cambria Math" w:hAnsi="Cambria Math"/>
                <w:i/>
              </w:rPr>
            </m:ctrlPr>
          </m:sSubPr>
          <m:e>
            <m:r>
              <w:rPr>
                <w:rFonts w:ascii="Cambria Math" w:hAnsi="Cambria Math"/>
              </w:rPr>
              <m:t>Speed Capability</m:t>
            </m:r>
          </m:e>
          <m:sub>
            <m:r>
              <w:rPr>
                <w:rFonts w:ascii="Cambria Math" w:hAnsi="Cambria Math"/>
              </w:rPr>
              <m:t>j,t</m:t>
            </m:r>
          </m:sub>
        </m:sSub>
        <m:r>
          <w:rPr>
            <w:rFonts w:ascii="Cambria Math" w:hAnsi="Cambria Math"/>
          </w:rPr>
          <m:t>=</m:t>
        </m:r>
        <m:f>
          <m:fPr>
            <m:type m:val="lin"/>
            <m:ctrlPr>
              <w:rPr>
                <w:rFonts w:ascii="Cambria Math" w:hAnsi="Cambria Math"/>
                <w:i/>
              </w:rPr>
            </m:ctrlPr>
          </m:fPr>
          <m:num>
            <m:nary>
              <m:naryPr>
                <m:chr m:val="∑"/>
                <m:limLoc m:val="subSup"/>
                <m:ctrlPr>
                  <w:rPr>
                    <w:rFonts w:ascii="Cambria Math" w:hAnsi="Cambria Math"/>
                    <w:i/>
                  </w:rPr>
                </m:ctrlPr>
              </m:naryPr>
              <m:sub>
                <m:r>
                  <w:rPr>
                    <w:rFonts w:ascii="Cambria Math" w:hAnsi="Cambria Math"/>
                  </w:rPr>
                  <m:t>y=t-2</m:t>
                </m:r>
              </m:sub>
              <m:sup>
                <m:r>
                  <w:rPr>
                    <w:rFonts w:ascii="Cambria Math" w:hAnsi="Cambria Math"/>
                  </w:rPr>
                  <m:t>t</m:t>
                </m:r>
              </m:sup>
              <m:e>
                <m:sSubSup>
                  <m:sSubSupPr>
                    <m:ctrlPr>
                      <w:rPr>
                        <w:rFonts w:ascii="Cambria Math" w:hAnsi="Cambria Math"/>
                      </w:rPr>
                    </m:ctrlPr>
                  </m:sSubSupPr>
                  <m:e>
                    <m:r>
                      <m:rPr>
                        <m:sty m:val="p"/>
                      </m:rPr>
                      <w:rPr>
                        <w:rFonts w:ascii="Cambria Math" w:hAnsi="Cambria Math" w:hint="eastAsia"/>
                      </w:rPr>
                      <m:t>Θ</m:t>
                    </m:r>
                  </m:e>
                  <m:sub>
                    <m:r>
                      <m:rPr>
                        <m:sty m:val="p"/>
                      </m:rPr>
                      <w:rPr>
                        <w:rFonts w:ascii="Cambria Math" w:hAnsi="Cambria Math"/>
                      </w:rPr>
                      <m:t>y</m:t>
                    </m:r>
                  </m:sub>
                  <m:sup>
                    <m:r>
                      <m:rPr>
                        <m:sty m:val="p"/>
                      </m:rPr>
                      <w:rPr>
                        <w:rFonts w:ascii="Cambria Math" w:hAnsi="Cambria Math"/>
                      </w:rPr>
                      <m:t>j</m:t>
                    </m:r>
                  </m:sup>
                </m:sSubSup>
              </m:e>
            </m:nary>
          </m:num>
          <m:den>
            <m:r>
              <w:rPr>
                <w:rFonts w:ascii="Cambria Math" w:hAnsi="Cambria Math"/>
              </w:rPr>
              <m:t>3</m:t>
            </m:r>
          </m:den>
        </m:f>
      </m:oMath>
      <w:r w:rsidRPr="00637130">
        <w:t xml:space="preserve">. Second, we carry forward our speed measure to future years when no new information is available. Finally, for years in our panel before any speed information is available for a firm, we assume neutral speed (i.e., we replace </w:t>
      </w:r>
      <m:oMath>
        <m:sSub>
          <m:sSubPr>
            <m:ctrlPr>
              <w:rPr>
                <w:rFonts w:ascii="Cambria Math" w:hAnsi="Cambria Math"/>
                <w:i/>
              </w:rPr>
            </m:ctrlPr>
          </m:sSubPr>
          <m:e>
            <m:r>
              <w:rPr>
                <w:rFonts w:ascii="Cambria Math" w:hAnsi="Cambria Math"/>
              </w:rPr>
              <m:t>Speed Capability</m:t>
            </m:r>
          </m:e>
          <m:sub>
            <m:r>
              <w:rPr>
                <w:rFonts w:ascii="Cambria Math" w:hAnsi="Cambria Math"/>
              </w:rPr>
              <m:t>j,t</m:t>
            </m:r>
          </m:sub>
        </m:sSub>
        <m:r>
          <w:rPr>
            <w:rFonts w:ascii="Cambria Math" w:hAnsi="Cambria Math"/>
          </w:rPr>
          <m:t>=0</m:t>
        </m:r>
      </m:oMath>
      <w:r w:rsidRPr="00637130">
        <w:t xml:space="preserve"> for the remaining missing observations).</w:t>
      </w:r>
    </w:p>
    <w:p w:rsidR="0015445D" w:rsidRPr="00410822" w:rsidRDefault="0015445D" w:rsidP="0015445D">
      <w:pPr>
        <w:spacing w:line="480" w:lineRule="auto"/>
        <w:rPr>
          <w:b/>
        </w:rPr>
      </w:pPr>
      <w:r w:rsidRPr="00410822">
        <w:rPr>
          <w:b/>
        </w:rPr>
        <w:t>Controls</w:t>
      </w:r>
    </w:p>
    <w:p w:rsidR="00D21C0B" w:rsidRDefault="00D21C0B" w:rsidP="0015445D">
      <w:pPr>
        <w:spacing w:line="480" w:lineRule="auto"/>
      </w:pPr>
      <w:r>
        <w:t xml:space="preserve">Numerous </w:t>
      </w:r>
      <w:r w:rsidR="009C29F1">
        <w:t xml:space="preserve">other </w:t>
      </w:r>
      <w:r>
        <w:t xml:space="preserve">firm characteristics may </w:t>
      </w:r>
      <w:r w:rsidR="008266F5">
        <w:t>affect</w:t>
      </w:r>
      <w:r>
        <w:t xml:space="preserve"> entry incentives, such as firm size, age, prior experience in related markets </w:t>
      </w:r>
      <w:r w:rsidRPr="00410822">
        <w:t>(</w:t>
      </w:r>
      <w:proofErr w:type="spellStart"/>
      <w:r w:rsidRPr="00410822">
        <w:rPr>
          <w:rFonts w:ascii="Times" w:eastAsia="Times" w:hAnsi="Times"/>
        </w:rPr>
        <w:t>Fuentelsaz</w:t>
      </w:r>
      <w:proofErr w:type="spellEnd"/>
      <w:r w:rsidRPr="00410822">
        <w:rPr>
          <w:rFonts w:ascii="Times" w:eastAsia="Times" w:hAnsi="Times"/>
        </w:rPr>
        <w:t>, Gomez and Polo 2002)</w:t>
      </w:r>
      <w:r>
        <w:t>, and the possession of required supporting</w:t>
      </w:r>
      <w:r w:rsidR="00032F47">
        <w:t xml:space="preserve"> assets (Mitchell 1989, 1991). </w:t>
      </w:r>
      <w:r w:rsidR="0015445D" w:rsidRPr="000E1202">
        <w:rPr>
          <w:i/>
        </w:rPr>
        <w:t>Firm size</w:t>
      </w:r>
      <w:r w:rsidR="0015445D">
        <w:t xml:space="preserve"> is </w:t>
      </w:r>
      <w:r w:rsidR="0015445D" w:rsidRPr="00410822">
        <w:t>the natural log of the average total sales of the firm from 1996-2007</w:t>
      </w:r>
      <w:r w:rsidR="0015445D">
        <w:t xml:space="preserve">, deflated to </w:t>
      </w:r>
      <w:r w:rsidR="0015445D" w:rsidRPr="00410822">
        <w:t xml:space="preserve">1996 prices using the </w:t>
      </w:r>
      <w:r w:rsidR="0015445D">
        <w:t xml:space="preserve">consumer price index and averaged over the sample. </w:t>
      </w:r>
      <w:r w:rsidR="0015445D" w:rsidRPr="00410822">
        <w:rPr>
          <w:i/>
        </w:rPr>
        <w:t>Age</w:t>
      </w:r>
      <w:r w:rsidR="0015445D" w:rsidRPr="00410822">
        <w:t xml:space="preserve"> is the difference between the year of incorporation for the firm and the event year</w:t>
      </w:r>
      <w:r w:rsidR="00733B44">
        <w:t xml:space="preserve">, and </w:t>
      </w:r>
      <w:r w:rsidR="009C29F1" w:rsidRPr="00410822">
        <w:rPr>
          <w:i/>
        </w:rPr>
        <w:t>Age</w:t>
      </w:r>
      <w:r w:rsidR="009C29F1">
        <w:rPr>
          <w:i/>
          <w:vertAlign w:val="superscript"/>
        </w:rPr>
        <w:t>2</w:t>
      </w:r>
      <w:r w:rsidRPr="00D21C0B">
        <w:rPr>
          <w:rStyle w:val="FootnoteReference"/>
        </w:rPr>
        <w:t xml:space="preserve"> </w:t>
      </w:r>
      <w:r w:rsidR="009C29F1">
        <w:t xml:space="preserve"> is </w:t>
      </w:r>
      <w:r w:rsidR="0015445D" w:rsidRPr="00410822">
        <w:t>includ</w:t>
      </w:r>
      <w:r w:rsidR="009C29F1">
        <w:t>ed</w:t>
      </w:r>
      <w:r w:rsidR="0015445D" w:rsidRPr="00410822">
        <w:t xml:space="preserve"> to account for possible nonlinear effects.</w:t>
      </w:r>
      <w:r w:rsidR="00AD188E">
        <w:t xml:space="preserve"> </w:t>
      </w:r>
      <w:r w:rsidR="00AD188E" w:rsidRPr="00AD188E">
        <w:t xml:space="preserve">To reduce potential </w:t>
      </w:r>
      <w:proofErr w:type="spellStart"/>
      <w:r w:rsidR="00AD188E" w:rsidRPr="00AD188E">
        <w:t>multicollinearity</w:t>
      </w:r>
      <w:proofErr w:type="spellEnd"/>
      <w:r w:rsidR="00AD188E" w:rsidRPr="00AD188E">
        <w:t xml:space="preserve"> between the age and age squared terms, we standardize the age measures. Our results do not change substantially with the exclusion of the age squared term.</w:t>
      </w:r>
      <w:r w:rsidR="0015445D" w:rsidRPr="00410822">
        <w:t xml:space="preserve"> </w:t>
      </w:r>
      <w:r w:rsidR="0015445D" w:rsidRPr="00410822">
        <w:rPr>
          <w:i/>
        </w:rPr>
        <w:t>Experience</w:t>
      </w:r>
      <w:r w:rsidR="0015445D" w:rsidRPr="00410822">
        <w:t xml:space="preserve"> is a count variable measuring the number of prior LNG projects that a firm has participated in over the course of the LNG industry.</w:t>
      </w:r>
      <w:r>
        <w:t xml:space="preserve"> W</w:t>
      </w:r>
      <w:r w:rsidR="0015445D" w:rsidRPr="00410822">
        <w:t xml:space="preserve">e include several measures of relevant complementary assets for the LNG submarket. We construct </w:t>
      </w:r>
      <w:r w:rsidR="0015445D" w:rsidRPr="00410822">
        <w:rPr>
          <w:i/>
        </w:rPr>
        <w:t>Tankers</w:t>
      </w:r>
      <w:r w:rsidR="0015445D" w:rsidRPr="00410822">
        <w:t xml:space="preserve"> as the number of LNG tankers possessed by the firm. We create </w:t>
      </w:r>
      <w:r w:rsidR="0015445D" w:rsidRPr="00410822">
        <w:rPr>
          <w:i/>
        </w:rPr>
        <w:t>Oil and Gas Production</w:t>
      </w:r>
      <w:r w:rsidR="0015445D" w:rsidRPr="00410822">
        <w:t xml:space="preserve"> and </w:t>
      </w:r>
      <w:r w:rsidR="0015445D" w:rsidRPr="00410822">
        <w:rPr>
          <w:i/>
        </w:rPr>
        <w:t>Oil and Gas Reserves</w:t>
      </w:r>
      <w:r w:rsidR="0015445D" w:rsidRPr="00410822">
        <w:t xml:space="preserve"> as the natural log of the </w:t>
      </w:r>
      <w:r w:rsidR="0015445D" w:rsidRPr="00410822">
        <w:lastRenderedPageBreak/>
        <w:t>average oil and gas production and reserves of the firm from 1996-2007 respectively, measured in millions of barrels of oil equivalent (</w:t>
      </w:r>
      <w:proofErr w:type="spellStart"/>
      <w:r w:rsidR="0015445D" w:rsidRPr="00410822">
        <w:t>MMboe</w:t>
      </w:r>
      <w:proofErr w:type="spellEnd"/>
      <w:r w:rsidR="0015445D" w:rsidRPr="00410822">
        <w:t>).</w:t>
      </w:r>
      <w:r w:rsidR="0015445D" w:rsidRPr="00410822">
        <w:rPr>
          <w:rStyle w:val="FootnoteReference"/>
        </w:rPr>
        <w:footnoteReference w:id="10"/>
      </w:r>
      <w:r w:rsidR="0015445D" w:rsidRPr="001E28EC">
        <w:rPr>
          <w:vertAlign w:val="superscript"/>
        </w:rPr>
        <w:t>,</w:t>
      </w:r>
      <w:r w:rsidR="0015445D">
        <w:t xml:space="preserve"> </w:t>
      </w:r>
    </w:p>
    <w:p w:rsidR="009C29F1" w:rsidRDefault="009C29F1" w:rsidP="001F124F">
      <w:pPr>
        <w:spacing w:line="480" w:lineRule="auto"/>
        <w:ind w:firstLine="720"/>
      </w:pPr>
      <w:r>
        <w:t xml:space="preserve">Investment incentives also matter. </w:t>
      </w:r>
      <w:r w:rsidR="0015445D" w:rsidRPr="00410822">
        <w:t>Growth in demand</w:t>
      </w:r>
      <w:r w:rsidR="0015445D">
        <w:t>, capacity utilization, market share and rival expansion</w:t>
      </w:r>
      <w:r w:rsidR="0015445D" w:rsidRPr="00410822">
        <w:t xml:space="preserve"> has been found to induce investment</w:t>
      </w:r>
      <w:r w:rsidR="0015445D">
        <w:t xml:space="preserve">, whereas investment lumpiness </w:t>
      </w:r>
      <w:r w:rsidR="0015445D" w:rsidRPr="00410822">
        <w:t>reduces the incentives to enter</w:t>
      </w:r>
      <w:r w:rsidR="0015445D">
        <w:t xml:space="preserve"> </w:t>
      </w:r>
      <w:r w:rsidR="0015445D" w:rsidRPr="00410822">
        <w:t>(Lieberman 1987</w:t>
      </w:r>
      <w:r w:rsidR="0015445D">
        <w:t>a</w:t>
      </w:r>
      <w:proofErr w:type="gramStart"/>
      <w:r w:rsidR="0015445D">
        <w:t>,b</w:t>
      </w:r>
      <w:proofErr w:type="gramEnd"/>
      <w:r w:rsidR="0015445D" w:rsidRPr="00410822">
        <w:t>; Gilbert and Lieberman 1987; Henderson and Cool 2003a,b; Pacheco-de-Almeida, Henderson and Cool 2006).</w:t>
      </w:r>
      <w:r w:rsidR="0015445D">
        <w:t xml:space="preserve"> </w:t>
      </w:r>
      <w:r w:rsidR="0015445D" w:rsidRPr="00410822">
        <w:rPr>
          <w:i/>
        </w:rPr>
        <w:t>Demand</w:t>
      </w:r>
      <w:r w:rsidR="0015445D">
        <w:t xml:space="preserve"> is</w:t>
      </w:r>
      <w:r w:rsidR="0015445D" w:rsidRPr="00410822">
        <w:t xml:space="preserve"> the four year compound annual growth rate of worldwide LNG liquefaction and gasification. </w:t>
      </w:r>
      <w:r w:rsidR="0015445D" w:rsidRPr="00584E8F">
        <w:rPr>
          <w:i/>
        </w:rPr>
        <w:t>Capacity Utilization</w:t>
      </w:r>
      <w:r w:rsidR="0015445D">
        <w:t xml:space="preserve"> i</w:t>
      </w:r>
      <w:r w:rsidR="0015445D" w:rsidRPr="00410822">
        <w:t>s annual LNG import and export volumes divided by operational LNG capacity (liquefaction plus gasification).</w:t>
      </w:r>
      <w:r w:rsidR="0015445D">
        <w:t xml:space="preserve"> </w:t>
      </w:r>
      <w:r w:rsidR="0015445D" w:rsidRPr="00410822">
        <w:t>Following prior literature (Lieberman 1987</w:t>
      </w:r>
      <w:r w:rsidR="0015445D">
        <w:t xml:space="preserve">a), </w:t>
      </w:r>
      <w:r w:rsidR="0015445D" w:rsidRPr="00584E8F">
        <w:rPr>
          <w:i/>
        </w:rPr>
        <w:t>Investment Lumpiness</w:t>
      </w:r>
      <w:r w:rsidR="0015445D">
        <w:t xml:space="preserve"> i</w:t>
      </w:r>
      <w:r w:rsidR="0015445D" w:rsidRPr="00410822">
        <w:t xml:space="preserve">s </w:t>
      </w:r>
      <w:r w:rsidR="0015445D">
        <w:t>the multiplicative inverse of the total number of operational LNG facilities</w:t>
      </w:r>
      <w:r w:rsidR="0015445D" w:rsidRPr="00410822">
        <w:t>.</w:t>
      </w:r>
      <w:r w:rsidR="0015445D">
        <w:t xml:space="preserve"> </w:t>
      </w:r>
      <w:r w:rsidR="0015445D" w:rsidRPr="00410822">
        <w:t xml:space="preserve">We measure market share as the total capacity of a firm’s LNG facilities divided by global LNG capacity: </w:t>
      </w:r>
      <w:r w:rsidR="0015445D" w:rsidRPr="00410822">
        <w:rPr>
          <w:i/>
        </w:rPr>
        <w:t>LNG Export Market Share</w:t>
      </w:r>
      <w:r w:rsidR="0015445D" w:rsidRPr="00410822">
        <w:t xml:space="preserve"> for liquefaction </w:t>
      </w:r>
      <w:proofErr w:type="gramStart"/>
      <w:r w:rsidR="0015445D" w:rsidRPr="00410822">
        <w:t>facilities,</w:t>
      </w:r>
      <w:proofErr w:type="gramEnd"/>
      <w:r w:rsidR="0015445D" w:rsidRPr="00410822">
        <w:t xml:space="preserve"> and </w:t>
      </w:r>
      <w:r w:rsidR="0015445D" w:rsidRPr="00410822">
        <w:rPr>
          <w:i/>
        </w:rPr>
        <w:t>LNG Import Market Share</w:t>
      </w:r>
      <w:r w:rsidR="0015445D" w:rsidRPr="00410822">
        <w:t xml:space="preserve"> for gasification facilities. </w:t>
      </w:r>
      <w:r w:rsidR="0015445D" w:rsidRPr="00410822">
        <w:rPr>
          <w:i/>
        </w:rPr>
        <w:t>Rivals’ Expansion</w:t>
      </w:r>
      <w:r w:rsidR="0015445D">
        <w:t xml:space="preserve"> i</w:t>
      </w:r>
      <w:r w:rsidR="0015445D" w:rsidRPr="00410822">
        <w:t>s the total LNG capacity announced by rivals to be added in a given year (liquefaction plus gasification) divided by total operational LNG capacity (liquefaction plus gasification).</w:t>
      </w:r>
      <w:r w:rsidR="0015445D">
        <w:t xml:space="preserve"> </w:t>
      </w:r>
    </w:p>
    <w:p w:rsidR="005D453E" w:rsidRDefault="0015445D" w:rsidP="001F124F">
      <w:pPr>
        <w:spacing w:line="480" w:lineRule="auto"/>
        <w:ind w:firstLine="720"/>
        <w:rPr>
          <w:b/>
        </w:rPr>
      </w:pPr>
      <w:r>
        <w:t xml:space="preserve">We also include a set of </w:t>
      </w:r>
      <w:r w:rsidRPr="00410822">
        <w:t xml:space="preserve">industry </w:t>
      </w:r>
      <w:r>
        <w:t xml:space="preserve">dummies </w:t>
      </w:r>
      <w:r w:rsidRPr="00410822">
        <w:t xml:space="preserve">to account for any systematic differences in entry incentives across parent industry categorization. These include </w:t>
      </w:r>
      <w:r w:rsidRPr="00410822">
        <w:rPr>
          <w:i/>
        </w:rPr>
        <w:t>Oil and Gas Extraction</w:t>
      </w:r>
      <w:r w:rsidRPr="00410822">
        <w:t xml:space="preserve"> (SIC code 13), </w:t>
      </w:r>
      <w:r w:rsidRPr="00410822">
        <w:rPr>
          <w:i/>
        </w:rPr>
        <w:t>Petroleum and Coal Products</w:t>
      </w:r>
      <w:r w:rsidRPr="00410822">
        <w:t xml:space="preserve"> (SIC code 29), </w:t>
      </w:r>
      <w:r w:rsidRPr="00410822">
        <w:rPr>
          <w:i/>
        </w:rPr>
        <w:t>Electric and Gas Services</w:t>
      </w:r>
      <w:r w:rsidRPr="00410822">
        <w:t xml:space="preserve"> (SIC </w:t>
      </w:r>
      <w:r w:rsidRPr="00410822">
        <w:lastRenderedPageBreak/>
        <w:t xml:space="preserve">code 49), and </w:t>
      </w:r>
      <w:proofErr w:type="gramStart"/>
      <w:r w:rsidRPr="00410822">
        <w:rPr>
          <w:i/>
        </w:rPr>
        <w:t>Other</w:t>
      </w:r>
      <w:proofErr w:type="gramEnd"/>
      <w:r w:rsidRPr="00410822">
        <w:t xml:space="preserve">. A summary description and data source for each control variable is outlined in </w:t>
      </w:r>
      <w:r w:rsidR="00995040">
        <w:t xml:space="preserve">a table in </w:t>
      </w:r>
      <w:r w:rsidR="00B22CF1">
        <w:t>A</w:t>
      </w:r>
      <w:r w:rsidR="00995040">
        <w:t>ppendix</w:t>
      </w:r>
      <w:r w:rsidR="00B22CF1">
        <w:t xml:space="preserve"> </w:t>
      </w:r>
      <w:r w:rsidR="001C2FBA">
        <w:t>II</w:t>
      </w:r>
      <w:r w:rsidR="00995040">
        <w:t xml:space="preserve">. </w:t>
      </w:r>
      <w:r w:rsidRPr="00410822">
        <w:t xml:space="preserve"> </w:t>
      </w:r>
    </w:p>
    <w:p w:rsidR="0015445D" w:rsidRPr="00410822" w:rsidRDefault="0015445D" w:rsidP="0015445D">
      <w:pPr>
        <w:spacing w:line="480" w:lineRule="auto"/>
        <w:rPr>
          <w:b/>
        </w:rPr>
      </w:pPr>
      <w:r w:rsidRPr="00410822">
        <w:rPr>
          <w:b/>
        </w:rPr>
        <w:t>Statistical Method</w:t>
      </w:r>
    </w:p>
    <w:p w:rsidR="0015445D" w:rsidRDefault="0015445D" w:rsidP="00A86E03">
      <w:pPr>
        <w:spacing w:line="480" w:lineRule="auto"/>
        <w:rPr>
          <w:b/>
        </w:rPr>
      </w:pPr>
      <w:proofErr w:type="gramStart"/>
      <w:r w:rsidRPr="00410822">
        <w:rPr>
          <w:b/>
        </w:rPr>
        <w:t>Event History Analysis.</w:t>
      </w:r>
      <w:proofErr w:type="gramEnd"/>
      <w:r w:rsidRPr="00410822">
        <w:rPr>
          <w:b/>
        </w:rPr>
        <w:t xml:space="preserve"> </w:t>
      </w:r>
      <w:r w:rsidRPr="00410822">
        <w:t xml:space="preserve">In the discrete-time event history analysis (Allison, 1984; 2004; Shan and Song 1997), we estimate a </w:t>
      </w:r>
      <w:proofErr w:type="spellStart"/>
      <w:r w:rsidRPr="00410822">
        <w:t>logit</w:t>
      </w:r>
      <w:proofErr w:type="spellEnd"/>
      <w:r w:rsidRPr="00410822">
        <w:t xml:space="preserve"> model predicting the probability of entry for each year (Allison, 1984; 2004) using annual data on whether a firm chooses to enter the LNG industry. </w:t>
      </w:r>
      <w:r>
        <w:t>T</w:t>
      </w:r>
      <w:r w:rsidRPr="004279F2">
        <w:t xml:space="preserve">he dependent variable is binary (=1 if an entry occurs in a year) and allows for multiple entry events per firm </w:t>
      </w:r>
      <w:r>
        <w:t>over the history of the sample</w:t>
      </w:r>
      <w:r w:rsidRPr="004279F2">
        <w:t xml:space="preserve">. </w:t>
      </w:r>
      <w:r w:rsidRPr="00410822">
        <w:t>Our risk set of potential entrants is defined as all</w:t>
      </w:r>
      <w:r>
        <w:t xml:space="preserve"> </w:t>
      </w:r>
      <w:r w:rsidRPr="00410822">
        <w:t xml:space="preserve">oil and gas firms existing in a particular year that have participated in the LNG industry at some point over the history of the industry with available data for our covariates. In estimating the predicted </w:t>
      </w:r>
      <w:r>
        <w:t>probability of entry for each year</w:t>
      </w:r>
      <w:r w:rsidRPr="00410822">
        <w:t>, we include the aforementioned controls and our focal independent variable (</w:t>
      </w:r>
      <w:r w:rsidRPr="00410822">
        <w:rPr>
          <w:i/>
        </w:rPr>
        <w:t>Speed</w:t>
      </w:r>
      <w:r>
        <w:rPr>
          <w:i/>
        </w:rPr>
        <w:t xml:space="preserve"> Capability</w:t>
      </w:r>
      <w:r w:rsidRPr="00410822">
        <w:t xml:space="preserve">). We choose the discrete-time event history analysis rather than continuous time methods because the former is more appropriate when there is ambiguity about the time origin (Allison, 2004, </w:t>
      </w:r>
      <w:r>
        <w:t>p.</w:t>
      </w:r>
      <w:r w:rsidRPr="00410822">
        <w:t xml:space="preserve"> 231). Since the growth of the Atlantic Basin LNG submarket started roughly in the mid-1990s, we do not have an exact start</w:t>
      </w:r>
      <w:r>
        <w:t>ing</w:t>
      </w:r>
      <w:r w:rsidRPr="00410822">
        <w:t xml:space="preserve"> time for use in continuous time methods. Additionally, discrete-time event history methods handle both time-dependent covariates, ties, and coarsely measured event times well (Allison, 2004, </w:t>
      </w:r>
      <w:r>
        <w:t>p.</w:t>
      </w:r>
      <w:r w:rsidRPr="00410822">
        <w:t xml:space="preserve"> 255) and our data is indeed grouped in an annual basis with coarse entry times. </w:t>
      </w:r>
      <w:r>
        <w:t>Since m</w:t>
      </w:r>
      <w:r w:rsidRPr="00410822">
        <w:t xml:space="preserve">any firms enter multiple times over the history of the sample, </w:t>
      </w:r>
      <w:r>
        <w:t xml:space="preserve">entry events are repeatable and </w:t>
      </w:r>
      <w:r w:rsidRPr="00410822">
        <w:t xml:space="preserve">multiple observations for a single firm are not independent. We therefore use standard errors robust to clustering by firm. </w:t>
      </w:r>
    </w:p>
    <w:p w:rsidR="0015445D" w:rsidRPr="00410822" w:rsidRDefault="0015445D" w:rsidP="0015445D">
      <w:pPr>
        <w:spacing w:line="480" w:lineRule="auto"/>
      </w:pPr>
      <w:proofErr w:type="gramStart"/>
      <w:r w:rsidRPr="00410822">
        <w:rPr>
          <w:b/>
        </w:rPr>
        <w:t>Event Study</w:t>
      </w:r>
      <w:r w:rsidRPr="00410822">
        <w:t>.</w:t>
      </w:r>
      <w:proofErr w:type="gramEnd"/>
      <w:r w:rsidRPr="00410822">
        <w:t xml:space="preserve"> </w:t>
      </w:r>
      <w:r>
        <w:t>We use an event study t</w:t>
      </w:r>
      <w:r w:rsidRPr="00410822">
        <w:t xml:space="preserve">o examine entry performance. Strategy research has frequently used event studies to estimate value from firm heterogeneity in strategic actions (e.g. </w:t>
      </w:r>
      <w:r w:rsidRPr="00410822">
        <w:lastRenderedPageBreak/>
        <w:t xml:space="preserve">Morck and Yeung 1992; Anand and </w:t>
      </w:r>
      <w:proofErr w:type="spellStart"/>
      <w:r w:rsidRPr="00410822">
        <w:t>Khanna</w:t>
      </w:r>
      <w:proofErr w:type="spellEnd"/>
      <w:r w:rsidRPr="00410822">
        <w:t xml:space="preserve"> 2000; Benson and </w:t>
      </w:r>
      <w:proofErr w:type="spellStart"/>
      <w:r w:rsidRPr="00410822">
        <w:t>Ziedonis</w:t>
      </w:r>
      <w:proofErr w:type="spellEnd"/>
      <w:r w:rsidRPr="00410822">
        <w:t xml:space="preserve"> 2008).</w:t>
      </w:r>
      <w:r>
        <w:t xml:space="preserve"> In our study, we examine how the stock price reaction to news of a firm’s entry into a market depends on the entrant’s chosen entry timing and the entrant’s intrinsic speed capability. The methodology relies</w:t>
      </w:r>
      <w:r w:rsidRPr="00410822">
        <w:t xml:space="preserve"> on the stock market as an information processor, collecting releva</w:t>
      </w:r>
      <w:r>
        <w:t>nt information about a corporation and its</w:t>
      </w:r>
      <w:r w:rsidRPr="00410822">
        <w:t xml:space="preserve"> action</w:t>
      </w:r>
      <w:r>
        <w:t xml:space="preserve">. Informed trading, upon the arrival of news of a market entry, leads to a change in firm value that reflects </w:t>
      </w:r>
      <w:r w:rsidRPr="00410822">
        <w:t xml:space="preserve">the discounted value of the action. </w:t>
      </w:r>
      <w:r>
        <w:t>V</w:t>
      </w:r>
      <w:r w:rsidRPr="00410822">
        <w:t xml:space="preserve">ariations in the </w:t>
      </w:r>
      <w:r>
        <w:t xml:space="preserve">stock price reactions </w:t>
      </w:r>
      <w:r w:rsidRPr="00410822">
        <w:t xml:space="preserve">across firms for a similar strategic action therefore are associated with </w:t>
      </w:r>
      <w:r>
        <w:t xml:space="preserve">relevant </w:t>
      </w:r>
      <w:r w:rsidRPr="00410822">
        <w:t>firm heterogeneity</w:t>
      </w:r>
      <w:r>
        <w:t xml:space="preserve">. </w:t>
      </w:r>
      <w:r w:rsidRPr="00410822">
        <w:t xml:space="preserve">An attractive feature of an event study is that the method </w:t>
      </w:r>
      <w:r>
        <w:t>allows</w:t>
      </w:r>
      <w:r w:rsidRPr="00410822">
        <w:t xml:space="preserve"> causal linkage going from intrinsic speed capabilities to the stock market’s assessment of future value creation. </w:t>
      </w:r>
    </w:p>
    <w:p w:rsidR="005D453E" w:rsidRDefault="0015445D" w:rsidP="00A86E03">
      <w:pPr>
        <w:spacing w:line="480" w:lineRule="auto"/>
        <w:ind w:firstLine="720"/>
        <w:rPr>
          <w:b/>
        </w:rPr>
      </w:pPr>
      <w:r w:rsidRPr="00410822">
        <w:t xml:space="preserve">To conduct the event study, we change our level of analysis from the firm year level to the project announcement level. We create a dataset of announcement dates of each project and we link these dates to stock price data on the days surrounding the announcement. As discussed in the dependent variable section, we </w:t>
      </w:r>
      <w:r>
        <w:t xml:space="preserve">obtain </w:t>
      </w:r>
      <w:r w:rsidRPr="00410822">
        <w:t xml:space="preserve">the cumulative abnormal stock price return </w:t>
      </w:r>
      <w:r>
        <w:t>(</w:t>
      </w:r>
      <w:r w:rsidRPr="001E28EC">
        <w:rPr>
          <w:i/>
        </w:rPr>
        <w:t>CAR</w:t>
      </w:r>
      <w:r>
        <w:t xml:space="preserve">) </w:t>
      </w:r>
      <w:r w:rsidRPr="00410822">
        <w:t xml:space="preserve">of each company associated with the announcement of entry into LNG. We regress </w:t>
      </w:r>
      <w:r w:rsidRPr="00410822">
        <w:rPr>
          <w:i/>
        </w:rPr>
        <w:t>CAR</w:t>
      </w:r>
      <w:r w:rsidRPr="00410822">
        <w:t xml:space="preserve"> onto our measure of intrinsic speed capabilities </w:t>
      </w:r>
      <w:r w:rsidRPr="00410822">
        <w:rPr>
          <w:i/>
        </w:rPr>
        <w:t>Speed</w:t>
      </w:r>
      <w:r>
        <w:rPr>
          <w:i/>
        </w:rPr>
        <w:t xml:space="preserve"> Capability</w:t>
      </w:r>
      <w:r w:rsidRPr="00410822">
        <w:t>, interacted with dumm</w:t>
      </w:r>
      <w:r w:rsidR="001C2FBA">
        <w:t>ies</w:t>
      </w:r>
      <w:r w:rsidRPr="00410822">
        <w:t xml:space="preserve"> indicating whether the entry is in the early more uncertain regime before the end of 2000 (Phase I), or in the later, less uncertain regime after 2000 (Phase II) as specified in equation</w:t>
      </w:r>
      <w:r>
        <w:t xml:space="preserve"> 1</w:t>
      </w:r>
      <w:r w:rsidRPr="00410822">
        <w:t xml:space="preserve">. We </w:t>
      </w:r>
      <w:r>
        <w:t xml:space="preserve">further differentiate the relationship between </w:t>
      </w:r>
      <w:r w:rsidRPr="001E28EC">
        <w:rPr>
          <w:i/>
        </w:rPr>
        <w:t>CAR</w:t>
      </w:r>
      <w:r>
        <w:t xml:space="preserve"> and intrinsic speed capability according to entry timing and whether the investment is usage-specific or usage-flexible, as in eq</w:t>
      </w:r>
      <w:r w:rsidR="005F5DD0">
        <w:t>uation</w:t>
      </w:r>
      <w:r>
        <w:t xml:space="preserve"> 3.  </w:t>
      </w:r>
      <w:r w:rsidRPr="00410822">
        <w:t xml:space="preserve">To control for any other influences on the stock price reaction of firms related to firm and parent industry heterogeneity, we include firm fixed effects and industry fixed effects. </w:t>
      </w:r>
    </w:p>
    <w:p w:rsidR="0015445D" w:rsidRPr="00410822" w:rsidRDefault="0015445D" w:rsidP="0015445D">
      <w:pPr>
        <w:keepNext/>
        <w:spacing w:line="480" w:lineRule="auto"/>
        <w:rPr>
          <w:b/>
        </w:rPr>
      </w:pPr>
      <w:r w:rsidRPr="00410822">
        <w:rPr>
          <w:b/>
        </w:rPr>
        <w:lastRenderedPageBreak/>
        <w:t>RESULTS</w:t>
      </w:r>
    </w:p>
    <w:p w:rsidR="0015445D" w:rsidRPr="00410822" w:rsidRDefault="0015445D" w:rsidP="0015445D">
      <w:pPr>
        <w:keepNext/>
        <w:spacing w:line="480" w:lineRule="auto"/>
        <w:rPr>
          <w:b/>
        </w:rPr>
      </w:pPr>
      <w:r w:rsidRPr="00410822">
        <w:rPr>
          <w:b/>
        </w:rPr>
        <w:t>Entry Decisions</w:t>
      </w:r>
    </w:p>
    <w:p w:rsidR="0015445D" w:rsidRDefault="0015445D" w:rsidP="0015445D">
      <w:pPr>
        <w:spacing w:line="480" w:lineRule="auto"/>
      </w:pPr>
      <w:r w:rsidRPr="00410822">
        <w:t xml:space="preserve">We present summary statistics and </w:t>
      </w:r>
      <w:r>
        <w:t>a correlation matrix</w:t>
      </w:r>
      <w:r w:rsidRPr="00410822">
        <w:t xml:space="preserve"> for the </w:t>
      </w:r>
      <w:r>
        <w:t>dataset in Table</w:t>
      </w:r>
      <w:r w:rsidR="00170AAC">
        <w:t xml:space="preserve"> 1</w:t>
      </w:r>
      <w:r w:rsidRPr="00410822">
        <w:t xml:space="preserve">. </w:t>
      </w:r>
      <w:r w:rsidR="00170AAC">
        <w:t>W</w:t>
      </w:r>
      <w:r w:rsidRPr="00410822">
        <w:t>e find that our measure of speed capabilities (</w:t>
      </w:r>
      <w:r w:rsidRPr="00410822">
        <w:rPr>
          <w:i/>
        </w:rPr>
        <w:t>Speed</w:t>
      </w:r>
      <w:r w:rsidR="0026721B">
        <w:rPr>
          <w:i/>
        </w:rPr>
        <w:t xml:space="preserve"> Capability</w:t>
      </w:r>
      <w:r w:rsidRPr="00410822">
        <w:t>) is positively correlated with entry.</w:t>
      </w:r>
      <w:r>
        <w:t xml:space="preserve"> </w:t>
      </w:r>
      <w:r w:rsidRPr="00410822">
        <w:t xml:space="preserve">The other correlations between entry and our controls are for the most part consistent with prior findings in the literature. Of course, this analysis omits any control variables to partial out other influences that may affect the correlation coefficients. </w:t>
      </w:r>
      <w:r>
        <w:t>We also observe that the speed variable demonstrates substantial variation: a one standard deviation change in the speed variable (.55) corresponds to a 7 month change in average project development time.</w:t>
      </w:r>
    </w:p>
    <w:p w:rsidR="0015445D" w:rsidRDefault="0015445D" w:rsidP="0015445D">
      <w:pPr>
        <w:spacing w:line="480" w:lineRule="auto"/>
        <w:jc w:val="center"/>
      </w:pPr>
      <w:r>
        <w:t xml:space="preserve">**Insert Table </w:t>
      </w:r>
      <w:r w:rsidR="00CA163D">
        <w:t>1</w:t>
      </w:r>
      <w:r>
        <w:t xml:space="preserve"> about here**</w:t>
      </w:r>
    </w:p>
    <w:p w:rsidR="00AF5C6D" w:rsidRDefault="0015445D" w:rsidP="0015445D">
      <w:pPr>
        <w:spacing w:line="480" w:lineRule="auto"/>
        <w:ind w:firstLine="720"/>
      </w:pPr>
      <w:r w:rsidRPr="00410822">
        <w:t xml:space="preserve">Statistics regarding </w:t>
      </w:r>
      <w:proofErr w:type="spellStart"/>
      <w:r w:rsidRPr="00410822">
        <w:t>multicollinearity</w:t>
      </w:r>
      <w:proofErr w:type="spellEnd"/>
      <w:r w:rsidRPr="00410822">
        <w:t xml:space="preserve"> were for the most part acceptable. Using variance inflation factors (VIFs) to examine po</w:t>
      </w:r>
      <w:r>
        <w:t xml:space="preserve">tential </w:t>
      </w:r>
      <w:proofErr w:type="spellStart"/>
      <w:r>
        <w:t>collinearity</w:t>
      </w:r>
      <w:proofErr w:type="spellEnd"/>
      <w:r>
        <w:t xml:space="preserve"> in Table </w:t>
      </w:r>
      <w:r w:rsidR="00CA163D">
        <w:t>1</w:t>
      </w:r>
      <w:r w:rsidRPr="00410822">
        <w:t xml:space="preserve">, we found that the only </w:t>
      </w:r>
      <w:proofErr w:type="spellStart"/>
      <w:r w:rsidRPr="00410822">
        <w:t>collinearity</w:t>
      </w:r>
      <w:proofErr w:type="spellEnd"/>
      <w:r w:rsidRPr="00410822">
        <w:t xml:space="preserve"> issue that may be of concern is with investment lumpiness and capacity utilization (VIF of 43.2 and 37.3 respectively). We expected potential </w:t>
      </w:r>
      <w:proofErr w:type="spellStart"/>
      <w:r w:rsidRPr="00410822">
        <w:t>collinearity</w:t>
      </w:r>
      <w:proofErr w:type="spellEnd"/>
      <w:r w:rsidRPr="00410822">
        <w:t xml:space="preserve"> issues with these variables since they both capture year specific characteristics of the industry that may affect investment incentives. </w:t>
      </w:r>
      <w:r>
        <w:t xml:space="preserve">In our regression analysis, we include industry fixed effects </w:t>
      </w:r>
      <w:r w:rsidRPr="00410822">
        <w:t xml:space="preserve">to reduce any potential </w:t>
      </w:r>
      <w:proofErr w:type="spellStart"/>
      <w:r w:rsidRPr="00410822">
        <w:t>collinearity</w:t>
      </w:r>
      <w:proofErr w:type="spellEnd"/>
      <w:r w:rsidRPr="00410822">
        <w:t xml:space="preserve"> problem</w:t>
      </w:r>
      <w:r>
        <w:t>. W</w:t>
      </w:r>
      <w:r w:rsidRPr="00410822">
        <w:t xml:space="preserve">e </w:t>
      </w:r>
      <w:r>
        <w:t xml:space="preserve">also </w:t>
      </w:r>
      <w:r w:rsidRPr="00410822">
        <w:t xml:space="preserve">repeat our analysis using year effects instead of these year specific measures. Our results did not change substantially. </w:t>
      </w:r>
    </w:p>
    <w:p w:rsidR="0015445D" w:rsidRDefault="0015445D" w:rsidP="0015445D">
      <w:pPr>
        <w:spacing w:line="480" w:lineRule="auto"/>
        <w:ind w:firstLine="720"/>
      </w:pPr>
      <w:r w:rsidRPr="00410822">
        <w:t xml:space="preserve">Table </w:t>
      </w:r>
      <w:r w:rsidR="00CA163D">
        <w:t>2</w:t>
      </w:r>
      <w:r w:rsidRPr="00410822">
        <w:t xml:space="preserve"> presents results using a </w:t>
      </w:r>
      <w:proofErr w:type="spellStart"/>
      <w:r w:rsidRPr="00410822">
        <w:t>logit</w:t>
      </w:r>
      <w:proofErr w:type="spellEnd"/>
      <w:r w:rsidRPr="00410822">
        <w:t xml:space="preserve"> model predicting a firm’s entry into the Atlantic Basin LNG market using standard errors robust to clustering by firm. </w:t>
      </w:r>
      <w:r>
        <w:t>As discussed above</w:t>
      </w:r>
      <w:r w:rsidRPr="00410822">
        <w:t>, we split the sample at the end of the year 2000. In columns I and II, we treat entry as investment with either a gasification facility or with a liquefaction facility (</w:t>
      </w:r>
      <w:proofErr w:type="spellStart"/>
      <w:r>
        <w:rPr>
          <w:i/>
        </w:rPr>
        <w:t>LNG|Entry</w:t>
      </w:r>
      <w:proofErr w:type="spellEnd"/>
      <w:r w:rsidRPr="00410822">
        <w:t xml:space="preserve">). </w:t>
      </w:r>
      <w:r>
        <w:t>W</w:t>
      </w:r>
      <w:r w:rsidRPr="00410822">
        <w:t xml:space="preserve">e </w:t>
      </w:r>
      <w:r>
        <w:t xml:space="preserve">further </w:t>
      </w:r>
      <w:r w:rsidRPr="00410822">
        <w:t xml:space="preserve">partition our </w:t>
      </w:r>
      <w:r>
        <w:t xml:space="preserve">sample </w:t>
      </w:r>
      <w:r w:rsidRPr="00410822">
        <w:t xml:space="preserve">based on facility type: gasification facilities </w:t>
      </w:r>
      <w:r>
        <w:t xml:space="preserve">as usage specific and </w:t>
      </w:r>
      <w:r w:rsidRPr="00410822">
        <w:t xml:space="preserve">liquefaction </w:t>
      </w:r>
      <w:r w:rsidRPr="00410822">
        <w:lastRenderedPageBreak/>
        <w:t>facilities</w:t>
      </w:r>
      <w:r>
        <w:t xml:space="preserve"> as usage flexible</w:t>
      </w:r>
      <w:r w:rsidRPr="00410822">
        <w:t xml:space="preserve">. </w:t>
      </w:r>
      <w:r w:rsidR="005D453E">
        <w:t>Results for the former (</w:t>
      </w:r>
      <w:proofErr w:type="spellStart"/>
      <w:r w:rsidR="005D453E">
        <w:rPr>
          <w:i/>
        </w:rPr>
        <w:t>GAS|Entry</w:t>
      </w:r>
      <w:proofErr w:type="spellEnd"/>
      <w:r w:rsidR="005D453E" w:rsidRPr="00410822">
        <w:t>)</w:t>
      </w:r>
      <w:r w:rsidR="005D453E">
        <w:t xml:space="preserve"> are reported in </w:t>
      </w:r>
      <w:r w:rsidRPr="00410822">
        <w:t>columns III and IV</w:t>
      </w:r>
      <w:r w:rsidR="005D453E">
        <w:t xml:space="preserve"> while those for the latter (</w:t>
      </w:r>
      <w:proofErr w:type="spellStart"/>
      <w:r w:rsidR="005D453E">
        <w:rPr>
          <w:i/>
        </w:rPr>
        <w:t>LIQ|Entry</w:t>
      </w:r>
      <w:proofErr w:type="spellEnd"/>
      <w:r w:rsidR="005D453E">
        <w:t>)</w:t>
      </w:r>
      <w:r w:rsidR="00FB02B8">
        <w:t xml:space="preserve"> as reported in columns V and VI</w:t>
      </w:r>
      <w:r w:rsidRPr="00410822">
        <w:t xml:space="preserve">. </w:t>
      </w:r>
    </w:p>
    <w:p w:rsidR="0015445D" w:rsidRPr="00410822" w:rsidRDefault="0015445D" w:rsidP="0015445D">
      <w:pPr>
        <w:spacing w:line="480" w:lineRule="auto"/>
        <w:jc w:val="center"/>
      </w:pPr>
      <w:r>
        <w:t xml:space="preserve">**Insert Table </w:t>
      </w:r>
      <w:r w:rsidR="00CA163D">
        <w:t>2</w:t>
      </w:r>
      <w:r>
        <w:t xml:space="preserve"> about here**</w:t>
      </w:r>
    </w:p>
    <w:p w:rsidR="0015445D" w:rsidRPr="00410822" w:rsidRDefault="0015445D" w:rsidP="0015445D">
      <w:pPr>
        <w:spacing w:line="480" w:lineRule="auto"/>
        <w:ind w:firstLine="180"/>
      </w:pPr>
      <w:r w:rsidRPr="00410822">
        <w:t xml:space="preserve"> </w:t>
      </w:r>
      <w:r w:rsidRPr="00410822">
        <w:tab/>
      </w:r>
      <w:r>
        <w:t xml:space="preserve">We find </w:t>
      </w:r>
      <w:r w:rsidRPr="00410822">
        <w:t xml:space="preserve">support for our predictions regarding entry </w:t>
      </w:r>
      <w:r>
        <w:t>decisions</w:t>
      </w:r>
      <w:r w:rsidRPr="00410822">
        <w:t xml:space="preserve"> in columns I and II. When entry is defined as investment with either </w:t>
      </w:r>
      <w:r>
        <w:t xml:space="preserve">a </w:t>
      </w:r>
      <w:r w:rsidRPr="00410822">
        <w:t xml:space="preserve">gasification or liquefaction facility, we find that speed is unrelated to early entry (before the end of 2000) in column I, but speed is positive and significantly related to later entry (after the end of 2000) in column II. Thus, </w:t>
      </w:r>
      <w:r>
        <w:t xml:space="preserve">firms with greater </w:t>
      </w:r>
      <w:r w:rsidRPr="00410822">
        <w:t>intrinsic</w:t>
      </w:r>
      <w:r>
        <w:t xml:space="preserve"> speed capabilities have a higher probability to </w:t>
      </w:r>
      <w:r w:rsidRPr="00410822">
        <w:t xml:space="preserve">entry </w:t>
      </w:r>
      <w:r>
        <w:t xml:space="preserve">after 2000 when </w:t>
      </w:r>
      <w:r w:rsidRPr="00410822">
        <w:t xml:space="preserve">more information was available and </w:t>
      </w:r>
      <w:r>
        <w:t xml:space="preserve">the general demand </w:t>
      </w:r>
      <w:r w:rsidRPr="00410822">
        <w:t xml:space="preserve">price </w:t>
      </w:r>
      <w:r>
        <w:t>level was more assuring. Still</w:t>
      </w:r>
      <w:r w:rsidRPr="00410822">
        <w:t xml:space="preserve">, </w:t>
      </w:r>
      <w:r>
        <w:t xml:space="preserve">we note that </w:t>
      </w:r>
      <w:r w:rsidRPr="00410822">
        <w:t xml:space="preserve">our results are </w:t>
      </w:r>
      <w:r>
        <w:t xml:space="preserve">only marginally significant </w:t>
      </w:r>
      <w:r w:rsidR="0026721B">
        <w:t xml:space="preserve">at the 10% level </w:t>
      </w:r>
      <w:r>
        <w:t>during the post 2000 regime</w:t>
      </w:r>
      <w:r w:rsidR="0026721B">
        <w:t xml:space="preserve">, perhaps due to the dependent variable capturing both </w:t>
      </w:r>
      <w:r w:rsidR="0082542E">
        <w:t>usage-</w:t>
      </w:r>
      <w:r w:rsidR="00B715A6">
        <w:t>specific (gasifica</w:t>
      </w:r>
      <w:r w:rsidR="0082542E">
        <w:t>tion) and usage-</w:t>
      </w:r>
      <w:r w:rsidR="00B715A6">
        <w:t>flexible (liquefaction) investments</w:t>
      </w:r>
      <w:r w:rsidR="002B1F16">
        <w:t xml:space="preserve">. </w:t>
      </w:r>
      <w:r w:rsidRPr="00410822">
        <w:t xml:space="preserve"> </w:t>
      </w:r>
    </w:p>
    <w:p w:rsidR="0015445D" w:rsidRPr="00410822" w:rsidRDefault="002B1F16" w:rsidP="0015445D">
      <w:pPr>
        <w:spacing w:line="480" w:lineRule="auto"/>
        <w:ind w:firstLine="720"/>
      </w:pPr>
      <w:r>
        <w:t>Further p</w:t>
      </w:r>
      <w:r w:rsidR="0015445D" w:rsidRPr="00410822">
        <w:t>artitioning our results by facility type</w:t>
      </w:r>
      <w:r>
        <w:t>s</w:t>
      </w:r>
      <w:r w:rsidR="0015445D" w:rsidRPr="00410822">
        <w:t xml:space="preserve">, we find </w:t>
      </w:r>
      <w:r w:rsidR="0015445D">
        <w:t>more precise</w:t>
      </w:r>
      <w:r w:rsidR="0015445D" w:rsidRPr="00410822">
        <w:t xml:space="preserve"> results. In column III and IV, where we explain entry with gasifica</w:t>
      </w:r>
      <w:r w:rsidR="0015445D">
        <w:t>tion facilities (which have high usage specificity)</w:t>
      </w:r>
      <w:r w:rsidR="0015445D" w:rsidRPr="00410822">
        <w:t>, we find that speed is unrelated to entry before 2000 but very positively and significantly related to entry after 2000. The estimated speed coefficient in column 4 is positive and highly significant at the 1% level. Additionally, this estimated coefficient is much larger than our results for all facilities (it is 47.</w:t>
      </w:r>
      <w:r w:rsidR="0015445D">
        <w:t>7</w:t>
      </w:r>
      <w:r w:rsidR="0015445D" w:rsidRPr="00410822">
        <w:t>% larger than in column II). The corresponding ma</w:t>
      </w:r>
      <w:r w:rsidR="0015445D">
        <w:t>rginal effect implies that a one standard deviation improvement in speed (seven-</w:t>
      </w:r>
      <w:r w:rsidR="0015445D" w:rsidRPr="00410822">
        <w:t>month acceleration</w:t>
      </w:r>
      <w:r w:rsidR="0015445D">
        <w:t>)</w:t>
      </w:r>
      <w:r w:rsidR="0015445D" w:rsidRPr="00410822">
        <w:t xml:space="preserve"> </w:t>
      </w:r>
      <w:r w:rsidR="0015445D">
        <w:t xml:space="preserve">from </w:t>
      </w:r>
      <w:r w:rsidR="0015445D" w:rsidRPr="00410822">
        <w:t xml:space="preserve">average project development time increases the probability of entry in any year after 2000 by </w:t>
      </w:r>
      <w:r w:rsidR="0015445D">
        <w:t>23.4</w:t>
      </w:r>
      <w:r w:rsidR="0015445D" w:rsidRPr="00410822">
        <w:t xml:space="preserve">%. Thus, faster firms are waiting and entering later when entry is with </w:t>
      </w:r>
      <w:r w:rsidR="0015445D">
        <w:t xml:space="preserve">high-commitment </w:t>
      </w:r>
      <w:r w:rsidR="0015445D" w:rsidRPr="00410822">
        <w:t xml:space="preserve">gasification facilities. </w:t>
      </w:r>
    </w:p>
    <w:p w:rsidR="0015445D" w:rsidRDefault="0015445D" w:rsidP="0015445D">
      <w:pPr>
        <w:spacing w:line="480" w:lineRule="auto"/>
        <w:ind w:firstLine="720"/>
      </w:pPr>
      <w:r w:rsidRPr="00410822">
        <w:lastRenderedPageBreak/>
        <w:t>Columns V and VI show that we do not find the same entry pattern for entry with liquefac</w:t>
      </w:r>
      <w:r>
        <w:t>tion facilities (which have high usage</w:t>
      </w:r>
      <w:r w:rsidR="0082542E">
        <w:t>-</w:t>
      </w:r>
      <w:r>
        <w:t>flexibility)</w:t>
      </w:r>
      <w:r w:rsidRPr="00410822">
        <w:t xml:space="preserve">. In fact, we obtain </w:t>
      </w:r>
      <w:r w:rsidR="002E0285">
        <w:t xml:space="preserve">an insignificant </w:t>
      </w:r>
      <w:r w:rsidRPr="00410822">
        <w:t>relationship between entry with liquefaction facilities and speed capabilities. The estimated coefficients both before and after the end of 2000 are insignificant</w:t>
      </w:r>
      <w:r>
        <w:t xml:space="preserve"> with a negative sign in the second period</w:t>
      </w:r>
      <w:r w:rsidRPr="00410822">
        <w:t xml:space="preserve">. </w:t>
      </w:r>
    </w:p>
    <w:p w:rsidR="0015445D" w:rsidRPr="00410822" w:rsidRDefault="0015445D" w:rsidP="0015445D">
      <w:pPr>
        <w:spacing w:line="480" w:lineRule="auto"/>
        <w:ind w:firstLine="720"/>
      </w:pPr>
      <w:r>
        <w:t>Clearly</w:t>
      </w:r>
      <w:r w:rsidRPr="00410822">
        <w:t xml:space="preserve">, our </w:t>
      </w:r>
      <w:r>
        <w:t xml:space="preserve">empirical results support that </w:t>
      </w:r>
      <w:r w:rsidRPr="00410822">
        <w:t xml:space="preserve">firms with </w:t>
      </w:r>
      <w:r>
        <w:t xml:space="preserve">intrinsic </w:t>
      </w:r>
      <w:r w:rsidRPr="00410822">
        <w:t xml:space="preserve">speed capabilities </w:t>
      </w:r>
      <w:r>
        <w:t xml:space="preserve">wait and </w:t>
      </w:r>
      <w:r w:rsidRPr="00410822">
        <w:t xml:space="preserve">time their </w:t>
      </w:r>
      <w:r>
        <w:t>irreversible us</w:t>
      </w:r>
      <w:r w:rsidR="00F84E6F">
        <w:t>age</w:t>
      </w:r>
      <w:r w:rsidR="0082542E">
        <w:t>-</w:t>
      </w:r>
      <w:r>
        <w:t xml:space="preserve">specific investment </w:t>
      </w:r>
      <w:r w:rsidRPr="00410822">
        <w:t xml:space="preserve">after uncertainty resolution. </w:t>
      </w:r>
    </w:p>
    <w:p w:rsidR="00EA27C5" w:rsidRDefault="0015445D" w:rsidP="0015445D">
      <w:pPr>
        <w:spacing w:line="480" w:lineRule="auto"/>
      </w:pPr>
      <w:r w:rsidRPr="00857F78">
        <w:tab/>
      </w:r>
      <w:r>
        <w:t>T</w:t>
      </w:r>
      <w:r w:rsidRPr="00410822">
        <w:t xml:space="preserve">he results for our controls in Table </w:t>
      </w:r>
      <w:r w:rsidR="00CA163D">
        <w:t>2</w:t>
      </w:r>
      <w:r>
        <w:t xml:space="preserve"> are most </w:t>
      </w:r>
      <w:r w:rsidRPr="00410822">
        <w:t>consistent with the literature in the early, more uncertain regime. Bigger firms with higher market share tended to enter e</w:t>
      </w:r>
      <w:r>
        <w:t>arlier, willing to make the large</w:t>
      </w:r>
      <w:r w:rsidRPr="00410822">
        <w:t xml:space="preserve"> capital outlays to enter the market even when uncertainty was higher. During this period, higher capacity utilization tended to induce entry, </w:t>
      </w:r>
      <w:r>
        <w:t>perhaps reflecting the role of individual firms’ market experience. B</w:t>
      </w:r>
      <w:r w:rsidRPr="00410822">
        <w:t>ut the</w:t>
      </w:r>
      <w:r>
        <w:t xml:space="preserve"> </w:t>
      </w:r>
      <w:r w:rsidRPr="00410822">
        <w:t>result</w:t>
      </w:r>
      <w:r>
        <w:t xml:space="preserve"> is </w:t>
      </w:r>
      <w:r w:rsidRPr="00410822">
        <w:t xml:space="preserve">less noticeable in the later regime when </w:t>
      </w:r>
      <w:r>
        <w:t xml:space="preserve">a positive market wide sentiment on the feasibility of LNG investment has developed. Announced rival entry also provoked higher entry rates for liquefaction facilities in the earlier period, capturing the threat of preemption for firms investing in usage-flexible facilities. </w:t>
      </w:r>
    </w:p>
    <w:p w:rsidR="0015445D" w:rsidRPr="00410822" w:rsidRDefault="0015445D" w:rsidP="0015445D">
      <w:pPr>
        <w:spacing w:line="480" w:lineRule="auto"/>
        <w:rPr>
          <w:b/>
        </w:rPr>
      </w:pPr>
      <w:r w:rsidRPr="00410822">
        <w:rPr>
          <w:b/>
        </w:rPr>
        <w:t>Entry Performance</w:t>
      </w:r>
    </w:p>
    <w:p w:rsidR="0015445D" w:rsidRDefault="0015445D" w:rsidP="0015445D">
      <w:pPr>
        <w:spacing w:line="480" w:lineRule="auto"/>
      </w:pPr>
      <w:r w:rsidRPr="00410822">
        <w:t>Using an event study, we find support for our predictions rega</w:t>
      </w:r>
      <w:r>
        <w:t xml:space="preserve">rding entry performance. Table </w:t>
      </w:r>
      <w:r w:rsidR="00CA163D">
        <w:t>3</w:t>
      </w:r>
      <w:r w:rsidRPr="00410822">
        <w:t xml:space="preserve"> displays these results which include firm and industry fixed effects. </w:t>
      </w:r>
    </w:p>
    <w:p w:rsidR="0015445D" w:rsidRPr="00410822" w:rsidRDefault="0015445D" w:rsidP="0015445D">
      <w:pPr>
        <w:spacing w:line="480" w:lineRule="auto"/>
        <w:jc w:val="center"/>
      </w:pPr>
      <w:r>
        <w:t xml:space="preserve">**Insert Table </w:t>
      </w:r>
      <w:r w:rsidR="00CA163D">
        <w:t>3</w:t>
      </w:r>
      <w:r>
        <w:t xml:space="preserve"> about here**</w:t>
      </w:r>
    </w:p>
    <w:p w:rsidR="0015445D" w:rsidRDefault="0015445D" w:rsidP="0015445D">
      <w:pPr>
        <w:spacing w:line="480" w:lineRule="auto"/>
        <w:ind w:firstLine="720"/>
      </w:pPr>
      <w:r w:rsidRPr="00410822">
        <w:t>Column I investigate</w:t>
      </w:r>
      <w:r>
        <w:t>s</w:t>
      </w:r>
      <w:r w:rsidRPr="00410822">
        <w:t xml:space="preserve"> the role of entry timing in the relationship between investor expectation on entry performance and intrinsic speed capabilities. We expect that the performance enhancement from intrinsic speed capabilities should be higher </w:t>
      </w:r>
      <w:r>
        <w:t>for entry</w:t>
      </w:r>
      <w:r w:rsidRPr="00410822">
        <w:t xml:space="preserve"> after uncertainties are more resolved. To test this prediction, we </w:t>
      </w:r>
      <w:proofErr w:type="gramStart"/>
      <w:r w:rsidRPr="00410822">
        <w:t>regress</w:t>
      </w:r>
      <w:proofErr w:type="gramEnd"/>
      <w:r w:rsidRPr="00410822">
        <w:t xml:space="preserve"> the CAR </w:t>
      </w:r>
      <w:r>
        <w:t xml:space="preserve">for entry </w:t>
      </w:r>
      <w:r w:rsidRPr="00410822">
        <w:t xml:space="preserve">on the </w:t>
      </w:r>
      <w:r w:rsidRPr="00410822">
        <w:lastRenderedPageBreak/>
        <w:t xml:space="preserve">interaction between the </w:t>
      </w:r>
      <w:r w:rsidRPr="00410822">
        <w:rPr>
          <w:i/>
        </w:rPr>
        <w:t>Speed</w:t>
      </w:r>
      <w:r>
        <w:rPr>
          <w:i/>
        </w:rPr>
        <w:t xml:space="preserve"> Capability</w:t>
      </w:r>
      <w:r w:rsidRPr="00410822">
        <w:t xml:space="preserve"> measure and dummies indicating entry with any kind of LNG Atlantic Basin facility during the early pre 2001 regime or late post 2000 regime. </w:t>
      </w:r>
      <w:r>
        <w:t>The coefficients in Column I</w:t>
      </w:r>
      <w:r w:rsidRPr="00410822">
        <w:t xml:space="preserve"> on </w:t>
      </w:r>
      <w:r w:rsidRPr="00410822">
        <w:rPr>
          <w:i/>
        </w:rPr>
        <w:t>Speed</w:t>
      </w:r>
      <w:r>
        <w:rPr>
          <w:i/>
        </w:rPr>
        <w:t xml:space="preserve"> Capability</w:t>
      </w:r>
      <w:r w:rsidRPr="00410822">
        <w:rPr>
          <w:i/>
        </w:rPr>
        <w:t xml:space="preserve"> x </w:t>
      </w:r>
      <w:proofErr w:type="spellStart"/>
      <w:r>
        <w:rPr>
          <w:i/>
        </w:rPr>
        <w:t>LNG|EarlyEntry</w:t>
      </w:r>
      <w:proofErr w:type="spellEnd"/>
      <w:r w:rsidRPr="00410822">
        <w:t xml:space="preserve"> and </w:t>
      </w:r>
      <w:r w:rsidRPr="00410822">
        <w:rPr>
          <w:i/>
        </w:rPr>
        <w:t>Speed</w:t>
      </w:r>
      <w:r>
        <w:rPr>
          <w:i/>
        </w:rPr>
        <w:t xml:space="preserve"> Capability</w:t>
      </w:r>
      <w:r w:rsidRPr="00410822">
        <w:rPr>
          <w:i/>
        </w:rPr>
        <w:t xml:space="preserve"> x </w:t>
      </w:r>
      <w:proofErr w:type="spellStart"/>
      <w:r>
        <w:rPr>
          <w:i/>
        </w:rPr>
        <w:t>LNG|LateEntry</w:t>
      </w:r>
      <w:proofErr w:type="spellEnd"/>
      <w:r w:rsidRPr="00410822">
        <w:t xml:space="preserve"> show </w:t>
      </w:r>
      <w:r>
        <w:t xml:space="preserve">that intrinsic speed does not raise CAR </w:t>
      </w:r>
      <w:r w:rsidRPr="00410822">
        <w:t xml:space="preserve">in the early regime (a positive but insignificant coefficient on </w:t>
      </w:r>
      <w:r w:rsidRPr="00410822">
        <w:rPr>
          <w:i/>
        </w:rPr>
        <w:t>Speed</w:t>
      </w:r>
      <w:r>
        <w:rPr>
          <w:i/>
        </w:rPr>
        <w:t xml:space="preserve"> Capability</w:t>
      </w:r>
      <w:r w:rsidRPr="00410822">
        <w:rPr>
          <w:i/>
        </w:rPr>
        <w:t xml:space="preserve"> x </w:t>
      </w:r>
      <w:proofErr w:type="spellStart"/>
      <w:r>
        <w:rPr>
          <w:i/>
        </w:rPr>
        <w:t>LNG|EarlyEntry</w:t>
      </w:r>
      <w:proofErr w:type="spellEnd"/>
      <w:r w:rsidRPr="00410822">
        <w:t xml:space="preserve">) but </w:t>
      </w:r>
      <w:r>
        <w:t xml:space="preserve">does so very significantly at the 5% level </w:t>
      </w:r>
      <w:r w:rsidRPr="00410822">
        <w:t xml:space="preserve">in the late regime where uncertainties are better resolved. </w:t>
      </w:r>
      <w:r w:rsidR="003466BA">
        <w:t>Again, we suspect that these results are only driven by usage</w:t>
      </w:r>
      <w:r w:rsidR="0082542E">
        <w:t>-</w:t>
      </w:r>
      <w:r w:rsidR="003466BA">
        <w:t xml:space="preserve">specific </w:t>
      </w:r>
      <w:r w:rsidR="00EF7F00">
        <w:t xml:space="preserve">(gasification) </w:t>
      </w:r>
      <w:r w:rsidR="003466BA">
        <w:t xml:space="preserve">entries. </w:t>
      </w:r>
    </w:p>
    <w:p w:rsidR="00EA27C5" w:rsidRDefault="0015445D" w:rsidP="00A86E03">
      <w:pPr>
        <w:spacing w:line="480" w:lineRule="auto"/>
        <w:ind w:firstLine="720"/>
        <w:rPr>
          <w:b/>
        </w:rPr>
      </w:pPr>
      <w:r>
        <w:t>W</w:t>
      </w:r>
      <w:r w:rsidRPr="00410822">
        <w:t xml:space="preserve">e </w:t>
      </w:r>
      <w:r w:rsidR="003466BA">
        <w:t xml:space="preserve">therefore </w:t>
      </w:r>
      <w:r>
        <w:t xml:space="preserve">further </w:t>
      </w:r>
      <w:r w:rsidRPr="00410822">
        <w:t xml:space="preserve">partition entry timing by facility type in the regressions in </w:t>
      </w:r>
      <w:r>
        <w:t>Column II</w:t>
      </w:r>
      <w:r w:rsidRPr="00410822">
        <w:t xml:space="preserve">, where we introduce interaction between our </w:t>
      </w:r>
      <w:r>
        <w:t xml:space="preserve">intrinsic </w:t>
      </w:r>
      <w:r w:rsidRPr="00410822">
        <w:t xml:space="preserve">speed measure with dummies indicating early and late entry with gasification and liquefaction facilities. Thus, the coefficients on </w:t>
      </w:r>
      <w:r w:rsidRPr="00410822">
        <w:rPr>
          <w:i/>
        </w:rPr>
        <w:t>Speed</w:t>
      </w:r>
      <w:r>
        <w:rPr>
          <w:i/>
        </w:rPr>
        <w:t xml:space="preserve"> Capability</w:t>
      </w:r>
      <w:r w:rsidRPr="00410822">
        <w:rPr>
          <w:i/>
        </w:rPr>
        <w:t xml:space="preserve"> x </w:t>
      </w:r>
      <w:proofErr w:type="spellStart"/>
      <w:r>
        <w:rPr>
          <w:i/>
        </w:rPr>
        <w:t>GAS|EarlyEntry</w:t>
      </w:r>
      <w:proofErr w:type="spellEnd"/>
      <w:r w:rsidRPr="00410822">
        <w:t xml:space="preserve"> and </w:t>
      </w:r>
      <w:r w:rsidRPr="00410822">
        <w:rPr>
          <w:i/>
        </w:rPr>
        <w:t>Speed</w:t>
      </w:r>
      <w:r>
        <w:rPr>
          <w:i/>
        </w:rPr>
        <w:t xml:space="preserve"> Capability</w:t>
      </w:r>
      <w:r w:rsidRPr="00410822">
        <w:rPr>
          <w:i/>
        </w:rPr>
        <w:t xml:space="preserve"> x </w:t>
      </w:r>
      <w:proofErr w:type="spellStart"/>
      <w:r>
        <w:rPr>
          <w:i/>
        </w:rPr>
        <w:t>GAS|LateEntry</w:t>
      </w:r>
      <w:proofErr w:type="spellEnd"/>
      <w:r w:rsidRPr="00410822">
        <w:t xml:space="preserve"> represent the effect of intrinsic speed capabilities on estimated subsequent performance for early and late entry with gasification facilities, respectively; similarly, the coefficient on </w:t>
      </w:r>
      <w:r w:rsidRPr="00410822">
        <w:rPr>
          <w:i/>
        </w:rPr>
        <w:t>Speed</w:t>
      </w:r>
      <w:r>
        <w:rPr>
          <w:i/>
        </w:rPr>
        <w:t xml:space="preserve"> Capability</w:t>
      </w:r>
      <w:r w:rsidRPr="00410822">
        <w:rPr>
          <w:i/>
        </w:rPr>
        <w:t xml:space="preserve"> x </w:t>
      </w:r>
      <w:proofErr w:type="spellStart"/>
      <w:r>
        <w:rPr>
          <w:i/>
        </w:rPr>
        <w:t>LIQ|EarlyEntry</w:t>
      </w:r>
      <w:proofErr w:type="spellEnd"/>
      <w:r w:rsidRPr="00410822">
        <w:t xml:space="preserve"> and </w:t>
      </w:r>
      <w:r w:rsidRPr="00410822">
        <w:rPr>
          <w:i/>
        </w:rPr>
        <w:t>Speed</w:t>
      </w:r>
      <w:r>
        <w:rPr>
          <w:i/>
        </w:rPr>
        <w:t xml:space="preserve"> Capability</w:t>
      </w:r>
      <w:r w:rsidRPr="00410822">
        <w:rPr>
          <w:i/>
        </w:rPr>
        <w:t xml:space="preserve"> x </w:t>
      </w:r>
      <w:proofErr w:type="spellStart"/>
      <w:r>
        <w:rPr>
          <w:i/>
        </w:rPr>
        <w:t>LIQ|LateEntry</w:t>
      </w:r>
      <w:proofErr w:type="spellEnd"/>
      <w:r w:rsidRPr="00410822">
        <w:t xml:space="preserve"> represent the effect of intrinsic speed capabilities on estimated subsequent performance for early and late entry with liquefaction facilities, respectively. We find that intrinsic speed capabilities is associated with performance enhancement only with late entry with gasification facilities</w:t>
      </w:r>
      <w:r w:rsidR="00EF7F00">
        <w:t xml:space="preserve"> </w:t>
      </w:r>
      <w:r w:rsidR="0082542E">
        <w:t>(which have high usage-</w:t>
      </w:r>
      <w:r w:rsidR="00EF7F00">
        <w:t>specificity)</w:t>
      </w:r>
      <w:r w:rsidRPr="00410822">
        <w:t xml:space="preserve">: the estimated coefficients for </w:t>
      </w:r>
      <w:r w:rsidRPr="00410822">
        <w:rPr>
          <w:i/>
        </w:rPr>
        <w:t>Speed</w:t>
      </w:r>
      <w:r>
        <w:rPr>
          <w:i/>
        </w:rPr>
        <w:t xml:space="preserve"> Capability</w:t>
      </w:r>
      <w:r w:rsidRPr="00410822">
        <w:rPr>
          <w:i/>
        </w:rPr>
        <w:t xml:space="preserve"> x </w:t>
      </w:r>
      <w:proofErr w:type="spellStart"/>
      <w:r>
        <w:rPr>
          <w:i/>
        </w:rPr>
        <w:t>GAS|EarlyEntry</w:t>
      </w:r>
      <w:proofErr w:type="spellEnd"/>
      <w:r w:rsidRPr="00410822">
        <w:t xml:space="preserve">, </w:t>
      </w:r>
      <w:r w:rsidRPr="00410822">
        <w:rPr>
          <w:i/>
        </w:rPr>
        <w:t>Speed</w:t>
      </w:r>
      <w:r>
        <w:rPr>
          <w:i/>
        </w:rPr>
        <w:t xml:space="preserve"> Capability</w:t>
      </w:r>
      <w:r w:rsidRPr="00410822">
        <w:rPr>
          <w:i/>
        </w:rPr>
        <w:t xml:space="preserve"> x </w:t>
      </w:r>
      <w:proofErr w:type="spellStart"/>
      <w:r>
        <w:rPr>
          <w:i/>
        </w:rPr>
        <w:t>LIQ|EarlyEntry</w:t>
      </w:r>
      <w:proofErr w:type="spellEnd"/>
      <w:r w:rsidRPr="00410822">
        <w:t xml:space="preserve">, and </w:t>
      </w:r>
      <w:r w:rsidRPr="00410822">
        <w:rPr>
          <w:i/>
        </w:rPr>
        <w:t>Speed</w:t>
      </w:r>
      <w:r>
        <w:rPr>
          <w:i/>
        </w:rPr>
        <w:t xml:space="preserve"> Capability</w:t>
      </w:r>
      <w:r w:rsidRPr="00410822">
        <w:rPr>
          <w:i/>
        </w:rPr>
        <w:t xml:space="preserve"> x </w:t>
      </w:r>
      <w:proofErr w:type="spellStart"/>
      <w:r>
        <w:rPr>
          <w:i/>
        </w:rPr>
        <w:t>LIQ|LateEntry</w:t>
      </w:r>
      <w:proofErr w:type="spellEnd"/>
      <w:r w:rsidRPr="00410822">
        <w:t xml:space="preserve"> were insignificant (although positive), whereas the coefficient on </w:t>
      </w:r>
      <w:r w:rsidRPr="00410822">
        <w:rPr>
          <w:i/>
        </w:rPr>
        <w:t>Speed</w:t>
      </w:r>
      <w:r>
        <w:rPr>
          <w:i/>
        </w:rPr>
        <w:t xml:space="preserve"> Capability</w:t>
      </w:r>
      <w:r w:rsidRPr="00410822">
        <w:rPr>
          <w:i/>
        </w:rPr>
        <w:t xml:space="preserve"> x </w:t>
      </w:r>
      <w:proofErr w:type="spellStart"/>
      <w:r>
        <w:rPr>
          <w:i/>
        </w:rPr>
        <w:t>GAS|LateEntry</w:t>
      </w:r>
      <w:proofErr w:type="spellEnd"/>
      <w:r w:rsidRPr="00410822">
        <w:t xml:space="preserve"> is positive</w:t>
      </w:r>
      <w:r>
        <w:t>,</w:t>
      </w:r>
      <w:r w:rsidRPr="00410822">
        <w:t xml:space="preserve"> strongly significant</w:t>
      </w:r>
      <w:r>
        <w:t xml:space="preserve"> and has the greatest magnitude</w:t>
      </w:r>
      <w:r w:rsidRPr="00410822">
        <w:t xml:space="preserve">. The coefficient implies a marginal impact on predicted performance to the extent of $112.6 million for a 2 month faster firm. These results suggest that the performance benefits from speed occur in the settings where investments require high </w:t>
      </w:r>
      <w:r w:rsidRPr="00410822">
        <w:lastRenderedPageBreak/>
        <w:t>commitment levels and when intrinsically faster firms cho</w:t>
      </w:r>
      <w:r>
        <w:t>o</w:t>
      </w:r>
      <w:r w:rsidRPr="00410822">
        <w:t xml:space="preserve">se to enter after uncertainty is better resolved. </w:t>
      </w:r>
    </w:p>
    <w:p w:rsidR="008967F2" w:rsidRDefault="0015445D">
      <w:pPr>
        <w:spacing w:line="480" w:lineRule="auto"/>
      </w:pPr>
      <w:r>
        <w:rPr>
          <w:b/>
        </w:rPr>
        <w:t>Robustness</w:t>
      </w:r>
      <w:r w:rsidR="008967F2">
        <w:rPr>
          <w:b/>
        </w:rPr>
        <w:t xml:space="preserve"> Checks</w:t>
      </w:r>
    </w:p>
    <w:p w:rsidR="008967F2" w:rsidRDefault="008967F2" w:rsidP="008967F2">
      <w:pPr>
        <w:spacing w:line="480" w:lineRule="auto"/>
      </w:pPr>
      <w:r>
        <w:tab/>
        <w:t>We conducted multiple robustness checks. We first examined firm level empirical issues that could have contributed to important missing variable problems</w:t>
      </w:r>
      <w:r w:rsidR="00B26E90">
        <w:t xml:space="preserve"> in our entry timing and entry performance regressions.</w:t>
      </w:r>
      <w:r>
        <w:t xml:space="preserve"> (i) We incorporated institutional </w:t>
      </w:r>
      <w:proofErr w:type="spellStart"/>
      <w:r>
        <w:t>blockholdings</w:t>
      </w:r>
      <w:proofErr w:type="spellEnd"/>
      <w:r>
        <w:t xml:space="preserve"> as a control for potential suboptimal managerial behavior, and we obtained very similar estimates. (ii) Internal firm dynamics and quality matters. </w:t>
      </w:r>
      <w:r w:rsidR="00EA27C5">
        <w:t>G</w:t>
      </w:r>
      <w:r>
        <w:t xml:space="preserve">rowing firms may be late starters and yet invest at a fast speed. Thus, we need to control for firm differences in growth rates to mitigate the possibility that our results are spurious. We included the four year compound annual growth rate of total assets and obtained comparable results in our robustness check regressions. </w:t>
      </w:r>
      <w:r w:rsidR="00EA27C5">
        <w:t>W</w:t>
      </w:r>
      <w:r>
        <w:t xml:space="preserve">e also included measures of firm cash flow (net income before extraordinary items plus depreciation and amortization) and ROA (firm cash flow / total assets) to control for time variant changes in financial performance or firm capabilities that might be omitted from our analysis. With both measures, our results remain robust. (iii) </w:t>
      </w:r>
      <w:r w:rsidRPr="00410822">
        <w:t>We incorporate</w:t>
      </w:r>
      <w:r>
        <w:t>d</w:t>
      </w:r>
      <w:r w:rsidRPr="00410822">
        <w:t xml:space="preserve"> </w:t>
      </w:r>
      <w:r w:rsidRPr="00410822">
        <w:rPr>
          <w:i/>
        </w:rPr>
        <w:t>R&amp;D Intensity</w:t>
      </w:r>
      <w:r w:rsidRPr="00410822">
        <w:t xml:space="preserve"> to control for any influence of technological capabilities on entry timing</w:t>
      </w:r>
      <w:r w:rsidR="002914D2">
        <w:t>, and</w:t>
      </w:r>
      <w:r w:rsidRPr="00410822">
        <w:t xml:space="preserve"> our result</w:t>
      </w:r>
      <w:r>
        <w:t>s continued to support our hypotheses</w:t>
      </w:r>
      <w:r w:rsidRPr="00410822">
        <w:t xml:space="preserve">. </w:t>
      </w:r>
    </w:p>
    <w:p w:rsidR="001327A7" w:rsidRDefault="008967F2" w:rsidP="005C1E89">
      <w:pPr>
        <w:spacing w:line="480" w:lineRule="auto"/>
        <w:ind w:firstLine="720"/>
      </w:pPr>
      <w:r>
        <w:t xml:space="preserve">We then examined nonmarket environmental issues. </w:t>
      </w:r>
      <w:r w:rsidRPr="00CD0187">
        <w:t xml:space="preserve">A large literature has argued that </w:t>
      </w:r>
      <w:r>
        <w:t>several</w:t>
      </w:r>
      <w:r w:rsidRPr="00CD0187">
        <w:t xml:space="preserve"> institutional features can </w:t>
      </w:r>
      <w:r>
        <w:t xml:space="preserve">hinder </w:t>
      </w:r>
      <w:r w:rsidRPr="00CD0187">
        <w:t xml:space="preserve">new venture creation and impair investment (for a review, see </w:t>
      </w:r>
      <w:proofErr w:type="spellStart"/>
      <w:r w:rsidRPr="00CD0187">
        <w:t>Morck</w:t>
      </w:r>
      <w:proofErr w:type="spellEnd"/>
      <w:r w:rsidRPr="00CD0187">
        <w:t xml:space="preserve">, </w:t>
      </w:r>
      <w:proofErr w:type="spellStart"/>
      <w:r w:rsidRPr="00CD0187">
        <w:t>Wolfenzon</w:t>
      </w:r>
      <w:proofErr w:type="spellEnd"/>
      <w:r w:rsidRPr="00CD0187">
        <w:t xml:space="preserve"> and Yeung 2005; </w:t>
      </w:r>
      <w:proofErr w:type="spellStart"/>
      <w:r w:rsidRPr="00CD0187">
        <w:t>Fogel</w:t>
      </w:r>
      <w:proofErr w:type="spellEnd"/>
      <w:r w:rsidRPr="00CD0187">
        <w:t xml:space="preserve">, Hawk, </w:t>
      </w:r>
      <w:proofErr w:type="spellStart"/>
      <w:r w:rsidRPr="00CD0187">
        <w:t>Morck</w:t>
      </w:r>
      <w:proofErr w:type="spellEnd"/>
      <w:r w:rsidRPr="00CD0187">
        <w:t xml:space="preserve"> and Yeung 2006)</w:t>
      </w:r>
      <w:r>
        <w:t>.</w:t>
      </w:r>
      <w:r w:rsidRPr="00CD0187">
        <w:t xml:space="preserve"> These studies suggest that more extractive governments and more bureaucratic environments may make it harder for intrinsically faster firms to gain entry performance advantages with late entry.</w:t>
      </w:r>
      <w:r w:rsidR="005C1E89">
        <w:t xml:space="preserve"> </w:t>
      </w:r>
      <w:r>
        <w:t>Note that we include location dummies in estimating the systematic component of “speed”</w:t>
      </w:r>
      <w:r w:rsidR="002914D2">
        <w:t xml:space="preserve"> (eq. 4), </w:t>
      </w:r>
      <w:r w:rsidR="002914D2">
        <w:lastRenderedPageBreak/>
        <w:t xml:space="preserve">implying that our </w:t>
      </w:r>
      <w:r>
        <w:t xml:space="preserve">intrinsic speed measure by construction is uncorrelated with the location institutional environment. To further check the robustness of our results, we introduce a proxy for </w:t>
      </w:r>
      <w:r w:rsidR="005C1E89" w:rsidRPr="00CD0187">
        <w:t>differences in political risk</w:t>
      </w:r>
      <w:r w:rsidR="005C1E89" w:rsidDel="005C1E89">
        <w:t xml:space="preserve"> </w:t>
      </w:r>
      <w:r w:rsidR="005C1E89">
        <w:t xml:space="preserve">in </w:t>
      </w:r>
      <w:r>
        <w:t>a location’s institution environment</w:t>
      </w:r>
      <w:r w:rsidR="00711AC0">
        <w:t xml:space="preserve"> </w:t>
      </w:r>
      <w:r w:rsidR="005C1E89" w:rsidRPr="00CD0187">
        <w:t xml:space="preserve">since </w:t>
      </w:r>
      <w:r w:rsidR="005C1E89">
        <w:t xml:space="preserve">it </w:t>
      </w:r>
      <w:r w:rsidR="005C1E89" w:rsidRPr="00CD0187">
        <w:t xml:space="preserve">should capture a multitude of institutional factors that </w:t>
      </w:r>
      <w:r w:rsidR="005C1E89">
        <w:t>impact on business decisions and slow down fast firms.</w:t>
      </w:r>
      <w:r>
        <w:t xml:space="preserve"> W</w:t>
      </w:r>
      <w:r w:rsidRPr="00CD0187">
        <w:t xml:space="preserve">e </w:t>
      </w:r>
      <w:r>
        <w:t xml:space="preserve">used the </w:t>
      </w:r>
      <w:r w:rsidRPr="00CD0187">
        <w:t xml:space="preserve">POLCON measure </w:t>
      </w:r>
      <w:r>
        <w:t xml:space="preserve">by </w:t>
      </w:r>
      <w:proofErr w:type="spellStart"/>
      <w:r w:rsidRPr="00CD0187">
        <w:t>Henisz</w:t>
      </w:r>
      <w:proofErr w:type="spellEnd"/>
      <w:r w:rsidRPr="00CD0187">
        <w:t xml:space="preserve"> </w:t>
      </w:r>
      <w:r>
        <w:t>(</w:t>
      </w:r>
      <w:r w:rsidRPr="00CD0187">
        <w:t>2000)</w:t>
      </w:r>
      <w:r>
        <w:t xml:space="preserve">, which </w:t>
      </w:r>
      <w:r w:rsidRPr="00CD0187">
        <w:t>measure</w:t>
      </w:r>
      <w:r>
        <w:t>s</w:t>
      </w:r>
      <w:r w:rsidRPr="00CD0187">
        <w:t xml:space="preserve"> the political constraints for each country: higher values imply more constraints on the government, and thus less political risk. </w:t>
      </w:r>
      <w:r w:rsidR="00711AC0">
        <w:t xml:space="preserve">While including POLCON as an additional control, our event study results did not change substantially. </w:t>
      </w:r>
    </w:p>
    <w:p w:rsidR="00C4034A" w:rsidRDefault="008967F2" w:rsidP="00C4034A">
      <w:pPr>
        <w:spacing w:line="480" w:lineRule="auto"/>
        <w:ind w:firstLine="720"/>
      </w:pPr>
      <w:r>
        <w:t>Next, we focused on statistical issues</w:t>
      </w:r>
      <w:r w:rsidR="00B26E90">
        <w:t xml:space="preserve"> in our regressions</w:t>
      </w:r>
      <w:r>
        <w:t xml:space="preserve">. We first identified outliers </w:t>
      </w:r>
      <w:r w:rsidR="00B26E90">
        <w:t xml:space="preserve">in our entry timing analysis </w:t>
      </w:r>
      <w:r>
        <w:t xml:space="preserve">using an index plot of standardized residuals and obtained similar results with a sample excluding these outliers. We </w:t>
      </w:r>
      <w:r w:rsidR="00B26E90">
        <w:t xml:space="preserve">also </w:t>
      </w:r>
      <w:r>
        <w:t xml:space="preserve">included year effects to avoid the </w:t>
      </w:r>
      <w:proofErr w:type="spellStart"/>
      <w:r>
        <w:t>collinearity</w:t>
      </w:r>
      <w:proofErr w:type="spellEnd"/>
      <w:r>
        <w:t xml:space="preserve"> issues with the </w:t>
      </w:r>
      <w:r w:rsidRPr="00410822">
        <w:t>investment lumpiness and capacity utilization</w:t>
      </w:r>
      <w:r>
        <w:t xml:space="preserve"> variables, and we obtained </w:t>
      </w:r>
      <w:proofErr w:type="spellStart"/>
      <w:r w:rsidR="00B26E90">
        <w:t>logit</w:t>
      </w:r>
      <w:proofErr w:type="spellEnd"/>
      <w:r w:rsidR="00B26E90">
        <w:t xml:space="preserve"> </w:t>
      </w:r>
      <w:r>
        <w:t>estimates of similar magnitude and significance as our main results.</w:t>
      </w:r>
      <w:r>
        <w:rPr>
          <w:rStyle w:val="FootnoteReference"/>
        </w:rPr>
        <w:footnoteReference w:id="11"/>
      </w:r>
      <w:r>
        <w:t xml:space="preserve"> </w:t>
      </w:r>
      <w:r w:rsidR="00B26E90">
        <w:t>Similar checks regarding outliers and year effects reveal that our performance regression results in Table 3 remain intact</w:t>
      </w:r>
      <w:r w:rsidR="00C4034A">
        <w:t xml:space="preserve">. </w:t>
      </w:r>
    </w:p>
    <w:p w:rsidR="008967F2" w:rsidRDefault="008967F2" w:rsidP="008967F2">
      <w:pPr>
        <w:spacing w:line="480" w:lineRule="auto"/>
        <w:ind w:firstLine="720"/>
      </w:pPr>
      <w:r>
        <w:t>We also tried different regime cutoff dates. We</w:t>
      </w:r>
      <w:r w:rsidR="005C1E89">
        <w:t xml:space="preserve"> </w:t>
      </w:r>
      <w:r>
        <w:t xml:space="preserve">used the end of 2000 as </w:t>
      </w:r>
      <w:r w:rsidRPr="00410822">
        <w:t xml:space="preserve">the regime division </w:t>
      </w:r>
      <w:r>
        <w:t>based on industry reports (</w:t>
      </w:r>
      <w:r w:rsidRPr="00887FC0">
        <w:t>Weems and Rogers, 2007</w:t>
      </w:r>
      <w:r>
        <w:t>). For robustness check</w:t>
      </w:r>
      <w:r w:rsidR="00204D75">
        <w:t>s</w:t>
      </w:r>
      <w:r>
        <w:t xml:space="preserve">, we used the years 1999 and 2001 as alternative cutoff dates between regimes since </w:t>
      </w:r>
      <w:r w:rsidRPr="00410822">
        <w:t>practitioners’ perceived timing for regime change may be less clear-cut.</w:t>
      </w:r>
      <w:r>
        <w:t xml:space="preserve"> Using 1999</w:t>
      </w:r>
      <w:r w:rsidRPr="00410822">
        <w:t>, our results for entry timing and entry performance stay</w:t>
      </w:r>
      <w:r>
        <w:t>ed</w:t>
      </w:r>
      <w:r w:rsidRPr="00410822">
        <w:t xml:space="preserve"> consistent with our broad results. </w:t>
      </w:r>
      <w:r>
        <w:t>Using 2001</w:t>
      </w:r>
      <w:r w:rsidRPr="00410822">
        <w:t>, our results for entry timing d</w:t>
      </w:r>
      <w:r>
        <w:t>id</w:t>
      </w:r>
      <w:r w:rsidRPr="00410822">
        <w:t xml:space="preserve"> not continue to be robust while our results for entry performance stay consistent albeit at lower significance levels. We believe this result may be due to intrinsically faster firms entering right after uncertainty reduction after the winter of 2000.</w:t>
      </w:r>
      <w:r>
        <w:t xml:space="preserve"> </w:t>
      </w:r>
    </w:p>
    <w:p w:rsidR="008967F2" w:rsidRDefault="008967F2" w:rsidP="008967F2">
      <w:pPr>
        <w:spacing w:line="480" w:lineRule="auto"/>
        <w:ind w:firstLine="720"/>
      </w:pPr>
      <w:r w:rsidRPr="00637130">
        <w:lastRenderedPageBreak/>
        <w:t>An additional issue related to our choice of regime designation is the possibility of firm differences in LNG market outlook. Our designation is based on market wide consensus.  However, individual firm differences in outlook on the LNG industry can affect their en</w:t>
      </w:r>
      <w:r>
        <w:t xml:space="preserve">try decisions. </w:t>
      </w:r>
      <w:r w:rsidR="0073009B">
        <w:t>T</w:t>
      </w:r>
      <w:r w:rsidRPr="00637130">
        <w:t>his factor should make it less likely for us to find that firms with higher intrinsic speed capabilities are more likely to enter after a market consensus on the viability of the LNG</w:t>
      </w:r>
      <w:r>
        <w:t xml:space="preserve"> market has emerged. </w:t>
      </w:r>
      <w:r w:rsidRPr="00637130">
        <w:t xml:space="preserve">In addition, our controls in the entry regressions like oil and gas production </w:t>
      </w:r>
      <w:r>
        <w:t xml:space="preserve">and capacity utilization </w:t>
      </w:r>
      <w:r w:rsidRPr="00637130">
        <w:t>should be related to individual firms’ market expectations. Finally, one concern is that a firm with more positive outlook for LNG demand</w:t>
      </w:r>
      <w:r w:rsidR="00D65D31">
        <w:t>s</w:t>
      </w:r>
      <w:r w:rsidRPr="00637130">
        <w:t xml:space="preserve"> may hasten its speed i</w:t>
      </w:r>
      <w:r>
        <w:t xml:space="preserve">n constructing LNG facilities. </w:t>
      </w:r>
      <w:r w:rsidRPr="00637130">
        <w:t>If the outlook affects a firm’s entry decision, w</w:t>
      </w:r>
      <w:r>
        <w:t xml:space="preserve">e have an </w:t>
      </w:r>
      <w:proofErr w:type="spellStart"/>
      <w:r>
        <w:t>endogeneity</w:t>
      </w:r>
      <w:proofErr w:type="spellEnd"/>
      <w:r>
        <w:t xml:space="preserve"> problem. </w:t>
      </w:r>
      <w:r w:rsidRPr="00637130">
        <w:t xml:space="preserve">We use an instrumental variable precisely for the purpose of avoiding such </w:t>
      </w:r>
      <w:proofErr w:type="spellStart"/>
      <w:r w:rsidRPr="00637130">
        <w:t>endogeneity</w:t>
      </w:r>
      <w:proofErr w:type="spellEnd"/>
      <w:r w:rsidRPr="00637130">
        <w:t xml:space="preserve"> – our proxy for intrinsic speed is based on the deviations of observed project development speed from systematic components in the construction of facilities separate from the liquefied natural gas sub-industry.</w:t>
      </w:r>
    </w:p>
    <w:p w:rsidR="008967F2" w:rsidRDefault="008967F2" w:rsidP="008967F2">
      <w:pPr>
        <w:spacing w:line="480" w:lineRule="auto"/>
        <w:ind w:firstLine="720"/>
      </w:pPr>
      <w:r>
        <w:t>We also conduct robustness checks regarding the end date of our sample. To account for the possibility that the last years in our sample may be less relevant for entry timing, we reran our results while omitting a later portion of the post-2000 regime data. While omitting years progressively (stopping at 2005, then 2004, then 2003), we obtained results consistent with our main results.</w:t>
      </w:r>
      <w:r>
        <w:rPr>
          <w:rStyle w:val="FootnoteReference"/>
        </w:rPr>
        <w:footnoteReference w:id="12"/>
      </w:r>
    </w:p>
    <w:p w:rsidR="0073009B" w:rsidRDefault="008967F2" w:rsidP="00A86E03">
      <w:pPr>
        <w:spacing w:line="480" w:lineRule="auto"/>
        <w:ind w:firstLine="720"/>
      </w:pPr>
      <w:r>
        <w:t xml:space="preserve">We checked whether our results are affected by alternative econometric specifications. We reran the entry decision regressions using </w:t>
      </w:r>
      <w:proofErr w:type="gramStart"/>
      <w:r>
        <w:t>a random effects</w:t>
      </w:r>
      <w:proofErr w:type="gramEnd"/>
      <w:r>
        <w:t xml:space="preserve"> </w:t>
      </w:r>
      <w:proofErr w:type="spellStart"/>
      <w:r>
        <w:t>probit</w:t>
      </w:r>
      <w:proofErr w:type="spellEnd"/>
      <w:r>
        <w:t xml:space="preserve"> rather than </w:t>
      </w:r>
      <w:proofErr w:type="spellStart"/>
      <w:r>
        <w:t>logit</w:t>
      </w:r>
      <w:proofErr w:type="spellEnd"/>
      <w:r>
        <w:t xml:space="preserve"> with clustered standard errors. O</w:t>
      </w:r>
      <w:r w:rsidRPr="00410822">
        <w:t xml:space="preserve">ur results using </w:t>
      </w:r>
      <w:proofErr w:type="spellStart"/>
      <w:r>
        <w:rPr>
          <w:i/>
        </w:rPr>
        <w:t>GAS|Entry</w:t>
      </w:r>
      <w:proofErr w:type="spellEnd"/>
      <w:r w:rsidRPr="00410822">
        <w:t xml:space="preserve"> stay</w:t>
      </w:r>
      <w:r>
        <w:t>ed</w:t>
      </w:r>
      <w:r w:rsidRPr="00410822">
        <w:t xml:space="preserve"> robust</w:t>
      </w:r>
      <w:r w:rsidR="0073009B">
        <w:t xml:space="preserve"> while the less refined results </w:t>
      </w:r>
      <w:r w:rsidR="0073009B">
        <w:lastRenderedPageBreak/>
        <w:t xml:space="preserve">using </w:t>
      </w:r>
      <w:proofErr w:type="spellStart"/>
      <w:r>
        <w:rPr>
          <w:i/>
        </w:rPr>
        <w:t>LNG|Entry</w:t>
      </w:r>
      <w:proofErr w:type="spellEnd"/>
      <w:r w:rsidR="0073009B">
        <w:rPr>
          <w:i/>
        </w:rPr>
        <w:t xml:space="preserve"> </w:t>
      </w:r>
      <w:r w:rsidR="0073009B" w:rsidRPr="002C3C05">
        <w:t>lost significance.  Th</w:t>
      </w:r>
      <w:r w:rsidR="004A0A24">
        <w:t>is</w:t>
      </w:r>
      <w:r w:rsidR="0073009B" w:rsidRPr="002C3C05">
        <w:t xml:space="preserve"> </w:t>
      </w:r>
      <w:r w:rsidR="004A0A24">
        <w:t xml:space="preserve">robustness </w:t>
      </w:r>
      <w:proofErr w:type="gramStart"/>
      <w:r w:rsidR="004A0A24">
        <w:t xml:space="preserve">check </w:t>
      </w:r>
      <w:r w:rsidR="0073009B">
        <w:t xml:space="preserve"> </w:t>
      </w:r>
      <w:r w:rsidR="0073009B" w:rsidRPr="00410822">
        <w:t>reinforc</w:t>
      </w:r>
      <w:r w:rsidR="0073009B">
        <w:t>es</w:t>
      </w:r>
      <w:proofErr w:type="gramEnd"/>
      <w:r w:rsidR="0073009B">
        <w:t xml:space="preserve"> </w:t>
      </w:r>
      <w:r w:rsidRPr="00410822">
        <w:t>the importance of high levels of commitment for our predictions.</w:t>
      </w:r>
      <w:r>
        <w:t xml:space="preserve"> Additionally, we reran our entry decision regressions where we measure entry as a count of entry investments per firm for each year. Using a negative binomial specification with either standard </w:t>
      </w:r>
      <w:proofErr w:type="gramStart"/>
      <w:r>
        <w:t>errors</w:t>
      </w:r>
      <w:proofErr w:type="gramEnd"/>
      <w:r>
        <w:t xml:space="preserve"> robust to clustering by firm or firm fixed effects, we obtained results similar to our main results. </w:t>
      </w:r>
    </w:p>
    <w:p w:rsidR="00EA27C5" w:rsidRDefault="008967F2" w:rsidP="00A86E03">
      <w:pPr>
        <w:spacing w:line="480" w:lineRule="auto"/>
        <w:ind w:firstLine="720"/>
        <w:rPr>
          <w:b/>
        </w:rPr>
      </w:pPr>
      <w:r w:rsidRPr="00410822">
        <w:t xml:space="preserve">As further robustness checks regarding our specification for the event study, </w:t>
      </w:r>
      <w:r>
        <w:t xml:space="preserve">we considered running OLS with random effects but eliminated the possibility with a </w:t>
      </w:r>
      <w:proofErr w:type="spellStart"/>
      <w:r>
        <w:t>Hausman</w:t>
      </w:r>
      <w:proofErr w:type="spellEnd"/>
      <w:r>
        <w:t xml:space="preserve"> statistic </w:t>
      </w:r>
      <w:r w:rsidRPr="00410822">
        <w:t>(</w:t>
      </w:r>
      <m:oMath>
        <m:sSup>
          <m:sSupPr>
            <m:ctrlPr>
              <w:rPr>
                <w:rFonts w:ascii="Cambria Math" w:hAnsi="Cambria Math"/>
                <w:i/>
              </w:rPr>
            </m:ctrlPr>
          </m:sSupPr>
          <m:e>
            <m:r>
              <w:rPr>
                <w:rFonts w:ascii="Cambria Math" w:hAnsi="Cambria Math"/>
              </w:rPr>
              <m:t>χ</m:t>
            </m:r>
          </m:e>
          <m:sup>
            <m:r>
              <w:rPr>
                <w:rFonts w:ascii="Cambria Math" w:hAnsi="Cambria Math"/>
              </w:rPr>
              <m:t>2</m:t>
            </m:r>
          </m:sup>
        </m:sSup>
        <m:r>
          <w:rPr>
            <w:rFonts w:ascii="Cambria Math" w:hAnsi="Cambria Math"/>
          </w:rPr>
          <m:t xml:space="preserve">= </m:t>
        </m:r>
      </m:oMath>
      <w:r w:rsidRPr="00410822">
        <w:t>5.40, p = 0.020)</w:t>
      </w:r>
      <w:r>
        <w:t>. W</w:t>
      </w:r>
      <w:r w:rsidRPr="00410822">
        <w:t xml:space="preserve">e </w:t>
      </w:r>
      <w:r>
        <w:t>did reru</w:t>
      </w:r>
      <w:r w:rsidRPr="00410822">
        <w:t xml:space="preserve">n </w:t>
      </w:r>
      <w:r>
        <w:t>the event study</w:t>
      </w:r>
      <w:r w:rsidRPr="00410822">
        <w:t xml:space="preserve"> after keeping only firms with more than two (then three) observations to see if the inclusion of firms with limited temporal variation might affect our results. Our results stay</w:t>
      </w:r>
      <w:r>
        <w:t>ed</w:t>
      </w:r>
      <w:r w:rsidRPr="00410822">
        <w:t xml:space="preserve"> robust across these alternative samples. We also reran our results using various iterations of 1, 2, and 5 day events windows, but we did not find the same level of significance as with the 3 day window. We suspect this result may be due to the international nature of the news sources used in our announcement data as well as afterhours announcements.</w:t>
      </w:r>
      <w:r>
        <w:t xml:space="preserve"> </w:t>
      </w:r>
    </w:p>
    <w:p w:rsidR="0015445D" w:rsidRDefault="0015445D" w:rsidP="0015445D">
      <w:pPr>
        <w:spacing w:line="480" w:lineRule="auto"/>
        <w:rPr>
          <w:b/>
        </w:rPr>
      </w:pPr>
      <w:r w:rsidRPr="00410822">
        <w:rPr>
          <w:b/>
        </w:rPr>
        <w:t>DISCUSSION AND CONCLUSIONS</w:t>
      </w:r>
    </w:p>
    <w:p w:rsidR="0015445D" w:rsidRPr="00410822" w:rsidRDefault="00775E32" w:rsidP="0015445D">
      <w:pPr>
        <w:spacing w:line="480" w:lineRule="auto"/>
      </w:pPr>
      <w:r>
        <w:t xml:space="preserve">We advance the idea that a </w:t>
      </w:r>
      <w:r w:rsidR="0015445D" w:rsidRPr="00410822">
        <w:t>firm</w:t>
      </w:r>
      <w:r>
        <w:t>’s</w:t>
      </w:r>
      <w:r w:rsidR="0015445D" w:rsidRPr="00410822">
        <w:t xml:space="preserve"> </w:t>
      </w:r>
      <w:r w:rsidR="00EA27C5">
        <w:t xml:space="preserve">intrinsic </w:t>
      </w:r>
      <w:r w:rsidR="0015445D" w:rsidRPr="00410822">
        <w:t xml:space="preserve">speed capabilities </w:t>
      </w:r>
      <w:r>
        <w:t xml:space="preserve">affect its entry timing </w:t>
      </w:r>
      <w:r w:rsidR="0015445D" w:rsidRPr="00410822">
        <w:t xml:space="preserve">decision </w:t>
      </w:r>
      <w:r>
        <w:t xml:space="preserve">in grabbing a </w:t>
      </w:r>
      <w:r w:rsidR="0015445D" w:rsidRPr="00410822">
        <w:t>new market opportunity</w:t>
      </w:r>
      <w:r w:rsidR="0015445D">
        <w:t xml:space="preserve"> and </w:t>
      </w:r>
      <w:r>
        <w:t xml:space="preserve">its </w:t>
      </w:r>
      <w:r w:rsidR="0015445D">
        <w:t>subsequent financial performance</w:t>
      </w:r>
      <w:r w:rsidR="0015445D" w:rsidRPr="00410822">
        <w:t xml:space="preserve">. </w:t>
      </w:r>
      <w:r>
        <w:t xml:space="preserve">Speed capabilities refer to </w:t>
      </w:r>
      <w:r w:rsidR="00E84E04">
        <w:t xml:space="preserve">the </w:t>
      </w:r>
      <w:r>
        <w:t>i</w:t>
      </w:r>
      <w:r w:rsidR="0015445D" w:rsidRPr="00410822">
        <w:t>ntrinsic</w:t>
      </w:r>
      <w:r w:rsidR="001D4D67">
        <w:t xml:space="preserve"> ability to </w:t>
      </w:r>
      <w:r>
        <w:t>implement</w:t>
      </w:r>
      <w:r w:rsidR="001D4D67">
        <w:t xml:space="preserve"> an </w:t>
      </w:r>
      <w:r w:rsidR="0015445D">
        <w:t>investment</w:t>
      </w:r>
      <w:r>
        <w:t xml:space="preserve"> project</w:t>
      </w:r>
      <w:r w:rsidR="001D4D67">
        <w:t xml:space="preserve"> </w:t>
      </w:r>
      <w:r>
        <w:t xml:space="preserve">fast. </w:t>
      </w:r>
      <w:r w:rsidR="00856C53">
        <w:t>Compared to slow firms, s</w:t>
      </w:r>
      <w:r>
        <w:t>peedy firms</w:t>
      </w:r>
      <w:r w:rsidR="00856C53">
        <w:t xml:space="preserve"> </w:t>
      </w:r>
      <w:r w:rsidR="0015445D" w:rsidRPr="00410822">
        <w:t xml:space="preserve">can </w:t>
      </w:r>
      <w:r w:rsidR="001D4D67">
        <w:t xml:space="preserve">afford to </w:t>
      </w:r>
      <w:r w:rsidR="00856C53">
        <w:t xml:space="preserve">delay entry to </w:t>
      </w:r>
      <w:r w:rsidR="0015445D" w:rsidRPr="00410822">
        <w:t>wait for info</w:t>
      </w:r>
      <w:r w:rsidR="0015445D">
        <w:t xml:space="preserve">rmation revelation when entry </w:t>
      </w:r>
      <w:r>
        <w:t xml:space="preserve">investment </w:t>
      </w:r>
      <w:r w:rsidR="0015445D">
        <w:t>is irreversible</w:t>
      </w:r>
      <w:r w:rsidR="00C16039">
        <w:t>, or</w:t>
      </w:r>
      <w:r>
        <w:t xml:space="preserve"> usage-specific</w:t>
      </w:r>
      <w:r w:rsidR="0015445D">
        <w:t xml:space="preserve">. </w:t>
      </w:r>
      <w:r>
        <w:t xml:space="preserve">The </w:t>
      </w:r>
      <w:r w:rsidR="00856C53">
        <w:t xml:space="preserve">strategic flexibility </w:t>
      </w:r>
      <w:r w:rsidR="0083749A">
        <w:t xml:space="preserve">associated with waiting to invest </w:t>
      </w:r>
      <w:r>
        <w:t xml:space="preserve">gives speedy firms stronger entry performance. </w:t>
      </w:r>
      <w:r w:rsidR="0015445D" w:rsidRPr="00410822">
        <w:t xml:space="preserve">Using firm level entry data from the Atlantic Basin LNG (Liquefied Natural Gas) market, we find </w:t>
      </w:r>
      <w:r w:rsidR="0015445D">
        <w:t>support</w:t>
      </w:r>
      <w:r w:rsidR="0015445D" w:rsidRPr="00410822">
        <w:t xml:space="preserve"> for these </w:t>
      </w:r>
      <w:r w:rsidR="001D4D67">
        <w:t>ideas</w:t>
      </w:r>
      <w:r>
        <w:t xml:space="preserve">. </w:t>
      </w:r>
      <w:r w:rsidR="0015445D" w:rsidRPr="00410822">
        <w:t xml:space="preserve">These results </w:t>
      </w:r>
      <w:r w:rsidRPr="00410822">
        <w:t xml:space="preserve">were supported while controlling for firm size, levels of diversification, related experience, industry </w:t>
      </w:r>
      <w:r w:rsidRPr="00410822">
        <w:lastRenderedPageBreak/>
        <w:t xml:space="preserve">specialized complementary assets, market share, market demand, capacity utilization, investment lumpiness, </w:t>
      </w:r>
      <w:r>
        <w:t xml:space="preserve">and </w:t>
      </w:r>
      <w:r w:rsidRPr="00410822">
        <w:t>rival entry</w:t>
      </w:r>
      <w:r w:rsidR="0015445D" w:rsidRPr="00410822">
        <w:t>.</w:t>
      </w:r>
      <w:r>
        <w:t xml:space="preserve"> They also withstand extensive robustness checks. </w:t>
      </w:r>
      <w:r w:rsidR="0015445D" w:rsidRPr="00410822">
        <w:t xml:space="preserve"> </w:t>
      </w:r>
    </w:p>
    <w:p w:rsidR="0015445D" w:rsidRPr="00410822" w:rsidRDefault="0015445D" w:rsidP="005E6226">
      <w:pPr>
        <w:spacing w:line="480" w:lineRule="auto"/>
        <w:ind w:firstLine="720"/>
      </w:pPr>
      <w:r w:rsidRPr="00410822">
        <w:t>This paper has several implications for both management scholars and practitioners.</w:t>
      </w:r>
      <w:r>
        <w:t xml:space="preserve"> First,</w:t>
      </w:r>
      <w:r w:rsidRPr="00410822">
        <w:t xml:space="preserve"> </w:t>
      </w:r>
      <w:r>
        <w:t>i</w:t>
      </w:r>
      <w:r w:rsidRPr="00410822">
        <w:t>t makes contributions to strategy research focused on firm capabilities</w:t>
      </w:r>
      <w:r w:rsidR="00856C53">
        <w:t xml:space="preserve"> and entry timing</w:t>
      </w:r>
      <w:r>
        <w:t>.</w:t>
      </w:r>
      <w:r w:rsidRPr="00410822">
        <w:t xml:space="preserve"> Our results show </w:t>
      </w:r>
      <w:r w:rsidR="00856C53">
        <w:t xml:space="preserve">that </w:t>
      </w:r>
      <w:r w:rsidRPr="00410822">
        <w:t>intrinsic spee</w:t>
      </w:r>
      <w:r>
        <w:t>d capabilit</w:t>
      </w:r>
      <w:r w:rsidR="008F4248">
        <w:t>y</w:t>
      </w:r>
      <w:r>
        <w:t xml:space="preserve"> </w:t>
      </w:r>
      <w:r w:rsidR="00856C53">
        <w:t xml:space="preserve">is </w:t>
      </w:r>
      <w:r w:rsidRPr="00410822">
        <w:t>a source of competitive advantage in market entry decisions</w:t>
      </w:r>
      <w:r w:rsidR="008F4248">
        <w:t xml:space="preserve"> when usage</w:t>
      </w:r>
      <w:r w:rsidR="00F21FDC">
        <w:t>-</w:t>
      </w:r>
      <w:r w:rsidR="008F4248">
        <w:t>specific investment is involved</w:t>
      </w:r>
      <w:r w:rsidR="00F8561F">
        <w:t xml:space="preserve"> as</w:t>
      </w:r>
      <w:r w:rsidR="008F4248">
        <w:t xml:space="preserve"> speedy firms can wait for information revelation. O</w:t>
      </w:r>
      <w:r>
        <w:t>ur results</w:t>
      </w:r>
      <w:r w:rsidR="005F2895">
        <w:t xml:space="preserve"> confirm </w:t>
      </w:r>
      <w:r w:rsidR="008F4248">
        <w:t xml:space="preserve">that entry </w:t>
      </w:r>
      <w:r w:rsidR="001D4D67">
        <w:t xml:space="preserve">timing </w:t>
      </w:r>
      <w:r w:rsidR="008F4248">
        <w:t>is endogenous</w:t>
      </w:r>
      <w:r w:rsidR="005F2895">
        <w:t xml:space="preserve"> and depend on firms’ capabilities – and that these capabilities influence the link between entry timing and firm performance. </w:t>
      </w:r>
      <w:r w:rsidR="00134736">
        <w:t xml:space="preserve">Our results also clarify that the advantage of </w:t>
      </w:r>
      <w:r w:rsidRPr="00410822">
        <w:t xml:space="preserve">a “fast follower” or “fast second” strategy (Baldwin and Childs 1969, </w:t>
      </w:r>
      <w:proofErr w:type="spellStart"/>
      <w:r w:rsidRPr="00410822">
        <w:t>Markides</w:t>
      </w:r>
      <w:proofErr w:type="spellEnd"/>
      <w:r w:rsidRPr="00410822">
        <w:t xml:space="preserve"> and </w:t>
      </w:r>
      <w:proofErr w:type="spellStart"/>
      <w:r w:rsidRPr="00410822">
        <w:t>Geroski</w:t>
      </w:r>
      <w:proofErr w:type="spellEnd"/>
      <w:r w:rsidRPr="00410822">
        <w:t xml:space="preserve"> 2005)</w:t>
      </w:r>
      <w:r w:rsidR="00134736">
        <w:t xml:space="preserve"> stems from a firm’s intrinsic speed capabilities</w:t>
      </w:r>
      <w:r w:rsidRPr="00410822">
        <w:t xml:space="preserve">. </w:t>
      </w:r>
      <w:r w:rsidR="00F12AD3" w:rsidRPr="00410822">
        <w:t xml:space="preserve">In our specific case, firms with intrinsic speed capabilities facing </w:t>
      </w:r>
      <w:r w:rsidR="00F12AD3">
        <w:t xml:space="preserve">usage-specific </w:t>
      </w:r>
      <w:r w:rsidR="00F12AD3" w:rsidRPr="00410822">
        <w:t>investment can invest after more market information is revealed and thus can make more appropriate investment decisions; their speed capa</w:t>
      </w:r>
      <w:r w:rsidR="00F12AD3">
        <w:t>bilities allow them to not</w:t>
      </w:r>
      <w:r w:rsidR="00F12AD3" w:rsidRPr="00410822">
        <w:t xml:space="preserve"> fall behind even if they enter late. </w:t>
      </w:r>
    </w:p>
    <w:p w:rsidR="005E6226" w:rsidRDefault="0015445D" w:rsidP="0015445D">
      <w:pPr>
        <w:spacing w:line="480" w:lineRule="auto"/>
        <w:ind w:firstLine="720"/>
      </w:pPr>
      <w:r>
        <w:t>Finally</w:t>
      </w:r>
      <w:r w:rsidRPr="00410822">
        <w:t xml:space="preserve">, </w:t>
      </w:r>
      <w:r>
        <w:t xml:space="preserve">from a managerial perspective, </w:t>
      </w:r>
      <w:r w:rsidRPr="00410822">
        <w:t xml:space="preserve">our results illustrate the value of developing firm </w:t>
      </w:r>
      <w:r w:rsidR="00134736">
        <w:t xml:space="preserve">intrinsic </w:t>
      </w:r>
      <w:r w:rsidRPr="00410822">
        <w:t xml:space="preserve">speed capabilities in investment project management. </w:t>
      </w:r>
      <w:r w:rsidR="00F21FDC">
        <w:t xml:space="preserve">We should note that </w:t>
      </w:r>
      <w:r w:rsidR="00B44CDA">
        <w:t xml:space="preserve">this </w:t>
      </w:r>
      <w:r w:rsidR="00F21FDC">
        <w:t xml:space="preserve">capability is not the same as just completing an investment project fast, but pertains to the ability of completing investment projects faster than average at the same cost. </w:t>
      </w:r>
      <w:r w:rsidR="00CD7831">
        <w:t xml:space="preserve">Our results suggest that firms with above average managerial talents at coordinating and deploying physical </w:t>
      </w:r>
      <w:r w:rsidR="00A13A5D">
        <w:t>and human resources have</w:t>
      </w:r>
      <w:r w:rsidR="00CD7831">
        <w:t xml:space="preserve"> a distinct advantage</w:t>
      </w:r>
      <w:r w:rsidR="0078554E">
        <w:t xml:space="preserve"> in market entry timing</w:t>
      </w:r>
      <w:r w:rsidR="00CD7831">
        <w:t xml:space="preserve">. </w:t>
      </w:r>
      <w:r w:rsidRPr="00410822">
        <w:t xml:space="preserve">With </w:t>
      </w:r>
      <w:r w:rsidR="00134736">
        <w:t xml:space="preserve">intrinsic </w:t>
      </w:r>
      <w:r w:rsidRPr="00410822">
        <w:t xml:space="preserve">speed capabilities, managers have more flexibility in entry decisions and can afford to </w:t>
      </w:r>
      <w:r w:rsidR="00134736">
        <w:t xml:space="preserve">wait for market information before </w:t>
      </w:r>
      <w:r w:rsidR="0078554E">
        <w:t xml:space="preserve">making high commitment investments in uncertain new markets. </w:t>
      </w:r>
    </w:p>
    <w:p w:rsidR="00FC0E64" w:rsidRDefault="00FC0E64">
      <w:pPr>
        <w:spacing w:line="480" w:lineRule="auto"/>
        <w:ind w:firstLine="720"/>
      </w:pPr>
    </w:p>
    <w:p w:rsidR="00C4499D" w:rsidRDefault="00C4499D">
      <w:pPr>
        <w:spacing w:after="200" w:line="276" w:lineRule="auto"/>
        <w:rPr>
          <w:b/>
        </w:rPr>
      </w:pPr>
      <w:r>
        <w:rPr>
          <w:b/>
        </w:rPr>
        <w:br w:type="page"/>
      </w:r>
    </w:p>
    <w:p w:rsidR="0015445D" w:rsidRPr="00410822" w:rsidRDefault="0015445D" w:rsidP="0015445D">
      <w:pPr>
        <w:spacing w:line="480" w:lineRule="auto"/>
        <w:rPr>
          <w:b/>
        </w:rPr>
      </w:pPr>
      <w:r w:rsidRPr="00410822">
        <w:rPr>
          <w:b/>
        </w:rPr>
        <w:lastRenderedPageBreak/>
        <w:t>References</w:t>
      </w:r>
    </w:p>
    <w:p w:rsidR="0015445D" w:rsidRPr="00410822" w:rsidRDefault="0015445D" w:rsidP="0015445D">
      <w:pPr>
        <w:ind w:left="720" w:hanging="720"/>
        <w:jc w:val="both"/>
      </w:pPr>
      <w:r>
        <w:t>Agarwal R,</w:t>
      </w:r>
      <w:r w:rsidRPr="00410822">
        <w:t xml:space="preserve"> </w:t>
      </w:r>
      <w:proofErr w:type="spellStart"/>
      <w:r w:rsidRPr="00410822">
        <w:t>Gort</w:t>
      </w:r>
      <w:proofErr w:type="spellEnd"/>
      <w:r>
        <w:t xml:space="preserve"> M</w:t>
      </w:r>
      <w:r w:rsidRPr="00410822">
        <w:t xml:space="preserve">. 1996. </w:t>
      </w:r>
      <w:proofErr w:type="gramStart"/>
      <w:r w:rsidRPr="00410822">
        <w:t xml:space="preserve">The evolution of markets and entry, exit and survival of firms, </w:t>
      </w:r>
      <w:r w:rsidRPr="00410822">
        <w:rPr>
          <w:i/>
        </w:rPr>
        <w:t>The Review of Economics and Statistics</w:t>
      </w:r>
      <w:r w:rsidRPr="00410822">
        <w:t xml:space="preserve"> 78(3), 489-498.</w:t>
      </w:r>
      <w:proofErr w:type="gramEnd"/>
    </w:p>
    <w:p w:rsidR="0015445D" w:rsidRPr="00410822" w:rsidRDefault="0015445D" w:rsidP="0015445D">
      <w:pPr>
        <w:ind w:left="720" w:hanging="720"/>
        <w:jc w:val="both"/>
      </w:pPr>
      <w:r>
        <w:t>Allison PD</w:t>
      </w:r>
      <w:r w:rsidRPr="00410822">
        <w:t xml:space="preserve">. 1984. </w:t>
      </w:r>
      <w:r w:rsidRPr="00410822">
        <w:rPr>
          <w:i/>
        </w:rPr>
        <w:t>Event history analysis: Regression for longitudinal event data</w:t>
      </w:r>
      <w:r w:rsidRPr="00410822">
        <w:t xml:space="preserve">, Beverly Hills, CA: Sage Publications. </w:t>
      </w:r>
    </w:p>
    <w:p w:rsidR="0015445D" w:rsidRPr="00410822" w:rsidRDefault="0015445D" w:rsidP="0015445D">
      <w:pPr>
        <w:ind w:left="720" w:hanging="720"/>
        <w:jc w:val="both"/>
      </w:pPr>
      <w:r>
        <w:t>Allison P</w:t>
      </w:r>
      <w:r w:rsidRPr="00410822">
        <w:t xml:space="preserve">D. 2004. </w:t>
      </w:r>
      <w:r w:rsidRPr="00410822">
        <w:rPr>
          <w:i/>
        </w:rPr>
        <w:t>Survival analysis using SAS: A practical guide</w:t>
      </w:r>
      <w:r w:rsidRPr="00410822">
        <w:t xml:space="preserve">, Cary, NC: SAS Institute, </w:t>
      </w:r>
      <w:proofErr w:type="gramStart"/>
      <w:r w:rsidRPr="00410822">
        <w:t>Inc..</w:t>
      </w:r>
      <w:proofErr w:type="gramEnd"/>
    </w:p>
    <w:p w:rsidR="0015445D" w:rsidRPr="00410822" w:rsidRDefault="0015445D" w:rsidP="0015445D">
      <w:pPr>
        <w:ind w:left="720" w:hanging="720"/>
        <w:jc w:val="both"/>
      </w:pPr>
      <w:r>
        <w:t>Anand BN,</w:t>
      </w:r>
      <w:r w:rsidRPr="00410822">
        <w:t xml:space="preserve"> </w:t>
      </w:r>
      <w:proofErr w:type="spellStart"/>
      <w:r w:rsidRPr="00410822">
        <w:t>Khanna</w:t>
      </w:r>
      <w:proofErr w:type="spellEnd"/>
      <w:r>
        <w:t xml:space="preserve"> T</w:t>
      </w:r>
      <w:r w:rsidRPr="00410822">
        <w:t xml:space="preserve">. Do firms learn to create value? The case of alliances, </w:t>
      </w:r>
      <w:r w:rsidRPr="00410822">
        <w:rPr>
          <w:i/>
        </w:rPr>
        <w:t>Strategic Management Journal</w:t>
      </w:r>
      <w:r w:rsidRPr="00410822">
        <w:t>, 21(3): 295-315.</w:t>
      </w:r>
    </w:p>
    <w:p w:rsidR="0015445D" w:rsidRPr="00410822" w:rsidRDefault="0015445D" w:rsidP="0015445D">
      <w:pPr>
        <w:ind w:left="720" w:hanging="720"/>
        <w:jc w:val="both"/>
      </w:pPr>
      <w:proofErr w:type="spellStart"/>
      <w:r>
        <w:t>Argote</w:t>
      </w:r>
      <w:proofErr w:type="spellEnd"/>
      <w:r>
        <w:t xml:space="preserve"> L</w:t>
      </w:r>
      <w:r w:rsidRPr="00410822">
        <w:t>, Beckman</w:t>
      </w:r>
      <w:r>
        <w:t xml:space="preserve"> SL</w:t>
      </w:r>
      <w:r w:rsidRPr="00410822">
        <w:t xml:space="preserve">, </w:t>
      </w:r>
      <w:proofErr w:type="spellStart"/>
      <w:r w:rsidRPr="00410822">
        <w:t>Epple</w:t>
      </w:r>
      <w:proofErr w:type="spellEnd"/>
      <w:r w:rsidRPr="00495534">
        <w:t xml:space="preserve"> </w:t>
      </w:r>
      <w:r>
        <w:t>D</w:t>
      </w:r>
      <w:r w:rsidRPr="00410822">
        <w:t xml:space="preserve">. 1990. The persistence and transfer of learning in industrial settings, </w:t>
      </w:r>
      <w:r w:rsidRPr="00410822">
        <w:rPr>
          <w:i/>
        </w:rPr>
        <w:t>Management Science</w:t>
      </w:r>
      <w:r w:rsidRPr="00410822">
        <w:t>, 36(2): 140-154.</w:t>
      </w:r>
    </w:p>
    <w:p w:rsidR="0015445D" w:rsidRPr="00410822" w:rsidRDefault="0015445D" w:rsidP="0015445D">
      <w:pPr>
        <w:ind w:left="720" w:hanging="720"/>
        <w:jc w:val="both"/>
      </w:pPr>
      <w:proofErr w:type="gramStart"/>
      <w:r>
        <w:t>Baldwin WL</w:t>
      </w:r>
      <w:r w:rsidRPr="00410822">
        <w:t>, Childs</w:t>
      </w:r>
      <w:r>
        <w:t xml:space="preserve"> GL</w:t>
      </w:r>
      <w:r w:rsidRPr="00410822">
        <w:t>. 1969.</w:t>
      </w:r>
      <w:proofErr w:type="gramEnd"/>
      <w:r w:rsidRPr="00410822">
        <w:t xml:space="preserve"> </w:t>
      </w:r>
      <w:proofErr w:type="gramStart"/>
      <w:r w:rsidRPr="00410822">
        <w:t xml:space="preserve">The fast second and rivalry in research and development, </w:t>
      </w:r>
      <w:r w:rsidRPr="00410822">
        <w:rPr>
          <w:i/>
        </w:rPr>
        <w:t>Southern Economic Journal</w:t>
      </w:r>
      <w:r w:rsidRPr="00410822">
        <w:t>, 18-24.</w:t>
      </w:r>
      <w:proofErr w:type="gramEnd"/>
    </w:p>
    <w:p w:rsidR="0015445D" w:rsidRPr="00FF2C6F" w:rsidRDefault="0015445D" w:rsidP="0015445D">
      <w:pPr>
        <w:ind w:left="720" w:hanging="720"/>
        <w:jc w:val="both"/>
      </w:pPr>
      <w:proofErr w:type="gramStart"/>
      <w:r>
        <w:t>Bar-</w:t>
      </w:r>
      <w:proofErr w:type="spellStart"/>
      <w:r>
        <w:t>Ilan</w:t>
      </w:r>
      <w:proofErr w:type="spellEnd"/>
      <w:r>
        <w:t xml:space="preserve"> A, Strange W. 1996.</w:t>
      </w:r>
      <w:proofErr w:type="gramEnd"/>
      <w:r>
        <w:t xml:space="preserve"> Investment lags, </w:t>
      </w:r>
      <w:r>
        <w:rPr>
          <w:i/>
        </w:rPr>
        <w:t>American Economic Review</w:t>
      </w:r>
      <w:r>
        <w:t>, 86(3):610-622.</w:t>
      </w:r>
    </w:p>
    <w:p w:rsidR="0015445D" w:rsidRPr="00410822" w:rsidRDefault="0015445D" w:rsidP="0015445D">
      <w:pPr>
        <w:ind w:left="720" w:hanging="720"/>
        <w:jc w:val="both"/>
      </w:pPr>
      <w:proofErr w:type="gramStart"/>
      <w:r>
        <w:t xml:space="preserve">Barnett WP, </w:t>
      </w:r>
      <w:r w:rsidRPr="00410822">
        <w:t>Hansen</w:t>
      </w:r>
      <w:r>
        <w:t xml:space="preserve"> M</w:t>
      </w:r>
      <w:r w:rsidRPr="00410822">
        <w:t>. 1996.</w:t>
      </w:r>
      <w:proofErr w:type="gramEnd"/>
      <w:r w:rsidRPr="00410822">
        <w:t xml:space="preserve"> </w:t>
      </w:r>
      <w:proofErr w:type="gramStart"/>
      <w:r w:rsidRPr="00410822">
        <w:t xml:space="preserve">The red queen in organizational evolution, </w:t>
      </w:r>
      <w:r w:rsidRPr="00410822">
        <w:rPr>
          <w:i/>
        </w:rPr>
        <w:t>Strategic Management Journal</w:t>
      </w:r>
      <w:r w:rsidRPr="00410822">
        <w:t>, 17: 139-157.</w:t>
      </w:r>
      <w:proofErr w:type="gramEnd"/>
    </w:p>
    <w:p w:rsidR="0015445D" w:rsidRPr="00410822" w:rsidRDefault="0015445D" w:rsidP="0015445D">
      <w:pPr>
        <w:ind w:left="720" w:hanging="720"/>
        <w:jc w:val="both"/>
      </w:pPr>
      <w:r>
        <w:t>Benson D,</w:t>
      </w:r>
      <w:r w:rsidRPr="00410822">
        <w:t xml:space="preserve"> </w:t>
      </w:r>
      <w:proofErr w:type="spellStart"/>
      <w:r w:rsidRPr="00410822">
        <w:t>Ziedonis</w:t>
      </w:r>
      <w:proofErr w:type="spellEnd"/>
      <w:r w:rsidRPr="00495534">
        <w:t xml:space="preserve"> </w:t>
      </w:r>
      <w:r>
        <w:t>RH</w:t>
      </w:r>
      <w:r w:rsidRPr="00410822">
        <w:t xml:space="preserve">. 2008. Corporate venture capital as a window on new technologies: implications for the performance of corporate investors when acquiring startups, </w:t>
      </w:r>
      <w:r w:rsidRPr="00410822">
        <w:rPr>
          <w:i/>
        </w:rPr>
        <w:t>Organization Science</w:t>
      </w:r>
      <w:r w:rsidRPr="00410822">
        <w:t>, 1-23.</w:t>
      </w:r>
    </w:p>
    <w:p w:rsidR="0015445D" w:rsidRPr="00D52780" w:rsidRDefault="0015445D" w:rsidP="0015445D">
      <w:pPr>
        <w:ind w:left="720" w:hanging="720"/>
        <w:jc w:val="both"/>
      </w:pPr>
      <w:r>
        <w:t xml:space="preserve">Brown SJ, Warner JB. 1980. Measuring security price performance, </w:t>
      </w:r>
      <w:r>
        <w:rPr>
          <w:i/>
        </w:rPr>
        <w:t>Journal of Financial Economics</w:t>
      </w:r>
      <w:r>
        <w:t>, 8: 205-258</w:t>
      </w:r>
    </w:p>
    <w:p w:rsidR="0015445D" w:rsidRPr="00410822" w:rsidRDefault="0015445D" w:rsidP="0015445D">
      <w:pPr>
        <w:ind w:left="720" w:hanging="720"/>
        <w:jc w:val="both"/>
      </w:pPr>
      <w:proofErr w:type="gramStart"/>
      <w:r>
        <w:t>Chandra</w:t>
      </w:r>
      <w:r w:rsidRPr="00410822">
        <w:t xml:space="preserve"> V. 2006.</w:t>
      </w:r>
      <w:proofErr w:type="gramEnd"/>
      <w:r w:rsidRPr="00410822">
        <w:t xml:space="preserve"> </w:t>
      </w:r>
      <w:r w:rsidRPr="00410822">
        <w:rPr>
          <w:i/>
        </w:rPr>
        <w:t>Fundamentals of Natural Gas: An International Perspective</w:t>
      </w:r>
      <w:r w:rsidRPr="00410822">
        <w:t xml:space="preserve">, </w:t>
      </w:r>
      <w:proofErr w:type="spellStart"/>
      <w:r w:rsidRPr="00410822">
        <w:t>PennWell</w:t>
      </w:r>
      <w:proofErr w:type="spellEnd"/>
      <w:r w:rsidRPr="00410822">
        <w:t xml:space="preserve"> Corp. </w:t>
      </w:r>
    </w:p>
    <w:p w:rsidR="0015445D" w:rsidRPr="00410822" w:rsidRDefault="0015445D" w:rsidP="0015445D">
      <w:pPr>
        <w:ind w:left="720" w:hanging="720"/>
        <w:jc w:val="both"/>
      </w:pPr>
      <w:r>
        <w:t>Dixit A</w:t>
      </w:r>
      <w:r w:rsidRPr="00410822">
        <w:t xml:space="preserve">. 1992. Investment and hysteresis, </w:t>
      </w:r>
      <w:r w:rsidRPr="00410822">
        <w:rPr>
          <w:i/>
        </w:rPr>
        <w:t>The Journal of Economic Perspectives</w:t>
      </w:r>
      <w:r w:rsidRPr="00410822">
        <w:t>, 6(1): 107-132.</w:t>
      </w:r>
    </w:p>
    <w:p w:rsidR="0015445D" w:rsidRPr="00410822" w:rsidRDefault="0015445D" w:rsidP="0015445D">
      <w:pPr>
        <w:ind w:left="720" w:hanging="720"/>
        <w:jc w:val="both"/>
      </w:pPr>
      <w:proofErr w:type="gramStart"/>
      <w:r w:rsidRPr="00410822">
        <w:t>Energy Information Administration.</w:t>
      </w:r>
      <w:proofErr w:type="gramEnd"/>
      <w:r w:rsidRPr="00410822">
        <w:t xml:space="preserve">  2003. </w:t>
      </w:r>
      <w:r w:rsidRPr="00410822">
        <w:rPr>
          <w:i/>
        </w:rPr>
        <w:t>The Global Liquefied Natural Gas Market: Status &amp; Outlook</w:t>
      </w:r>
      <w:r w:rsidRPr="00410822">
        <w:t>, Working Paper.</w:t>
      </w:r>
    </w:p>
    <w:p w:rsidR="0015445D" w:rsidRPr="00410822" w:rsidRDefault="0015445D" w:rsidP="0015445D">
      <w:pPr>
        <w:ind w:left="720" w:hanging="720"/>
        <w:jc w:val="both"/>
      </w:pPr>
      <w:r>
        <w:t>Finkelstein S</w:t>
      </w:r>
      <w:r w:rsidRPr="00410822">
        <w:t xml:space="preserve">. 2002. First-mover advantage for internet startups: myth or reality? In </w:t>
      </w:r>
      <w:r w:rsidRPr="00410822">
        <w:rPr>
          <w:i/>
        </w:rPr>
        <w:t>Handbook of Business Strategy</w:t>
      </w:r>
      <w:r w:rsidRPr="00410822">
        <w:t>, Ed Media Group: New York, 39-46.</w:t>
      </w:r>
    </w:p>
    <w:p w:rsidR="0015445D" w:rsidRDefault="0015445D" w:rsidP="0015445D">
      <w:pPr>
        <w:ind w:left="720" w:hanging="720"/>
        <w:jc w:val="both"/>
      </w:pPr>
      <w:proofErr w:type="spellStart"/>
      <w:r>
        <w:t>Fogel</w:t>
      </w:r>
      <w:proofErr w:type="spellEnd"/>
      <w:r>
        <w:t xml:space="preserve"> K</w:t>
      </w:r>
      <w:r w:rsidRPr="00410822">
        <w:t>, Hawk</w:t>
      </w:r>
      <w:r>
        <w:t xml:space="preserve"> A</w:t>
      </w:r>
      <w:r w:rsidRPr="00410822">
        <w:t>, Morck</w:t>
      </w:r>
      <w:r w:rsidRPr="00892F4F">
        <w:t xml:space="preserve"> </w:t>
      </w:r>
      <w:r>
        <w:t>R,</w:t>
      </w:r>
      <w:r w:rsidRPr="00410822">
        <w:t xml:space="preserve"> Yeung</w:t>
      </w:r>
      <w:r w:rsidRPr="00892F4F">
        <w:t xml:space="preserve"> </w:t>
      </w:r>
      <w:r>
        <w:t>B</w:t>
      </w:r>
      <w:r w:rsidRPr="00410822">
        <w:t xml:space="preserve">. 2006. </w:t>
      </w:r>
      <w:proofErr w:type="gramStart"/>
      <w:r w:rsidRPr="00410822">
        <w:t>Institutional obstacles to entrepreneurship.</w:t>
      </w:r>
      <w:proofErr w:type="gramEnd"/>
      <w:r w:rsidRPr="00410822">
        <w:t xml:space="preserve"> In </w:t>
      </w:r>
      <w:r w:rsidRPr="00410822">
        <w:rPr>
          <w:i/>
        </w:rPr>
        <w:t>Oxford Handbook of Entrepreneurship</w:t>
      </w:r>
      <w:r w:rsidRPr="00410822">
        <w:t xml:space="preserve">, M. </w:t>
      </w:r>
      <w:proofErr w:type="spellStart"/>
      <w:r w:rsidRPr="00410822">
        <w:t>Casson</w:t>
      </w:r>
      <w:proofErr w:type="spellEnd"/>
      <w:r w:rsidRPr="00410822">
        <w:t xml:space="preserve">, B. Yeung, A. </w:t>
      </w:r>
      <w:proofErr w:type="spellStart"/>
      <w:r w:rsidRPr="00410822">
        <w:t>Basu</w:t>
      </w:r>
      <w:proofErr w:type="spellEnd"/>
      <w:r w:rsidRPr="00410822">
        <w:t xml:space="preserve">, &amp; N. </w:t>
      </w:r>
      <w:proofErr w:type="spellStart"/>
      <w:r w:rsidRPr="00410822">
        <w:t>Wadeson</w:t>
      </w:r>
      <w:proofErr w:type="spellEnd"/>
      <w:r w:rsidRPr="00410822">
        <w:t>, (eds.) Oxford University Press.</w:t>
      </w:r>
    </w:p>
    <w:p w:rsidR="0015445D" w:rsidRDefault="0015445D" w:rsidP="0015445D">
      <w:pPr>
        <w:ind w:left="720" w:hanging="720"/>
        <w:jc w:val="both"/>
      </w:pPr>
      <w:r>
        <w:t xml:space="preserve">Franco </w:t>
      </w:r>
      <w:proofErr w:type="gramStart"/>
      <w:r>
        <w:t>AM</w:t>
      </w:r>
      <w:proofErr w:type="gramEnd"/>
      <w:r w:rsidRPr="00410822">
        <w:t xml:space="preserve">, </w:t>
      </w:r>
      <w:proofErr w:type="spellStart"/>
      <w:r w:rsidRPr="00410822">
        <w:t>Sarkar</w:t>
      </w:r>
      <w:proofErr w:type="spellEnd"/>
      <w:r w:rsidRPr="00892F4F">
        <w:t xml:space="preserve"> </w:t>
      </w:r>
      <w:r w:rsidRPr="00410822">
        <w:t>MB, Agarwal</w:t>
      </w:r>
      <w:r w:rsidRPr="00892F4F">
        <w:t xml:space="preserve"> </w:t>
      </w:r>
      <w:r>
        <w:t>R,</w:t>
      </w:r>
      <w:r w:rsidRPr="00410822">
        <w:t xml:space="preserve"> </w:t>
      </w:r>
      <w:proofErr w:type="spellStart"/>
      <w:r w:rsidRPr="00410822">
        <w:t>Echambadi</w:t>
      </w:r>
      <w:proofErr w:type="spellEnd"/>
      <w:r w:rsidRPr="00892F4F">
        <w:t xml:space="preserve"> </w:t>
      </w:r>
      <w:r>
        <w:t>R. 2009</w:t>
      </w:r>
      <w:r w:rsidRPr="00410822">
        <w:t xml:space="preserve">. </w:t>
      </w:r>
      <w:r w:rsidRPr="00FF2C6F">
        <w:t>Swift</w:t>
      </w:r>
      <w:r>
        <w:t xml:space="preserve"> and s</w:t>
      </w:r>
      <w:r w:rsidRPr="00FF2C6F">
        <w:t xml:space="preserve">mart: </w:t>
      </w:r>
      <w:r>
        <w:t>t</w:t>
      </w:r>
      <w:r w:rsidRPr="00FF2C6F">
        <w:t>he moderating effects of technological capabilities on the market pioneering-firm survival relationship</w:t>
      </w:r>
      <w:r w:rsidRPr="00410822">
        <w:t xml:space="preserve">, </w:t>
      </w:r>
      <w:r>
        <w:rPr>
          <w:i/>
        </w:rPr>
        <w:t>Management Science</w:t>
      </w:r>
      <w:r w:rsidRPr="00410822">
        <w:t xml:space="preserve">, </w:t>
      </w:r>
      <w:r>
        <w:t>55(11): 1842-1860</w:t>
      </w:r>
      <w:r w:rsidRPr="00410822">
        <w:t>.</w:t>
      </w:r>
    </w:p>
    <w:p w:rsidR="0015445D" w:rsidRDefault="0015445D" w:rsidP="0015445D">
      <w:pPr>
        <w:ind w:left="720" w:hanging="720"/>
        <w:jc w:val="both"/>
      </w:pPr>
      <w:proofErr w:type="spellStart"/>
      <w:r>
        <w:t>Fudenberg</w:t>
      </w:r>
      <w:proofErr w:type="spellEnd"/>
      <w:r>
        <w:t xml:space="preserve"> D,</w:t>
      </w:r>
      <w:r w:rsidRPr="00410822">
        <w:t xml:space="preserve"> </w:t>
      </w:r>
      <w:proofErr w:type="spellStart"/>
      <w:r w:rsidRPr="00410822">
        <w:t>Tirole</w:t>
      </w:r>
      <w:proofErr w:type="spellEnd"/>
      <w:r w:rsidRPr="00E20C38">
        <w:t xml:space="preserve"> </w:t>
      </w:r>
      <w:r>
        <w:t>J</w:t>
      </w:r>
      <w:r w:rsidRPr="00410822">
        <w:t xml:space="preserve">. 1983. Capital as a commitment: strategic investment to deter mobility. </w:t>
      </w:r>
      <w:r w:rsidRPr="00410822">
        <w:rPr>
          <w:i/>
        </w:rPr>
        <w:t>Journal of Economic Theory</w:t>
      </w:r>
      <w:r w:rsidRPr="00410822">
        <w:t>, 31: 227-250.</w:t>
      </w:r>
    </w:p>
    <w:p w:rsidR="0015445D" w:rsidRPr="00410822" w:rsidRDefault="0015445D" w:rsidP="0015445D">
      <w:pPr>
        <w:ind w:left="720" w:hanging="720"/>
        <w:jc w:val="both"/>
      </w:pPr>
      <w:proofErr w:type="spellStart"/>
      <w:r w:rsidRPr="001E28EC">
        <w:t>Fuentelsaz</w:t>
      </w:r>
      <w:proofErr w:type="spellEnd"/>
      <w:r w:rsidRPr="001E28EC">
        <w:t xml:space="preserve"> L, Gomez J, Polo Y. 2002. </w:t>
      </w:r>
      <w:r w:rsidRPr="00410822">
        <w:t xml:space="preserve">Followers’ entry timing: evidence from the Spanish banking sector after deregulation, </w:t>
      </w:r>
      <w:r w:rsidRPr="00410822">
        <w:rPr>
          <w:i/>
        </w:rPr>
        <w:t>Strategic Management Journal</w:t>
      </w:r>
      <w:r w:rsidRPr="00410822">
        <w:t>, 23: 245-264.</w:t>
      </w:r>
    </w:p>
    <w:p w:rsidR="00293773" w:rsidRPr="00293773" w:rsidRDefault="00293773" w:rsidP="0015445D">
      <w:pPr>
        <w:ind w:left="720" w:hanging="720"/>
        <w:jc w:val="both"/>
      </w:pPr>
      <w:proofErr w:type="spellStart"/>
      <w:r>
        <w:t>Ganapati</w:t>
      </w:r>
      <w:proofErr w:type="spellEnd"/>
      <w:r>
        <w:t xml:space="preserve"> M. 2000. Modular construction of catalyst-</w:t>
      </w:r>
      <w:proofErr w:type="spellStart"/>
      <w:r>
        <w:t>regen</w:t>
      </w:r>
      <w:proofErr w:type="spellEnd"/>
      <w:r>
        <w:t xml:space="preserve">; unit saves time, costs, </w:t>
      </w:r>
      <w:r>
        <w:rPr>
          <w:i/>
        </w:rPr>
        <w:t>Oil and Gas Journal</w:t>
      </w:r>
      <w:r>
        <w:t>, 19 June: 48.</w:t>
      </w:r>
    </w:p>
    <w:p w:rsidR="0015445D" w:rsidRPr="00410822" w:rsidRDefault="0015445D" w:rsidP="0015445D">
      <w:pPr>
        <w:ind w:left="720" w:hanging="720"/>
        <w:jc w:val="both"/>
      </w:pPr>
      <w:proofErr w:type="spellStart"/>
      <w:proofErr w:type="gramStart"/>
      <w:r>
        <w:t>Ghemawat</w:t>
      </w:r>
      <w:proofErr w:type="spellEnd"/>
      <w:r w:rsidRPr="00410822">
        <w:t xml:space="preserve"> P. 1991.</w:t>
      </w:r>
      <w:proofErr w:type="gramEnd"/>
      <w:r w:rsidRPr="00410822">
        <w:t xml:space="preserve"> </w:t>
      </w:r>
      <w:proofErr w:type="gramStart"/>
      <w:r w:rsidRPr="00410822">
        <w:rPr>
          <w:i/>
        </w:rPr>
        <w:t>Commitment</w:t>
      </w:r>
      <w:r w:rsidRPr="00410822">
        <w:t>.</w:t>
      </w:r>
      <w:proofErr w:type="gramEnd"/>
      <w:r w:rsidRPr="00410822">
        <w:t xml:space="preserve"> New York, NY: The Free Press.</w:t>
      </w:r>
    </w:p>
    <w:p w:rsidR="0015445D" w:rsidRPr="00410822" w:rsidRDefault="0015445D" w:rsidP="0015445D">
      <w:pPr>
        <w:ind w:left="720" w:hanging="720"/>
        <w:jc w:val="both"/>
      </w:pPr>
      <w:proofErr w:type="spellStart"/>
      <w:r>
        <w:t>Ghemawat</w:t>
      </w:r>
      <w:proofErr w:type="spellEnd"/>
      <w:r>
        <w:t xml:space="preserve"> P,</w:t>
      </w:r>
      <w:r w:rsidRPr="00410822">
        <w:t xml:space="preserve"> </w:t>
      </w:r>
      <w:proofErr w:type="gramStart"/>
      <w:r w:rsidRPr="00410822">
        <w:t>del</w:t>
      </w:r>
      <w:proofErr w:type="gramEnd"/>
      <w:r w:rsidRPr="00410822">
        <w:t xml:space="preserve"> Sol</w:t>
      </w:r>
      <w:r>
        <w:t xml:space="preserve"> </w:t>
      </w:r>
      <w:r w:rsidRPr="00410822">
        <w:t>P</w:t>
      </w:r>
      <w:r>
        <w:t>.</w:t>
      </w:r>
      <w:r w:rsidRPr="00410822">
        <w:t xml:space="preserve"> 1998. </w:t>
      </w:r>
      <w:proofErr w:type="gramStart"/>
      <w:r w:rsidRPr="00410822">
        <w:t>Commitment versus flexibility?</w:t>
      </w:r>
      <w:proofErr w:type="gramEnd"/>
      <w:r w:rsidRPr="00410822">
        <w:t xml:space="preserve"> </w:t>
      </w:r>
      <w:r w:rsidRPr="00410822">
        <w:rPr>
          <w:i/>
        </w:rPr>
        <w:t>California Management Review</w:t>
      </w:r>
      <w:r w:rsidRPr="00410822">
        <w:t>, 40(4): 26-42.</w:t>
      </w:r>
    </w:p>
    <w:p w:rsidR="0015445D" w:rsidRDefault="0015445D" w:rsidP="0015445D">
      <w:pPr>
        <w:ind w:left="720" w:hanging="720"/>
        <w:jc w:val="both"/>
      </w:pPr>
      <w:proofErr w:type="gramStart"/>
      <w:r w:rsidRPr="00410822">
        <w:t>Gilbert, R. J. &amp; M. Lieberman.</w:t>
      </w:r>
      <w:proofErr w:type="gramEnd"/>
      <w:r w:rsidRPr="00410822">
        <w:t xml:space="preserve"> 1987. Investment and coordination in oligopolistic industries. </w:t>
      </w:r>
      <w:r w:rsidRPr="00410822">
        <w:rPr>
          <w:i/>
        </w:rPr>
        <w:t>RAND Journal of Economics</w:t>
      </w:r>
      <w:r w:rsidRPr="00410822">
        <w:t>, 18, 17-33.</w:t>
      </w:r>
    </w:p>
    <w:p w:rsidR="0015445D" w:rsidRPr="00410822" w:rsidRDefault="0015445D" w:rsidP="0015445D">
      <w:pPr>
        <w:ind w:left="720" w:hanging="720"/>
        <w:jc w:val="both"/>
      </w:pPr>
      <w:proofErr w:type="gramStart"/>
      <w:r w:rsidRPr="00410822">
        <w:t>Glazer, A. 1985.</w:t>
      </w:r>
      <w:proofErr w:type="gramEnd"/>
      <w:r w:rsidRPr="00410822">
        <w:t xml:space="preserve"> The advantages of being first, </w:t>
      </w:r>
      <w:r w:rsidRPr="00410822">
        <w:rPr>
          <w:i/>
        </w:rPr>
        <w:t>The American Economic Review</w:t>
      </w:r>
      <w:r w:rsidRPr="00410822">
        <w:t>, 75(3):473-480.</w:t>
      </w:r>
      <w:r w:rsidRPr="00410822">
        <w:rPr>
          <w:b/>
          <w:i/>
        </w:rPr>
        <w:t xml:space="preserve"> </w:t>
      </w:r>
    </w:p>
    <w:p w:rsidR="0015445D" w:rsidRPr="00410822" w:rsidRDefault="0015445D" w:rsidP="0015445D">
      <w:pPr>
        <w:ind w:left="720" w:hanging="720"/>
        <w:jc w:val="both"/>
      </w:pPr>
      <w:proofErr w:type="spellStart"/>
      <w:r>
        <w:lastRenderedPageBreak/>
        <w:t>Gort</w:t>
      </w:r>
      <w:proofErr w:type="spellEnd"/>
      <w:r>
        <w:t xml:space="preserve"> M,</w:t>
      </w:r>
      <w:r w:rsidRPr="00410822">
        <w:t xml:space="preserve"> </w:t>
      </w:r>
      <w:proofErr w:type="spellStart"/>
      <w:r w:rsidRPr="00410822">
        <w:t>Klepper</w:t>
      </w:r>
      <w:proofErr w:type="spellEnd"/>
      <w:r>
        <w:t xml:space="preserve"> S</w:t>
      </w:r>
      <w:r w:rsidRPr="00410822">
        <w:t xml:space="preserve">. 1982. </w:t>
      </w:r>
      <w:proofErr w:type="gramStart"/>
      <w:r w:rsidRPr="00410822">
        <w:t xml:space="preserve">Time paths in the diffusion of product innovations, </w:t>
      </w:r>
      <w:r w:rsidRPr="00410822">
        <w:rPr>
          <w:i/>
        </w:rPr>
        <w:t>The Economic Journal</w:t>
      </w:r>
      <w:r w:rsidRPr="00410822">
        <w:t>, 92(367), 630-653.</w:t>
      </w:r>
      <w:proofErr w:type="gramEnd"/>
    </w:p>
    <w:p w:rsidR="0015445D" w:rsidRDefault="0015445D" w:rsidP="0015445D">
      <w:pPr>
        <w:ind w:left="720" w:hanging="720"/>
        <w:jc w:val="both"/>
      </w:pPr>
      <w:proofErr w:type="spellStart"/>
      <w:r>
        <w:t>Helfat</w:t>
      </w:r>
      <w:proofErr w:type="spellEnd"/>
      <w:r>
        <w:t xml:space="preserve"> CE</w:t>
      </w:r>
      <w:r w:rsidRPr="00410822">
        <w:t>, Finkelstein</w:t>
      </w:r>
      <w:r w:rsidRPr="00F112E2">
        <w:t xml:space="preserve"> </w:t>
      </w:r>
      <w:r>
        <w:t>S</w:t>
      </w:r>
      <w:r w:rsidRPr="00410822">
        <w:t>, Mitchell</w:t>
      </w:r>
      <w:r w:rsidRPr="00F112E2">
        <w:t xml:space="preserve"> </w:t>
      </w:r>
      <w:r>
        <w:t>W</w:t>
      </w:r>
      <w:r w:rsidRPr="00410822">
        <w:t xml:space="preserve">, </w:t>
      </w:r>
      <w:proofErr w:type="spellStart"/>
      <w:r w:rsidRPr="00410822">
        <w:t>Peteraf</w:t>
      </w:r>
      <w:proofErr w:type="spellEnd"/>
      <w:r w:rsidRPr="00F112E2">
        <w:t xml:space="preserve"> </w:t>
      </w:r>
      <w:r>
        <w:t>MA</w:t>
      </w:r>
      <w:r w:rsidRPr="00410822">
        <w:t>, Singh</w:t>
      </w:r>
      <w:r w:rsidRPr="00F112E2">
        <w:t xml:space="preserve"> </w:t>
      </w:r>
      <w:r>
        <w:t>H</w:t>
      </w:r>
      <w:r w:rsidRPr="00410822">
        <w:t xml:space="preserve">, </w:t>
      </w:r>
      <w:proofErr w:type="spellStart"/>
      <w:r w:rsidRPr="00410822">
        <w:t>Teece</w:t>
      </w:r>
      <w:proofErr w:type="spellEnd"/>
      <w:r w:rsidRPr="00F112E2">
        <w:t xml:space="preserve"> </w:t>
      </w:r>
      <w:r>
        <w:t>DJ</w:t>
      </w:r>
      <w:r w:rsidRPr="00410822">
        <w:t>,</w:t>
      </w:r>
      <w:r>
        <w:t xml:space="preserve"> </w:t>
      </w:r>
      <w:r w:rsidRPr="00410822">
        <w:t>Winter</w:t>
      </w:r>
      <w:r w:rsidRPr="00F112E2">
        <w:t xml:space="preserve"> </w:t>
      </w:r>
      <w:r>
        <w:t>SG</w:t>
      </w:r>
      <w:r w:rsidRPr="00410822">
        <w:t xml:space="preserve">. 2007. </w:t>
      </w:r>
      <w:r w:rsidRPr="00410822">
        <w:rPr>
          <w:i/>
        </w:rPr>
        <w:t>Dynamic Capabilities: Understanding Strategic Change in Organizations</w:t>
      </w:r>
      <w:r w:rsidRPr="00410822">
        <w:t>. Blackwell Publishing Ltd.: Oxford, UK.</w:t>
      </w:r>
    </w:p>
    <w:p w:rsidR="0015445D" w:rsidRPr="00A55401" w:rsidRDefault="0015445D" w:rsidP="0015445D">
      <w:pPr>
        <w:ind w:left="720" w:hanging="720"/>
        <w:jc w:val="both"/>
      </w:pPr>
      <w:r w:rsidRPr="001F124F">
        <w:rPr>
          <w:lang w:val="fr-FR"/>
        </w:rPr>
        <w:t xml:space="preserve">Henderson JE, Cook K. 2003a. </w:t>
      </w:r>
      <w:r>
        <w:t xml:space="preserve">Corporate governance, investment bandwagons and overcapacity: an analysis of the worldwide petrochemical industry, 1975-95, </w:t>
      </w:r>
      <w:r>
        <w:rPr>
          <w:i/>
        </w:rPr>
        <w:t>Strategic Management Journal</w:t>
      </w:r>
      <w:r>
        <w:t>, 24(4): 349-373.</w:t>
      </w:r>
      <w:r w:rsidRPr="00410822">
        <w:t xml:space="preserve"> </w:t>
      </w:r>
    </w:p>
    <w:p w:rsidR="0015445D" w:rsidRDefault="0015445D" w:rsidP="0015445D">
      <w:pPr>
        <w:ind w:left="720" w:hanging="720"/>
        <w:jc w:val="both"/>
      </w:pPr>
      <w:r w:rsidRPr="001E28EC">
        <w:rPr>
          <w:lang w:val="fr-FR"/>
        </w:rPr>
        <w:t xml:space="preserve">Henderson JE, Cool K. 2003b. </w:t>
      </w:r>
      <w:proofErr w:type="gramStart"/>
      <w:r w:rsidRPr="00410822">
        <w:t>Learning to time capacity expansions: an empirical analysis of the worldwide petrochemical industry, 1975-95.</w:t>
      </w:r>
      <w:proofErr w:type="gramEnd"/>
      <w:r w:rsidRPr="00410822">
        <w:t xml:space="preserve"> </w:t>
      </w:r>
      <w:r w:rsidRPr="00410822">
        <w:rPr>
          <w:i/>
        </w:rPr>
        <w:t>Strategic Management Journal</w:t>
      </w:r>
      <w:r w:rsidRPr="00410822">
        <w:t>, 24, 393-413.</w:t>
      </w:r>
    </w:p>
    <w:p w:rsidR="0015445D" w:rsidRDefault="0015445D" w:rsidP="0015445D">
      <w:pPr>
        <w:ind w:left="720" w:hanging="720"/>
        <w:jc w:val="both"/>
      </w:pPr>
      <w:proofErr w:type="spellStart"/>
      <w:proofErr w:type="gramStart"/>
      <w:r>
        <w:t>Henisz</w:t>
      </w:r>
      <w:proofErr w:type="spellEnd"/>
      <w:r>
        <w:t xml:space="preserve"> W.</w:t>
      </w:r>
      <w:r w:rsidRPr="00410822">
        <w:t xml:space="preserve"> 2000.</w:t>
      </w:r>
      <w:proofErr w:type="gramEnd"/>
      <w:r w:rsidRPr="00410822">
        <w:t xml:space="preserve"> </w:t>
      </w:r>
      <w:proofErr w:type="gramStart"/>
      <w:r w:rsidRPr="00410822">
        <w:t>The institutional environment for economic growth.</w:t>
      </w:r>
      <w:proofErr w:type="gramEnd"/>
      <w:r w:rsidRPr="00410822">
        <w:t xml:space="preserve"> </w:t>
      </w:r>
      <w:r w:rsidRPr="00410822">
        <w:rPr>
          <w:i/>
        </w:rPr>
        <w:t>Economics and Politics</w:t>
      </w:r>
      <w:r w:rsidRPr="00410822">
        <w:t>, 12(1):1-31.</w:t>
      </w:r>
    </w:p>
    <w:p w:rsidR="0015445D" w:rsidRPr="00A55401" w:rsidRDefault="0015445D" w:rsidP="0015445D">
      <w:pPr>
        <w:ind w:left="720" w:hanging="720"/>
        <w:jc w:val="both"/>
      </w:pPr>
      <w:r>
        <w:t>Ingram P,</w:t>
      </w:r>
      <w:r w:rsidRPr="00410822">
        <w:t xml:space="preserve"> Baum</w:t>
      </w:r>
      <w:r>
        <w:t xml:space="preserve"> JAC</w:t>
      </w:r>
      <w:r w:rsidRPr="00410822">
        <w:t xml:space="preserve">. 1997. Opportunity and constraint: organizations’ learning from the operating and competitive experience of industries, </w:t>
      </w:r>
      <w:r w:rsidRPr="00410822">
        <w:rPr>
          <w:i/>
        </w:rPr>
        <w:t>Strategic Management Journal</w:t>
      </w:r>
      <w:r w:rsidRPr="00410822">
        <w:t xml:space="preserve">, 18: 75-98. </w:t>
      </w:r>
    </w:p>
    <w:p w:rsidR="0015445D" w:rsidRPr="00A55401" w:rsidRDefault="0015445D" w:rsidP="0015445D">
      <w:pPr>
        <w:ind w:left="720" w:hanging="720"/>
        <w:jc w:val="both"/>
      </w:pPr>
      <w:r>
        <w:t>Kim JY,</w:t>
      </w:r>
      <w:r w:rsidRPr="00410822">
        <w:t xml:space="preserve"> Miner</w:t>
      </w:r>
      <w:r>
        <w:t xml:space="preserve"> AS</w:t>
      </w:r>
      <w:r w:rsidRPr="00410822">
        <w:t xml:space="preserve">. 2007. Vicarious learning from the failures and near-failures of others: evidence from the U.S. commercial banking industry, </w:t>
      </w:r>
      <w:r w:rsidRPr="00410822">
        <w:rPr>
          <w:i/>
        </w:rPr>
        <w:t>Academy of Management Journal</w:t>
      </w:r>
      <w:r w:rsidRPr="00410822">
        <w:t>, 50(2): 687-714.</w:t>
      </w:r>
    </w:p>
    <w:p w:rsidR="0015445D" w:rsidRPr="00410822" w:rsidRDefault="0015445D" w:rsidP="0015445D">
      <w:pPr>
        <w:ind w:left="720" w:hanging="720"/>
        <w:jc w:val="both"/>
      </w:pPr>
      <w:proofErr w:type="spellStart"/>
      <w:proofErr w:type="gramStart"/>
      <w:r>
        <w:t>Koeva</w:t>
      </w:r>
      <w:proofErr w:type="spellEnd"/>
      <w:r w:rsidRPr="00410822">
        <w:t xml:space="preserve"> P. 2000.</w:t>
      </w:r>
      <w:proofErr w:type="gramEnd"/>
      <w:r w:rsidRPr="00410822">
        <w:t xml:space="preserve"> </w:t>
      </w:r>
      <w:proofErr w:type="gramStart"/>
      <w:r w:rsidRPr="00410822">
        <w:t xml:space="preserve">The facts about time-to-build, </w:t>
      </w:r>
      <w:r w:rsidRPr="00410822">
        <w:rPr>
          <w:i/>
        </w:rPr>
        <w:t>IMF Working Paper</w:t>
      </w:r>
      <w:r w:rsidRPr="00410822">
        <w:t>, 1-23.</w:t>
      </w:r>
      <w:proofErr w:type="gramEnd"/>
    </w:p>
    <w:p w:rsidR="0015445D" w:rsidRPr="00410822" w:rsidRDefault="0015445D" w:rsidP="0015445D">
      <w:pPr>
        <w:ind w:left="720" w:hanging="720"/>
        <w:jc w:val="both"/>
      </w:pPr>
      <w:proofErr w:type="spellStart"/>
      <w:r>
        <w:t>Kulatilaka</w:t>
      </w:r>
      <w:proofErr w:type="spellEnd"/>
      <w:r>
        <w:t xml:space="preserve"> N,</w:t>
      </w:r>
      <w:r w:rsidRPr="00410822">
        <w:t xml:space="preserve"> </w:t>
      </w:r>
      <w:proofErr w:type="spellStart"/>
      <w:r w:rsidRPr="00410822">
        <w:t>Perotti</w:t>
      </w:r>
      <w:proofErr w:type="spellEnd"/>
      <w:r>
        <w:t xml:space="preserve"> EC</w:t>
      </w:r>
      <w:r w:rsidRPr="00410822">
        <w:t xml:space="preserve">. 1998. Strategic growth options. </w:t>
      </w:r>
      <w:r w:rsidRPr="00410822">
        <w:rPr>
          <w:i/>
        </w:rPr>
        <w:t>Management Science</w:t>
      </w:r>
      <w:r w:rsidRPr="00410822">
        <w:t>, 44(8): 1021-1031.</w:t>
      </w:r>
    </w:p>
    <w:p w:rsidR="0015445D" w:rsidRDefault="0015445D" w:rsidP="0015445D">
      <w:pPr>
        <w:ind w:left="720" w:hanging="720"/>
        <w:jc w:val="both"/>
      </w:pPr>
      <w:r>
        <w:t>Lieberman MB</w:t>
      </w:r>
      <w:r w:rsidRPr="00410822">
        <w:t>. 1987</w:t>
      </w:r>
      <w:r>
        <w:t>a</w:t>
      </w:r>
      <w:r w:rsidRPr="00410822">
        <w:t xml:space="preserve">. Excess capacity as a barrier to entry: an empirical appraisal, </w:t>
      </w:r>
      <w:r w:rsidRPr="00410822">
        <w:rPr>
          <w:i/>
        </w:rPr>
        <w:t>The Journal of Industrial Economics</w:t>
      </w:r>
      <w:r w:rsidRPr="00410822">
        <w:t xml:space="preserve">, </w:t>
      </w:r>
      <w:proofErr w:type="gramStart"/>
      <w:r w:rsidRPr="00410822">
        <w:t>XXXV(</w:t>
      </w:r>
      <w:proofErr w:type="gramEnd"/>
      <w:r w:rsidRPr="00410822">
        <w:t>4): 607-627.</w:t>
      </w:r>
    </w:p>
    <w:p w:rsidR="0015445D" w:rsidRDefault="0015445D" w:rsidP="0015445D">
      <w:pPr>
        <w:ind w:left="720" w:hanging="720"/>
        <w:jc w:val="both"/>
      </w:pPr>
      <w:r>
        <w:t xml:space="preserve">Lieberman MB. 1987b. </w:t>
      </w:r>
      <w:proofErr w:type="spellStart"/>
      <w:r>
        <w:t>Postentry</w:t>
      </w:r>
      <w:proofErr w:type="spellEnd"/>
      <w:r>
        <w:t xml:space="preserve"> investment and market structure in the chemical processing industries, </w:t>
      </w:r>
      <w:r>
        <w:rPr>
          <w:i/>
        </w:rPr>
        <w:t>RAND Journal of Economics</w:t>
      </w:r>
      <w:r>
        <w:t>, 18(4): 533-549.</w:t>
      </w:r>
    </w:p>
    <w:p w:rsidR="0015445D" w:rsidRPr="00A55401" w:rsidRDefault="0015445D" w:rsidP="0015445D">
      <w:pPr>
        <w:ind w:left="720" w:hanging="720"/>
        <w:jc w:val="both"/>
      </w:pPr>
      <w:r>
        <w:t>Lieberman MB</w:t>
      </w:r>
      <w:r w:rsidRPr="00410822">
        <w:t>. 2008. Did first-mover advantage survive the dot-com crash</w:t>
      </w:r>
      <w:proofErr w:type="gramStart"/>
      <w:r w:rsidRPr="00410822">
        <w:t>?,</w:t>
      </w:r>
      <w:proofErr w:type="gramEnd"/>
      <w:r w:rsidRPr="00410822">
        <w:t xml:space="preserve"> </w:t>
      </w:r>
      <w:r w:rsidRPr="00410822">
        <w:rPr>
          <w:i/>
        </w:rPr>
        <w:t>Working Paper</w:t>
      </w:r>
      <w:r w:rsidRPr="00410822">
        <w:t>.</w:t>
      </w:r>
    </w:p>
    <w:p w:rsidR="0015445D" w:rsidRPr="00410822" w:rsidRDefault="0015445D" w:rsidP="0015445D">
      <w:pPr>
        <w:ind w:left="720" w:hanging="720"/>
        <w:jc w:val="both"/>
      </w:pPr>
      <w:proofErr w:type="gramStart"/>
      <w:r>
        <w:t>Lieberman MB,</w:t>
      </w:r>
      <w:r w:rsidRPr="00410822">
        <w:t xml:space="preserve"> Montgomery</w:t>
      </w:r>
      <w:r>
        <w:t xml:space="preserve"> DB</w:t>
      </w:r>
      <w:r w:rsidRPr="00410822">
        <w:t>, 1988.</w:t>
      </w:r>
      <w:proofErr w:type="gramEnd"/>
      <w:r w:rsidRPr="00410822">
        <w:t xml:space="preserve"> First-mover advantages, </w:t>
      </w:r>
      <w:r w:rsidRPr="00410822">
        <w:rPr>
          <w:i/>
        </w:rPr>
        <w:t>Strategic Management Journal</w:t>
      </w:r>
      <w:r w:rsidRPr="00410822">
        <w:t>, 9(Summer Special Issue): 41-58.</w:t>
      </w:r>
    </w:p>
    <w:p w:rsidR="0015445D" w:rsidRPr="00A55401" w:rsidRDefault="0015445D" w:rsidP="0015445D">
      <w:pPr>
        <w:ind w:left="720" w:hanging="720"/>
        <w:jc w:val="both"/>
      </w:pPr>
      <w:proofErr w:type="gramStart"/>
      <w:r>
        <w:t>Lieberman MB,</w:t>
      </w:r>
      <w:r w:rsidRPr="00410822">
        <w:t xml:space="preserve"> Montgomery</w:t>
      </w:r>
      <w:r w:rsidRPr="00F112E2">
        <w:t xml:space="preserve"> </w:t>
      </w:r>
      <w:r>
        <w:t>DB</w:t>
      </w:r>
      <w:r w:rsidRPr="00410822">
        <w:t>, 1998.</w:t>
      </w:r>
      <w:proofErr w:type="gramEnd"/>
      <w:r w:rsidRPr="00410822">
        <w:t xml:space="preserve"> First mover (dis)advantages: Retrospective and link with the Resource-Based View, </w:t>
      </w:r>
      <w:r w:rsidRPr="00410822">
        <w:rPr>
          <w:i/>
        </w:rPr>
        <w:t>Strategic Management Journal</w:t>
      </w:r>
      <w:r w:rsidRPr="00410822">
        <w:t>, 19: 1111-1125.</w:t>
      </w:r>
    </w:p>
    <w:p w:rsidR="0015445D" w:rsidRPr="00A55401" w:rsidRDefault="0015445D" w:rsidP="0015445D">
      <w:pPr>
        <w:ind w:left="720" w:hanging="720"/>
        <w:jc w:val="both"/>
      </w:pPr>
      <w:proofErr w:type="spellStart"/>
      <w:r>
        <w:t>Luehrman</w:t>
      </w:r>
      <w:proofErr w:type="spellEnd"/>
      <w:r>
        <w:t xml:space="preserve"> T</w:t>
      </w:r>
      <w:r w:rsidRPr="00410822">
        <w:t xml:space="preserve">A. 1998. Strategy as a portfolio of real options. </w:t>
      </w:r>
      <w:r w:rsidRPr="00410822">
        <w:rPr>
          <w:i/>
        </w:rPr>
        <w:t>Harvard Business Review</w:t>
      </w:r>
      <w:r w:rsidRPr="00410822">
        <w:t>, September-October: 89-99.</w:t>
      </w:r>
    </w:p>
    <w:p w:rsidR="0015445D" w:rsidRPr="00A55401" w:rsidRDefault="0015445D" w:rsidP="0015445D">
      <w:pPr>
        <w:ind w:left="720" w:hanging="720"/>
        <w:jc w:val="both"/>
      </w:pPr>
      <w:proofErr w:type="spellStart"/>
      <w:r>
        <w:t>Markides</w:t>
      </w:r>
      <w:proofErr w:type="spellEnd"/>
      <w:r>
        <w:t xml:space="preserve"> CC</w:t>
      </w:r>
      <w:r w:rsidRPr="00410822">
        <w:t xml:space="preserve">, </w:t>
      </w:r>
      <w:proofErr w:type="spellStart"/>
      <w:r w:rsidRPr="00410822">
        <w:t>Geroski</w:t>
      </w:r>
      <w:proofErr w:type="spellEnd"/>
      <w:r>
        <w:t xml:space="preserve"> PA</w:t>
      </w:r>
      <w:r w:rsidRPr="00410822">
        <w:t xml:space="preserve">. 2005. </w:t>
      </w:r>
      <w:r w:rsidRPr="00410822">
        <w:rPr>
          <w:i/>
        </w:rPr>
        <w:t>Fast second: How smart companies bypass radical innovation to enter and dominate new markets</w:t>
      </w:r>
      <w:r w:rsidRPr="00410822">
        <w:t xml:space="preserve">, San Francisco: </w:t>
      </w:r>
      <w:proofErr w:type="spellStart"/>
      <w:r w:rsidRPr="00410822">
        <w:t>Jossey</w:t>
      </w:r>
      <w:proofErr w:type="spellEnd"/>
      <w:r w:rsidRPr="00410822">
        <w:t>-Bass.</w:t>
      </w:r>
    </w:p>
    <w:p w:rsidR="0015445D" w:rsidRPr="00A55401" w:rsidRDefault="0015445D" w:rsidP="0015445D">
      <w:pPr>
        <w:ind w:left="720" w:hanging="720"/>
        <w:jc w:val="both"/>
      </w:pPr>
      <w:r>
        <w:t>McGrath R</w:t>
      </w:r>
      <w:r w:rsidRPr="00410822">
        <w:t xml:space="preserve">G. </w:t>
      </w:r>
      <w:proofErr w:type="gramStart"/>
      <w:r w:rsidRPr="00410822">
        <w:t>1997. A real options logic</w:t>
      </w:r>
      <w:proofErr w:type="gramEnd"/>
      <w:r w:rsidRPr="00410822">
        <w:t xml:space="preserve"> for initiating technology positioning investments, </w:t>
      </w:r>
      <w:r w:rsidRPr="00410822">
        <w:rPr>
          <w:i/>
        </w:rPr>
        <w:t>Academy of Management Review</w:t>
      </w:r>
      <w:r w:rsidRPr="00410822">
        <w:t>, 22(4): 974-996.</w:t>
      </w:r>
    </w:p>
    <w:p w:rsidR="0015445D" w:rsidRPr="00A55401" w:rsidRDefault="0015445D" w:rsidP="0015445D">
      <w:pPr>
        <w:ind w:left="720" w:hanging="720"/>
        <w:jc w:val="both"/>
      </w:pPr>
      <w:r>
        <w:t>McGrath R</w:t>
      </w:r>
      <w:r w:rsidRPr="00410822">
        <w:t xml:space="preserve">G. 1999. Falling forward: real options reasoning and entrepreneurial failure. </w:t>
      </w:r>
      <w:r w:rsidRPr="00410822">
        <w:rPr>
          <w:i/>
        </w:rPr>
        <w:t>Academy of Management Review</w:t>
      </w:r>
      <w:r w:rsidRPr="00410822">
        <w:t>, 24(1): 13-30.</w:t>
      </w:r>
    </w:p>
    <w:p w:rsidR="0015445D" w:rsidRPr="00410822" w:rsidRDefault="0015445D" w:rsidP="0015445D">
      <w:pPr>
        <w:ind w:left="720" w:hanging="720"/>
        <w:jc w:val="both"/>
      </w:pPr>
      <w:proofErr w:type="gramStart"/>
      <w:r>
        <w:t>Mitchell</w:t>
      </w:r>
      <w:r w:rsidRPr="00410822">
        <w:t xml:space="preserve"> W. 1989.</w:t>
      </w:r>
      <w:proofErr w:type="gramEnd"/>
      <w:r w:rsidRPr="00410822">
        <w:t xml:space="preserve"> Whether and when? Probability and timing of incumbents’ entry into emerging industrial subfields, </w:t>
      </w:r>
      <w:r w:rsidRPr="00410822">
        <w:rPr>
          <w:i/>
        </w:rPr>
        <w:t>Administrative Science Quarterly</w:t>
      </w:r>
      <w:r w:rsidRPr="00410822">
        <w:t>, 34: 208-230.</w:t>
      </w:r>
    </w:p>
    <w:p w:rsidR="0015445D" w:rsidRPr="00410822" w:rsidRDefault="0015445D" w:rsidP="0015445D">
      <w:pPr>
        <w:ind w:left="720" w:hanging="720"/>
        <w:jc w:val="both"/>
      </w:pPr>
      <w:proofErr w:type="gramStart"/>
      <w:r>
        <w:t>Mitchell</w:t>
      </w:r>
      <w:r w:rsidRPr="00410822">
        <w:t xml:space="preserve"> W. 1991.</w:t>
      </w:r>
      <w:proofErr w:type="gramEnd"/>
      <w:r w:rsidRPr="00410822">
        <w:t xml:space="preserve"> Dual clocks: entry order influences on incumbent and newcomer market share and survival when specialized assets retain their value, </w:t>
      </w:r>
      <w:r w:rsidRPr="00410822">
        <w:rPr>
          <w:i/>
        </w:rPr>
        <w:t>Strategic Management Journal</w:t>
      </w:r>
      <w:r w:rsidRPr="00410822">
        <w:t>, 12(2): 85-100.</w:t>
      </w:r>
    </w:p>
    <w:p w:rsidR="0015445D" w:rsidRDefault="0015445D" w:rsidP="0015445D">
      <w:pPr>
        <w:ind w:left="720" w:hanging="720"/>
        <w:jc w:val="both"/>
      </w:pPr>
      <w:r>
        <w:lastRenderedPageBreak/>
        <w:t>Mitchell W</w:t>
      </w:r>
      <w:r w:rsidRPr="00410822">
        <w:t>, Shaver</w:t>
      </w:r>
      <w:r>
        <w:t xml:space="preserve"> JM</w:t>
      </w:r>
      <w:r w:rsidRPr="00410822">
        <w:t>, Yeung</w:t>
      </w:r>
      <w:r w:rsidRPr="000B4B24">
        <w:t xml:space="preserve"> </w:t>
      </w:r>
      <w:r>
        <w:t>B</w:t>
      </w:r>
      <w:r w:rsidRPr="00410822">
        <w:t>. 1</w:t>
      </w:r>
      <w:r>
        <w:t>992</w:t>
      </w:r>
      <w:r w:rsidRPr="00410822">
        <w:t xml:space="preserve">. </w:t>
      </w:r>
      <w:proofErr w:type="gramStart"/>
      <w:r>
        <w:t>Getting there in a global industry: Impacts on performance of changing international presence</w:t>
      </w:r>
      <w:r w:rsidRPr="00410822">
        <w:t xml:space="preserve">, </w:t>
      </w:r>
      <w:r w:rsidRPr="00410822">
        <w:rPr>
          <w:i/>
        </w:rPr>
        <w:t>Strategic Management Journal</w:t>
      </w:r>
      <w:r>
        <w:t>, 13</w:t>
      </w:r>
      <w:r w:rsidRPr="00410822">
        <w:t xml:space="preserve">: </w:t>
      </w:r>
      <w:r>
        <w:t>419-432</w:t>
      </w:r>
      <w:r w:rsidRPr="00410822">
        <w:t>.</w:t>
      </w:r>
      <w:proofErr w:type="gramEnd"/>
    </w:p>
    <w:p w:rsidR="0015445D" w:rsidRPr="00410822" w:rsidRDefault="0015445D" w:rsidP="0015445D">
      <w:pPr>
        <w:ind w:left="720" w:hanging="720"/>
        <w:jc w:val="both"/>
      </w:pPr>
      <w:r>
        <w:t>Mitchell W</w:t>
      </w:r>
      <w:r w:rsidRPr="00410822">
        <w:t>, Shaver</w:t>
      </w:r>
      <w:r>
        <w:t xml:space="preserve"> JM</w:t>
      </w:r>
      <w:r w:rsidRPr="00410822">
        <w:t>, Yeung</w:t>
      </w:r>
      <w:r w:rsidRPr="000B4B24">
        <w:t xml:space="preserve"> </w:t>
      </w:r>
      <w:r>
        <w:t>B</w:t>
      </w:r>
      <w:r w:rsidRPr="00410822">
        <w:t xml:space="preserve">. 1994. Foreign entrant survival and foreign market share: Canadian companies’ experience in United States medical sector markets, </w:t>
      </w:r>
      <w:r w:rsidRPr="00410822">
        <w:rPr>
          <w:i/>
        </w:rPr>
        <w:t>Strategic Management Journal</w:t>
      </w:r>
      <w:r w:rsidRPr="00410822">
        <w:t>, 15: 555-567.</w:t>
      </w:r>
    </w:p>
    <w:p w:rsidR="0015445D" w:rsidRPr="00410822" w:rsidRDefault="0015445D" w:rsidP="0015445D">
      <w:pPr>
        <w:ind w:left="720" w:hanging="720"/>
        <w:jc w:val="both"/>
      </w:pPr>
      <w:proofErr w:type="spellStart"/>
      <w:r>
        <w:t>Morck</w:t>
      </w:r>
      <w:proofErr w:type="spellEnd"/>
      <w:r w:rsidRPr="00410822">
        <w:t xml:space="preserve"> R, </w:t>
      </w:r>
      <w:proofErr w:type="spellStart"/>
      <w:r w:rsidRPr="00410822">
        <w:t>Wolfenzon</w:t>
      </w:r>
      <w:proofErr w:type="spellEnd"/>
      <w:r w:rsidRPr="005831AB">
        <w:t xml:space="preserve"> </w:t>
      </w:r>
      <w:r>
        <w:t>D,</w:t>
      </w:r>
      <w:r w:rsidRPr="00410822">
        <w:t xml:space="preserve"> Yeung</w:t>
      </w:r>
      <w:r w:rsidRPr="005831AB">
        <w:t xml:space="preserve"> </w:t>
      </w:r>
      <w:r>
        <w:t>B</w:t>
      </w:r>
      <w:r w:rsidRPr="00410822">
        <w:t xml:space="preserve">. </w:t>
      </w:r>
      <w:r>
        <w:t xml:space="preserve">2005. </w:t>
      </w:r>
      <w:proofErr w:type="gramStart"/>
      <w:r w:rsidRPr="00410822">
        <w:t>Corporate governance, economic entrenchment, and growth.</w:t>
      </w:r>
      <w:proofErr w:type="gramEnd"/>
      <w:r w:rsidRPr="00410822">
        <w:t xml:space="preserve"> </w:t>
      </w:r>
      <w:proofErr w:type="gramStart"/>
      <w:r w:rsidRPr="00410822">
        <w:rPr>
          <w:i/>
        </w:rPr>
        <w:t>Journal of Economic Literature</w:t>
      </w:r>
      <w:r w:rsidRPr="00410822">
        <w:t>.</w:t>
      </w:r>
      <w:proofErr w:type="gramEnd"/>
      <w:r w:rsidRPr="00410822">
        <w:t xml:space="preserve"> XLIII: 657-722. </w:t>
      </w:r>
    </w:p>
    <w:p w:rsidR="0015445D" w:rsidRPr="00410822" w:rsidRDefault="0015445D" w:rsidP="0015445D">
      <w:pPr>
        <w:ind w:left="720" w:hanging="720"/>
        <w:jc w:val="both"/>
      </w:pPr>
      <w:r>
        <w:t>Morck R,</w:t>
      </w:r>
      <w:r w:rsidRPr="00410822">
        <w:t xml:space="preserve"> Yeung</w:t>
      </w:r>
      <w:r>
        <w:t xml:space="preserve"> B</w:t>
      </w:r>
      <w:r w:rsidRPr="00410822">
        <w:t xml:space="preserve">. 1992. Internalization: an event study test. </w:t>
      </w:r>
      <w:proofErr w:type="gramStart"/>
      <w:r w:rsidRPr="00410822">
        <w:rPr>
          <w:i/>
        </w:rPr>
        <w:t>Journal of International Economics</w:t>
      </w:r>
      <w:r w:rsidRPr="00410822">
        <w:t>.</w:t>
      </w:r>
      <w:proofErr w:type="gramEnd"/>
      <w:r w:rsidRPr="00410822">
        <w:t xml:space="preserve"> 33: 41-56.</w:t>
      </w:r>
    </w:p>
    <w:p w:rsidR="00E12713" w:rsidRPr="00E12713" w:rsidRDefault="00E12713" w:rsidP="0015445D">
      <w:pPr>
        <w:ind w:left="720" w:hanging="720"/>
        <w:jc w:val="both"/>
      </w:pPr>
      <w:proofErr w:type="gramStart"/>
      <w:r>
        <w:rPr>
          <w:i/>
        </w:rPr>
        <w:t>Oil and Gas Journal</w:t>
      </w:r>
      <w:r>
        <w:t>.</w:t>
      </w:r>
      <w:proofErr w:type="gramEnd"/>
      <w:r>
        <w:t xml:space="preserve"> 1990. </w:t>
      </w:r>
      <w:proofErr w:type="spellStart"/>
      <w:r>
        <w:t>Tengiz</w:t>
      </w:r>
      <w:proofErr w:type="spellEnd"/>
      <w:r>
        <w:t xml:space="preserve"> holds promise, problems for Soviets, </w:t>
      </w:r>
      <w:r w:rsidR="00293773">
        <w:t>18 June: 20.</w:t>
      </w:r>
    </w:p>
    <w:p w:rsidR="0015445D" w:rsidRPr="00410822" w:rsidRDefault="0015445D" w:rsidP="0015445D">
      <w:pPr>
        <w:ind w:left="720" w:hanging="720"/>
        <w:jc w:val="both"/>
      </w:pPr>
      <w:r w:rsidRPr="001E28EC">
        <w:t xml:space="preserve">Pacheco-de-Almeida G, Hawk </w:t>
      </w:r>
      <w:proofErr w:type="gramStart"/>
      <w:r w:rsidRPr="001E28EC">
        <w:t>A</w:t>
      </w:r>
      <w:proofErr w:type="gramEnd"/>
      <w:r w:rsidRPr="001E28EC">
        <w:t xml:space="preserve">, Yeung B. </w:t>
      </w:r>
      <w:r w:rsidRPr="00410822">
        <w:t xml:space="preserve">2010. </w:t>
      </w:r>
      <w:proofErr w:type="gramStart"/>
      <w:r w:rsidRPr="00410822">
        <w:rPr>
          <w:i/>
        </w:rPr>
        <w:t>Speed and Tobin’s Q</w:t>
      </w:r>
      <w:r w:rsidRPr="00410822">
        <w:t>, Working Paper, NYU Stern School of Business.</w:t>
      </w:r>
      <w:proofErr w:type="gramEnd"/>
    </w:p>
    <w:p w:rsidR="0015445D" w:rsidRPr="00A55401" w:rsidRDefault="0015445D" w:rsidP="0015445D">
      <w:pPr>
        <w:ind w:left="720" w:hanging="720"/>
        <w:jc w:val="both"/>
        <w:rPr>
          <w:b/>
        </w:rPr>
      </w:pPr>
      <w:r w:rsidRPr="001E28EC">
        <w:rPr>
          <w:lang w:val="fr-FR"/>
        </w:rPr>
        <w:t xml:space="preserve">Pacheco-de-Almeida G, Henderson JE, Cool KO. 2008. </w:t>
      </w:r>
      <w:r w:rsidRPr="00410822">
        <w:t xml:space="preserve">Resolving the commitment versus flexibility trade-off: the role of resource accumulation lags, </w:t>
      </w:r>
      <w:r w:rsidRPr="00410822">
        <w:rPr>
          <w:i/>
        </w:rPr>
        <w:t>Academy of Management Journal</w:t>
      </w:r>
      <w:r>
        <w:t>.</w:t>
      </w:r>
    </w:p>
    <w:p w:rsidR="0015445D" w:rsidRPr="00410822" w:rsidRDefault="0015445D" w:rsidP="0015445D">
      <w:pPr>
        <w:ind w:left="720" w:hanging="720"/>
        <w:jc w:val="both"/>
      </w:pPr>
      <w:proofErr w:type="spellStart"/>
      <w:proofErr w:type="gramStart"/>
      <w:r>
        <w:t>Pindyck</w:t>
      </w:r>
      <w:proofErr w:type="spellEnd"/>
      <w:r>
        <w:t xml:space="preserve"> RS</w:t>
      </w:r>
      <w:r w:rsidRPr="00410822">
        <w:t>.</w:t>
      </w:r>
      <w:proofErr w:type="gramEnd"/>
      <w:r w:rsidRPr="00410822">
        <w:t xml:space="preserve"> 1991. Irreversibility, uncertainty, and investment, </w:t>
      </w:r>
      <w:r w:rsidRPr="00410822">
        <w:rPr>
          <w:i/>
        </w:rPr>
        <w:t>Journal of Economic Literature</w:t>
      </w:r>
      <w:r w:rsidRPr="00410822">
        <w:t>, 29(3): 1110-1148.</w:t>
      </w:r>
    </w:p>
    <w:p w:rsidR="0015445D" w:rsidRPr="00410822" w:rsidRDefault="0015445D" w:rsidP="0015445D">
      <w:pPr>
        <w:ind w:left="720" w:hanging="720"/>
        <w:jc w:val="both"/>
      </w:pPr>
      <w:r>
        <w:t>Salomon R,</w:t>
      </w:r>
      <w:r w:rsidRPr="00410822">
        <w:t xml:space="preserve"> Martin</w:t>
      </w:r>
      <w:r>
        <w:t xml:space="preserve"> X</w:t>
      </w:r>
      <w:r w:rsidRPr="00410822">
        <w:t xml:space="preserve">. 2008. Learning, knowledge transfer, and technology implementation performance: A study of ‘Time-to-Build’ in the global semiconductor industry, </w:t>
      </w:r>
      <w:r w:rsidRPr="00410822">
        <w:rPr>
          <w:i/>
        </w:rPr>
        <w:t>Management Science</w:t>
      </w:r>
      <w:r w:rsidRPr="00410822">
        <w:t xml:space="preserve">, 54: 32. </w:t>
      </w:r>
    </w:p>
    <w:p w:rsidR="0015445D" w:rsidRPr="00410822" w:rsidRDefault="0015445D" w:rsidP="0015445D">
      <w:pPr>
        <w:ind w:left="720" w:hanging="720"/>
        <w:jc w:val="both"/>
      </w:pPr>
      <w:r>
        <w:t>Shan W,</w:t>
      </w:r>
      <w:r w:rsidRPr="00410822">
        <w:t xml:space="preserve"> Song</w:t>
      </w:r>
      <w:r w:rsidRPr="005831AB">
        <w:t xml:space="preserve"> </w:t>
      </w:r>
      <w:r>
        <w:t>J</w:t>
      </w:r>
      <w:r w:rsidRPr="00410822">
        <w:t xml:space="preserve">. 1997. Foreign direct investment and the sourcing of technological advantage: evidence from the biotechnology industry, </w:t>
      </w:r>
      <w:r w:rsidRPr="00410822">
        <w:rPr>
          <w:i/>
        </w:rPr>
        <w:t>Journal of International Business Studies</w:t>
      </w:r>
      <w:r w:rsidRPr="00410822">
        <w:t>, 28(2): 267-284.</w:t>
      </w:r>
    </w:p>
    <w:p w:rsidR="0015445D" w:rsidRPr="00410822" w:rsidRDefault="0015445D" w:rsidP="0015445D">
      <w:pPr>
        <w:ind w:left="720" w:hanging="720"/>
        <w:jc w:val="both"/>
      </w:pPr>
      <w:proofErr w:type="gramStart"/>
      <w:r>
        <w:t>Shaver</w:t>
      </w:r>
      <w:r w:rsidRPr="00410822">
        <w:t xml:space="preserve"> J</w:t>
      </w:r>
      <w:r>
        <w:t>M</w:t>
      </w:r>
      <w:r w:rsidRPr="00410822">
        <w:t>, Mitchell</w:t>
      </w:r>
      <w:r w:rsidRPr="005831AB">
        <w:t xml:space="preserve"> </w:t>
      </w:r>
      <w:r>
        <w:t xml:space="preserve">W, </w:t>
      </w:r>
      <w:r w:rsidRPr="00410822">
        <w:t>Yeung</w:t>
      </w:r>
      <w:r w:rsidRPr="005831AB">
        <w:t xml:space="preserve"> </w:t>
      </w:r>
      <w:r>
        <w:t>B</w:t>
      </w:r>
      <w:r w:rsidRPr="00410822">
        <w:t>. 1997.</w:t>
      </w:r>
      <w:proofErr w:type="gramEnd"/>
      <w:r w:rsidRPr="00410822">
        <w:t xml:space="preserve"> The effect of own-firm and other-firm experience in foreign direct investment survival in the </w:t>
      </w:r>
      <w:proofErr w:type="gramStart"/>
      <w:r w:rsidRPr="00410822">
        <w:t>united states</w:t>
      </w:r>
      <w:proofErr w:type="gramEnd"/>
      <w:r w:rsidRPr="00410822">
        <w:t xml:space="preserve">, 1987-92. </w:t>
      </w:r>
      <w:r w:rsidRPr="00410822">
        <w:rPr>
          <w:i/>
        </w:rPr>
        <w:t>Strategic Management Journal</w:t>
      </w:r>
      <w:r w:rsidRPr="00410822">
        <w:t xml:space="preserve"> 18: 811-824.</w:t>
      </w:r>
    </w:p>
    <w:p w:rsidR="0015445D" w:rsidRPr="00410822" w:rsidRDefault="0015445D" w:rsidP="0015445D">
      <w:pPr>
        <w:ind w:left="720" w:hanging="720"/>
        <w:jc w:val="both"/>
      </w:pPr>
      <w:r>
        <w:t>Spence A</w:t>
      </w:r>
      <w:r w:rsidRPr="00410822">
        <w:t xml:space="preserve">M. 1979. Investment strategy and growth in a new market. </w:t>
      </w:r>
      <w:r w:rsidRPr="00410822">
        <w:rPr>
          <w:i/>
        </w:rPr>
        <w:t>Bell Journal of Economics</w:t>
      </w:r>
      <w:r w:rsidRPr="00410822">
        <w:t>, 10(1): 1-18.</w:t>
      </w:r>
    </w:p>
    <w:p w:rsidR="0015445D" w:rsidRPr="00410822" w:rsidRDefault="0015445D" w:rsidP="0015445D">
      <w:pPr>
        <w:ind w:left="720" w:hanging="720"/>
        <w:jc w:val="both"/>
      </w:pPr>
      <w:r>
        <w:t>Stalk</w:t>
      </w:r>
      <w:r w:rsidRPr="00410822">
        <w:t xml:space="preserve"> G. 1988. Time – The next source of competitive advantage, </w:t>
      </w:r>
      <w:r w:rsidRPr="00410822">
        <w:rPr>
          <w:i/>
        </w:rPr>
        <w:t>Harvard Business Review</w:t>
      </w:r>
      <w:r w:rsidRPr="00410822">
        <w:t>, 66: 41-51.</w:t>
      </w:r>
    </w:p>
    <w:p w:rsidR="0015445D" w:rsidRPr="00410822" w:rsidRDefault="0015445D" w:rsidP="0015445D">
      <w:pPr>
        <w:ind w:left="720" w:hanging="720"/>
        <w:jc w:val="both"/>
      </w:pPr>
      <w:r>
        <w:t>Stalk G,</w:t>
      </w:r>
      <w:r w:rsidRPr="00410822">
        <w:t xml:space="preserve"> </w:t>
      </w:r>
      <w:proofErr w:type="spellStart"/>
      <w:r w:rsidRPr="00410822">
        <w:t>Hout</w:t>
      </w:r>
      <w:proofErr w:type="spellEnd"/>
      <w:r w:rsidRPr="00740F28">
        <w:t xml:space="preserve"> </w:t>
      </w:r>
      <w:r>
        <w:t>TM</w:t>
      </w:r>
      <w:r w:rsidRPr="00410822">
        <w:t xml:space="preserve">. 1990. </w:t>
      </w:r>
      <w:r w:rsidRPr="00410822">
        <w:rPr>
          <w:i/>
        </w:rPr>
        <w:t>Competing Against Time</w:t>
      </w:r>
      <w:r w:rsidRPr="00410822">
        <w:t xml:space="preserve">, </w:t>
      </w:r>
      <w:proofErr w:type="gramStart"/>
      <w:r w:rsidRPr="00410822">
        <w:t>The</w:t>
      </w:r>
      <w:proofErr w:type="gramEnd"/>
      <w:r w:rsidRPr="00410822">
        <w:t xml:space="preserve"> Free Press: New York, NY.</w:t>
      </w:r>
    </w:p>
    <w:p w:rsidR="0015445D" w:rsidRPr="00410822" w:rsidRDefault="0015445D" w:rsidP="0015445D">
      <w:pPr>
        <w:ind w:left="720" w:hanging="720"/>
        <w:jc w:val="both"/>
      </w:pPr>
      <w:proofErr w:type="spellStart"/>
      <w:r>
        <w:t>Teece</w:t>
      </w:r>
      <w:proofErr w:type="spellEnd"/>
      <w:r>
        <w:t>, DJ</w:t>
      </w:r>
      <w:r w:rsidRPr="00410822">
        <w:t xml:space="preserve">. 2007. Explicating dynamic capabilities: the nature and </w:t>
      </w:r>
      <w:proofErr w:type="spellStart"/>
      <w:r w:rsidRPr="00410822">
        <w:t>microfoundations</w:t>
      </w:r>
      <w:proofErr w:type="spellEnd"/>
      <w:r w:rsidRPr="00410822">
        <w:t xml:space="preserve"> of (sustainable) enterprise performance, </w:t>
      </w:r>
      <w:r w:rsidRPr="00410822">
        <w:rPr>
          <w:i/>
        </w:rPr>
        <w:t>Strategic Management Journal</w:t>
      </w:r>
      <w:r w:rsidRPr="00410822">
        <w:t>.</w:t>
      </w:r>
    </w:p>
    <w:p w:rsidR="0015445D" w:rsidRPr="00410822" w:rsidRDefault="0015445D" w:rsidP="0015445D">
      <w:pPr>
        <w:ind w:left="720" w:hanging="720"/>
        <w:jc w:val="both"/>
      </w:pPr>
      <w:proofErr w:type="spellStart"/>
      <w:r>
        <w:t>Teece</w:t>
      </w:r>
      <w:proofErr w:type="spellEnd"/>
      <w:r>
        <w:t>, DJ</w:t>
      </w:r>
      <w:r w:rsidRPr="00410822">
        <w:t>, Pisano</w:t>
      </w:r>
      <w:r w:rsidRPr="00740F28">
        <w:t xml:space="preserve"> </w:t>
      </w:r>
      <w:r>
        <w:t>G,</w:t>
      </w:r>
      <w:r w:rsidRPr="00410822">
        <w:t xml:space="preserve"> </w:t>
      </w:r>
      <w:proofErr w:type="spellStart"/>
      <w:r w:rsidRPr="00410822">
        <w:t>Shuen</w:t>
      </w:r>
      <w:proofErr w:type="spellEnd"/>
      <w:r w:rsidRPr="00740F28">
        <w:t xml:space="preserve"> </w:t>
      </w:r>
      <w:r>
        <w:t>A</w:t>
      </w:r>
      <w:r w:rsidRPr="00410822">
        <w:t xml:space="preserve">. 1997. Dynamic capabilities and strategic management, </w:t>
      </w:r>
      <w:r w:rsidRPr="00410822">
        <w:rPr>
          <w:i/>
        </w:rPr>
        <w:t>Strategic Management Journal</w:t>
      </w:r>
      <w:r w:rsidRPr="00410822">
        <w:t>, 18(7): 509-533.</w:t>
      </w:r>
    </w:p>
    <w:p w:rsidR="0015445D" w:rsidRPr="00410822" w:rsidRDefault="0015445D" w:rsidP="0015445D">
      <w:pPr>
        <w:ind w:left="720" w:hanging="720"/>
        <w:jc w:val="both"/>
      </w:pPr>
      <w:proofErr w:type="spellStart"/>
      <w:r>
        <w:t>Tusiani</w:t>
      </w:r>
      <w:proofErr w:type="spellEnd"/>
      <w:r>
        <w:t xml:space="preserve"> MD,</w:t>
      </w:r>
      <w:r w:rsidRPr="00410822">
        <w:t xml:space="preserve"> Shearer</w:t>
      </w:r>
      <w:r w:rsidRPr="00740F28">
        <w:t xml:space="preserve"> </w:t>
      </w:r>
      <w:r>
        <w:t>G</w:t>
      </w:r>
      <w:r w:rsidRPr="00410822">
        <w:t xml:space="preserve">. 2007. </w:t>
      </w:r>
      <w:r w:rsidRPr="00410822">
        <w:rPr>
          <w:i/>
        </w:rPr>
        <w:t>LNG, A nontechnical guide</w:t>
      </w:r>
      <w:r w:rsidRPr="00410822">
        <w:t xml:space="preserve">, Tulsa, Oklahoma: </w:t>
      </w:r>
      <w:proofErr w:type="spellStart"/>
      <w:r w:rsidRPr="00410822">
        <w:t>PennWell</w:t>
      </w:r>
      <w:proofErr w:type="spellEnd"/>
      <w:r w:rsidRPr="00410822">
        <w:t xml:space="preserve"> Corporation.</w:t>
      </w:r>
    </w:p>
    <w:p w:rsidR="0015445D" w:rsidRPr="00410822" w:rsidRDefault="0015445D" w:rsidP="0015445D">
      <w:pPr>
        <w:ind w:left="720" w:hanging="720"/>
        <w:jc w:val="both"/>
      </w:pPr>
      <w:r>
        <w:t xml:space="preserve">Weems PR, </w:t>
      </w:r>
      <w:r w:rsidRPr="00410822">
        <w:t>Rogers</w:t>
      </w:r>
      <w:r w:rsidRPr="00740F28">
        <w:t xml:space="preserve"> </w:t>
      </w:r>
      <w:r>
        <w:t>D</w:t>
      </w:r>
      <w:r w:rsidRPr="00410822">
        <w:t xml:space="preserve">R. 2007. Atlantic Basin sees rapid growth; Mideast capacity plays major role, </w:t>
      </w:r>
      <w:r w:rsidRPr="00410822">
        <w:rPr>
          <w:i/>
        </w:rPr>
        <w:t>LNG Observer</w:t>
      </w:r>
      <w:r w:rsidRPr="00410822">
        <w:t xml:space="preserve">, 4(2). </w:t>
      </w:r>
    </w:p>
    <w:p w:rsidR="0015445D" w:rsidRPr="00410822" w:rsidRDefault="0015445D" w:rsidP="0015445D">
      <w:pPr>
        <w:ind w:left="720" w:hanging="720"/>
        <w:jc w:val="both"/>
      </w:pPr>
      <w:r>
        <w:t>Zimmerman MB</w:t>
      </w:r>
      <w:r w:rsidRPr="00410822">
        <w:t xml:space="preserve">. 1982. Learning effects and the commercialization of new energy technologies: the case of nuclear power, </w:t>
      </w:r>
      <w:r w:rsidRPr="00410822">
        <w:rPr>
          <w:i/>
        </w:rPr>
        <w:t>The Bell Journal of Economics</w:t>
      </w:r>
      <w:r w:rsidRPr="00410822">
        <w:t>, 13(2): 297-310.</w:t>
      </w:r>
    </w:p>
    <w:p w:rsidR="0015445D" w:rsidRDefault="0015445D" w:rsidP="0015445D">
      <w:pPr>
        <w:jc w:val="both"/>
      </w:pPr>
    </w:p>
    <w:p w:rsidR="00B80406" w:rsidRDefault="00B80406">
      <w:pPr>
        <w:spacing w:after="200" w:line="276" w:lineRule="auto"/>
      </w:pPr>
      <w:r>
        <w:br w:type="page"/>
      </w:r>
    </w:p>
    <w:p w:rsidR="00A21FAD" w:rsidRPr="00410822" w:rsidRDefault="00A21FAD" w:rsidP="00A21FAD">
      <w:pPr>
        <w:jc w:val="center"/>
      </w:pPr>
      <w:r>
        <w:rPr>
          <w:noProof/>
          <w:lang w:eastAsia="zh-CN"/>
        </w:rPr>
        <w:lastRenderedPageBreak/>
        <w:drawing>
          <wp:inline distT="0" distB="0" distL="0" distR="0" wp14:anchorId="2F197B95" wp14:editId="7FA6C330">
            <wp:extent cx="5114925" cy="3743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rsidR="00A21FAD" w:rsidRPr="00410822" w:rsidRDefault="00A21FAD" w:rsidP="00A21FAD"/>
    <w:p w:rsidR="00A21FAD" w:rsidRPr="005445A6" w:rsidRDefault="00A21FAD" w:rsidP="00A21FAD">
      <w:pPr>
        <w:jc w:val="center"/>
      </w:pPr>
      <w:r>
        <w:t>Figure 1: Global liquefied natural gas (LNG) i</w:t>
      </w:r>
      <w:r w:rsidRPr="005445A6">
        <w:t>ndustry 1978-2007</w:t>
      </w:r>
      <w:r>
        <w:rPr>
          <w:rStyle w:val="FootnoteReference"/>
        </w:rPr>
        <w:footnoteReference w:id="13"/>
      </w:r>
    </w:p>
    <w:p w:rsidR="00A21FAD" w:rsidRDefault="00A21FAD" w:rsidP="00A21FAD">
      <w:pPr>
        <w:jc w:val="center"/>
        <w:rPr>
          <w:b/>
        </w:rPr>
      </w:pPr>
    </w:p>
    <w:p w:rsidR="0015445D" w:rsidRDefault="0015445D" w:rsidP="0015445D">
      <w:pPr>
        <w:jc w:val="center"/>
        <w:rPr>
          <w:b/>
        </w:rPr>
      </w:pPr>
    </w:p>
    <w:p w:rsidR="00A21FAD" w:rsidRDefault="00A21FAD" w:rsidP="0015445D">
      <w:pPr>
        <w:jc w:val="center"/>
        <w:rPr>
          <w:b/>
        </w:rPr>
      </w:pPr>
    </w:p>
    <w:p w:rsidR="00A21FAD" w:rsidRDefault="00A21FAD" w:rsidP="0015445D">
      <w:pPr>
        <w:jc w:val="center"/>
        <w:rPr>
          <w:b/>
        </w:rPr>
      </w:pPr>
    </w:p>
    <w:p w:rsidR="00A21FAD" w:rsidRDefault="00A21FAD" w:rsidP="0015445D">
      <w:pPr>
        <w:jc w:val="center"/>
        <w:rPr>
          <w:b/>
        </w:rPr>
      </w:pPr>
    </w:p>
    <w:p w:rsidR="00A21FAD" w:rsidRDefault="00A21FAD" w:rsidP="0015445D">
      <w:pPr>
        <w:jc w:val="center"/>
        <w:rPr>
          <w:b/>
        </w:rPr>
      </w:pPr>
    </w:p>
    <w:p w:rsidR="00A21FAD" w:rsidRDefault="00A21FAD" w:rsidP="0015445D">
      <w:pPr>
        <w:jc w:val="center"/>
        <w:rPr>
          <w:b/>
        </w:rPr>
      </w:pPr>
    </w:p>
    <w:p w:rsidR="00A21FAD" w:rsidRDefault="00A21FAD" w:rsidP="0015445D">
      <w:pPr>
        <w:jc w:val="center"/>
        <w:rPr>
          <w:b/>
        </w:rPr>
      </w:pPr>
    </w:p>
    <w:p w:rsidR="00A21FAD" w:rsidRDefault="00A21FAD" w:rsidP="0015445D">
      <w:pPr>
        <w:jc w:val="center"/>
        <w:rPr>
          <w:b/>
        </w:rPr>
      </w:pPr>
    </w:p>
    <w:p w:rsidR="00A21FAD" w:rsidRDefault="00A21FAD" w:rsidP="0015445D">
      <w:pPr>
        <w:jc w:val="center"/>
        <w:rPr>
          <w:b/>
        </w:rPr>
      </w:pPr>
    </w:p>
    <w:p w:rsidR="00A21FAD" w:rsidRDefault="00A21FAD" w:rsidP="0015445D">
      <w:pPr>
        <w:jc w:val="center"/>
        <w:rPr>
          <w:b/>
        </w:rPr>
      </w:pPr>
    </w:p>
    <w:p w:rsidR="00A21FAD" w:rsidRDefault="00A21FAD" w:rsidP="0015445D">
      <w:pPr>
        <w:jc w:val="center"/>
        <w:rPr>
          <w:b/>
        </w:rPr>
      </w:pPr>
    </w:p>
    <w:p w:rsidR="00A21FAD" w:rsidRDefault="00A21FAD" w:rsidP="0015445D">
      <w:pPr>
        <w:jc w:val="center"/>
        <w:rPr>
          <w:b/>
        </w:rPr>
      </w:pPr>
    </w:p>
    <w:p w:rsidR="00A21FAD" w:rsidRDefault="00A21FAD" w:rsidP="0015445D">
      <w:pPr>
        <w:jc w:val="center"/>
        <w:rPr>
          <w:b/>
        </w:rPr>
      </w:pPr>
    </w:p>
    <w:p w:rsidR="00A21FAD" w:rsidRDefault="00A21FAD" w:rsidP="0015445D">
      <w:pPr>
        <w:jc w:val="center"/>
        <w:rPr>
          <w:b/>
        </w:rPr>
      </w:pPr>
    </w:p>
    <w:p w:rsidR="00A21FAD" w:rsidRDefault="00A21FAD" w:rsidP="0015445D">
      <w:pPr>
        <w:jc w:val="center"/>
        <w:rPr>
          <w:b/>
        </w:rPr>
      </w:pPr>
    </w:p>
    <w:p w:rsidR="00A21FAD" w:rsidRDefault="00A21FAD" w:rsidP="0015445D">
      <w:pPr>
        <w:jc w:val="center"/>
        <w:rPr>
          <w:b/>
        </w:rPr>
      </w:pPr>
    </w:p>
    <w:p w:rsidR="00A21FAD" w:rsidRDefault="00A21FAD" w:rsidP="0015445D">
      <w:pPr>
        <w:jc w:val="center"/>
        <w:rPr>
          <w:b/>
        </w:rPr>
      </w:pPr>
    </w:p>
    <w:p w:rsidR="00A21FAD" w:rsidRDefault="00A21FAD" w:rsidP="0015445D">
      <w:pPr>
        <w:jc w:val="center"/>
        <w:rPr>
          <w:b/>
        </w:rPr>
      </w:pPr>
    </w:p>
    <w:p w:rsidR="00A21FAD" w:rsidRDefault="00A21FAD" w:rsidP="0015445D">
      <w:pPr>
        <w:jc w:val="center"/>
        <w:rPr>
          <w:b/>
        </w:rPr>
      </w:pPr>
    </w:p>
    <w:p w:rsidR="0015445D" w:rsidRDefault="0015445D" w:rsidP="0015445D">
      <w:pPr>
        <w:jc w:val="center"/>
        <w:rPr>
          <w:b/>
          <w:sz w:val="22"/>
          <w:szCs w:val="22"/>
        </w:rPr>
        <w:sectPr w:rsidR="0015445D" w:rsidSect="0085587A">
          <w:headerReference w:type="even" r:id="rId15"/>
          <w:headerReference w:type="default" r:id="rId16"/>
          <w:pgSz w:w="12240" w:h="15840" w:code="1"/>
          <w:pgMar w:top="1440" w:right="1440" w:bottom="1440" w:left="1440" w:header="720" w:footer="720" w:gutter="0"/>
          <w:cols w:space="720"/>
          <w:titlePg/>
          <w:docGrid w:linePitch="360"/>
        </w:sectPr>
      </w:pPr>
    </w:p>
    <w:p w:rsidR="0015445D" w:rsidRPr="00CE603C" w:rsidRDefault="0015445D" w:rsidP="0015445D">
      <w:r w:rsidRPr="00CE603C">
        <w:rPr>
          <w:sz w:val="22"/>
          <w:szCs w:val="22"/>
        </w:rPr>
        <w:lastRenderedPageBreak/>
        <w:t xml:space="preserve">Table </w:t>
      </w:r>
      <w:r w:rsidR="00741230">
        <w:rPr>
          <w:sz w:val="22"/>
          <w:szCs w:val="22"/>
        </w:rPr>
        <w:t>1</w:t>
      </w:r>
      <w:r>
        <w:rPr>
          <w:sz w:val="22"/>
          <w:szCs w:val="22"/>
        </w:rPr>
        <w:t xml:space="preserve">: </w:t>
      </w:r>
      <w:r w:rsidR="00741230">
        <w:rPr>
          <w:sz w:val="22"/>
          <w:szCs w:val="22"/>
        </w:rPr>
        <w:t>Descriptive statistics and c</w:t>
      </w:r>
      <w:r>
        <w:rPr>
          <w:sz w:val="22"/>
          <w:szCs w:val="22"/>
        </w:rPr>
        <w:t>orrelation m</w:t>
      </w:r>
      <w:r w:rsidRPr="00CE603C">
        <w:rPr>
          <w:sz w:val="22"/>
          <w:szCs w:val="22"/>
        </w:rPr>
        <w:t>atrix</w:t>
      </w:r>
      <w:r>
        <w:rPr>
          <w:sz w:val="22"/>
          <w:szCs w:val="22"/>
        </w:rPr>
        <w:t xml:space="preserve"> for all y</w:t>
      </w:r>
      <w:r w:rsidRPr="00CE603C">
        <w:rPr>
          <w:sz w:val="22"/>
          <w:szCs w:val="22"/>
        </w:rPr>
        <w:t>ears</w:t>
      </w:r>
    </w:p>
    <w:p w:rsidR="0015445D" w:rsidRDefault="0015445D" w:rsidP="0015445D">
      <w:pPr>
        <w:jc w:val="center"/>
        <w:rPr>
          <w:b/>
          <w:sz w:val="22"/>
          <w:szCs w:val="22"/>
        </w:rPr>
      </w:pPr>
    </w:p>
    <w:tbl>
      <w:tblPr>
        <w:tblW w:w="15155" w:type="dxa"/>
        <w:jc w:val="center"/>
        <w:tblInd w:w="-280" w:type="dxa"/>
        <w:tblCellMar>
          <w:left w:w="115" w:type="dxa"/>
          <w:right w:w="115" w:type="dxa"/>
        </w:tblCellMar>
        <w:tblLook w:val="01E0" w:firstRow="1" w:lastRow="1" w:firstColumn="1" w:lastColumn="1" w:noHBand="0" w:noVBand="0"/>
      </w:tblPr>
      <w:tblGrid>
        <w:gridCol w:w="1933"/>
        <w:gridCol w:w="720"/>
        <w:gridCol w:w="725"/>
        <w:gridCol w:w="702"/>
        <w:gridCol w:w="711"/>
        <w:gridCol w:w="711"/>
        <w:gridCol w:w="710"/>
        <w:gridCol w:w="710"/>
        <w:gridCol w:w="710"/>
        <w:gridCol w:w="710"/>
        <w:gridCol w:w="710"/>
        <w:gridCol w:w="710"/>
        <w:gridCol w:w="710"/>
        <w:gridCol w:w="710"/>
        <w:gridCol w:w="710"/>
        <w:gridCol w:w="710"/>
        <w:gridCol w:w="710"/>
        <w:gridCol w:w="710"/>
        <w:gridCol w:w="703"/>
        <w:gridCol w:w="430"/>
      </w:tblGrid>
      <w:tr w:rsidR="00170AAC" w:rsidRPr="007F23EE" w:rsidTr="001F124F">
        <w:trPr>
          <w:trHeight w:val="365"/>
          <w:jc w:val="center"/>
        </w:trPr>
        <w:tc>
          <w:tcPr>
            <w:tcW w:w="1941" w:type="dxa"/>
            <w:tcBorders>
              <w:top w:val="single" w:sz="12" w:space="0" w:color="auto"/>
              <w:bottom w:val="single" w:sz="12" w:space="0" w:color="auto"/>
            </w:tcBorders>
          </w:tcPr>
          <w:p w:rsidR="00741230" w:rsidRPr="001F124F" w:rsidRDefault="00741230" w:rsidP="0067738E">
            <w:pPr>
              <w:jc w:val="center"/>
              <w:rPr>
                <w:sz w:val="20"/>
                <w:szCs w:val="20"/>
              </w:rPr>
            </w:pPr>
            <w:r w:rsidRPr="001F124F">
              <w:rPr>
                <w:sz w:val="20"/>
                <w:szCs w:val="20"/>
              </w:rPr>
              <w:t>Variable</w:t>
            </w:r>
          </w:p>
        </w:tc>
        <w:tc>
          <w:tcPr>
            <w:tcW w:w="719" w:type="dxa"/>
            <w:tcBorders>
              <w:top w:val="single" w:sz="12" w:space="0" w:color="auto"/>
              <w:bottom w:val="single" w:sz="12" w:space="0" w:color="auto"/>
            </w:tcBorders>
          </w:tcPr>
          <w:p w:rsidR="00741230" w:rsidRPr="001F124F" w:rsidRDefault="00741230" w:rsidP="0085587A">
            <w:pPr>
              <w:jc w:val="center"/>
              <w:rPr>
                <w:sz w:val="20"/>
                <w:szCs w:val="20"/>
              </w:rPr>
            </w:pPr>
            <w:r w:rsidRPr="001F124F">
              <w:rPr>
                <w:sz w:val="20"/>
                <w:szCs w:val="20"/>
              </w:rPr>
              <w:t xml:space="preserve">Mean </w:t>
            </w:r>
          </w:p>
        </w:tc>
        <w:tc>
          <w:tcPr>
            <w:tcW w:w="725" w:type="dxa"/>
            <w:tcBorders>
              <w:top w:val="single" w:sz="12" w:space="0" w:color="auto"/>
              <w:bottom w:val="single" w:sz="12" w:space="0" w:color="auto"/>
            </w:tcBorders>
          </w:tcPr>
          <w:p w:rsidR="00741230" w:rsidRPr="001F124F" w:rsidRDefault="00741230" w:rsidP="0085587A">
            <w:pPr>
              <w:jc w:val="center"/>
              <w:rPr>
                <w:sz w:val="20"/>
                <w:szCs w:val="20"/>
              </w:rPr>
            </w:pPr>
            <w:r w:rsidRPr="001F124F">
              <w:rPr>
                <w:sz w:val="20"/>
                <w:szCs w:val="20"/>
              </w:rPr>
              <w:t>S.D.</w:t>
            </w:r>
          </w:p>
        </w:tc>
        <w:tc>
          <w:tcPr>
            <w:tcW w:w="702" w:type="dxa"/>
            <w:tcBorders>
              <w:top w:val="single" w:sz="12" w:space="0" w:color="auto"/>
              <w:bottom w:val="single" w:sz="12" w:space="0" w:color="auto"/>
            </w:tcBorders>
          </w:tcPr>
          <w:p w:rsidR="00741230" w:rsidRPr="001F124F" w:rsidRDefault="00741230" w:rsidP="0085587A">
            <w:pPr>
              <w:jc w:val="center"/>
              <w:rPr>
                <w:sz w:val="20"/>
                <w:szCs w:val="20"/>
              </w:rPr>
            </w:pPr>
            <w:r w:rsidRPr="001F124F">
              <w:rPr>
                <w:sz w:val="20"/>
                <w:szCs w:val="20"/>
              </w:rPr>
              <w:t>1</w:t>
            </w:r>
          </w:p>
        </w:tc>
        <w:tc>
          <w:tcPr>
            <w:tcW w:w="712" w:type="dxa"/>
            <w:tcBorders>
              <w:top w:val="single" w:sz="12" w:space="0" w:color="auto"/>
              <w:bottom w:val="single" w:sz="12" w:space="0" w:color="auto"/>
            </w:tcBorders>
          </w:tcPr>
          <w:p w:rsidR="00741230" w:rsidRPr="001F124F" w:rsidRDefault="00741230" w:rsidP="0085587A">
            <w:pPr>
              <w:jc w:val="center"/>
              <w:rPr>
                <w:sz w:val="20"/>
                <w:szCs w:val="20"/>
              </w:rPr>
            </w:pPr>
            <w:r w:rsidRPr="001F124F">
              <w:rPr>
                <w:sz w:val="20"/>
                <w:szCs w:val="20"/>
              </w:rPr>
              <w:t>2</w:t>
            </w:r>
          </w:p>
        </w:tc>
        <w:tc>
          <w:tcPr>
            <w:tcW w:w="712" w:type="dxa"/>
            <w:tcBorders>
              <w:top w:val="single" w:sz="12" w:space="0" w:color="auto"/>
              <w:bottom w:val="single" w:sz="12" w:space="0" w:color="auto"/>
            </w:tcBorders>
          </w:tcPr>
          <w:p w:rsidR="00741230" w:rsidRPr="001F124F" w:rsidRDefault="00741230" w:rsidP="0085587A">
            <w:pPr>
              <w:jc w:val="center"/>
              <w:rPr>
                <w:sz w:val="20"/>
                <w:szCs w:val="20"/>
              </w:rPr>
            </w:pPr>
            <w:r w:rsidRPr="001F124F">
              <w:rPr>
                <w:sz w:val="20"/>
                <w:szCs w:val="20"/>
              </w:rPr>
              <w:t>3</w:t>
            </w:r>
          </w:p>
        </w:tc>
        <w:tc>
          <w:tcPr>
            <w:tcW w:w="712" w:type="dxa"/>
            <w:tcBorders>
              <w:top w:val="single" w:sz="12" w:space="0" w:color="auto"/>
              <w:bottom w:val="single" w:sz="12" w:space="0" w:color="auto"/>
            </w:tcBorders>
          </w:tcPr>
          <w:p w:rsidR="00741230" w:rsidRPr="001F124F" w:rsidRDefault="00741230" w:rsidP="0085587A">
            <w:pPr>
              <w:jc w:val="center"/>
              <w:rPr>
                <w:sz w:val="20"/>
                <w:szCs w:val="20"/>
              </w:rPr>
            </w:pPr>
            <w:r w:rsidRPr="001F124F">
              <w:rPr>
                <w:sz w:val="20"/>
                <w:szCs w:val="20"/>
              </w:rPr>
              <w:t>4</w:t>
            </w:r>
          </w:p>
        </w:tc>
        <w:tc>
          <w:tcPr>
            <w:tcW w:w="712" w:type="dxa"/>
            <w:tcBorders>
              <w:top w:val="single" w:sz="12" w:space="0" w:color="auto"/>
              <w:bottom w:val="single" w:sz="12" w:space="0" w:color="auto"/>
            </w:tcBorders>
          </w:tcPr>
          <w:p w:rsidR="00741230" w:rsidRPr="001F124F" w:rsidRDefault="00741230" w:rsidP="0085587A">
            <w:pPr>
              <w:jc w:val="center"/>
              <w:rPr>
                <w:sz w:val="20"/>
                <w:szCs w:val="20"/>
              </w:rPr>
            </w:pPr>
            <w:r w:rsidRPr="001F124F">
              <w:rPr>
                <w:sz w:val="20"/>
                <w:szCs w:val="20"/>
              </w:rPr>
              <w:t>5</w:t>
            </w:r>
          </w:p>
        </w:tc>
        <w:tc>
          <w:tcPr>
            <w:tcW w:w="712" w:type="dxa"/>
            <w:tcBorders>
              <w:top w:val="single" w:sz="12" w:space="0" w:color="auto"/>
              <w:bottom w:val="single" w:sz="12" w:space="0" w:color="auto"/>
            </w:tcBorders>
          </w:tcPr>
          <w:p w:rsidR="00741230" w:rsidRPr="001F124F" w:rsidRDefault="00741230" w:rsidP="0085587A">
            <w:pPr>
              <w:jc w:val="center"/>
              <w:rPr>
                <w:sz w:val="20"/>
                <w:szCs w:val="20"/>
              </w:rPr>
            </w:pPr>
            <w:r w:rsidRPr="001F124F">
              <w:rPr>
                <w:sz w:val="20"/>
                <w:szCs w:val="20"/>
              </w:rPr>
              <w:t>6</w:t>
            </w:r>
          </w:p>
        </w:tc>
        <w:tc>
          <w:tcPr>
            <w:tcW w:w="712" w:type="dxa"/>
            <w:tcBorders>
              <w:top w:val="single" w:sz="12" w:space="0" w:color="auto"/>
              <w:bottom w:val="single" w:sz="12" w:space="0" w:color="auto"/>
            </w:tcBorders>
          </w:tcPr>
          <w:p w:rsidR="00741230" w:rsidRPr="001F124F" w:rsidRDefault="00741230" w:rsidP="0085587A">
            <w:pPr>
              <w:jc w:val="center"/>
              <w:rPr>
                <w:sz w:val="20"/>
                <w:szCs w:val="20"/>
              </w:rPr>
            </w:pPr>
            <w:r w:rsidRPr="001F124F">
              <w:rPr>
                <w:sz w:val="20"/>
                <w:szCs w:val="20"/>
              </w:rPr>
              <w:t>7</w:t>
            </w:r>
          </w:p>
        </w:tc>
        <w:tc>
          <w:tcPr>
            <w:tcW w:w="712" w:type="dxa"/>
            <w:tcBorders>
              <w:top w:val="single" w:sz="12" w:space="0" w:color="auto"/>
              <w:bottom w:val="single" w:sz="12" w:space="0" w:color="auto"/>
            </w:tcBorders>
          </w:tcPr>
          <w:p w:rsidR="00741230" w:rsidRPr="001F124F" w:rsidRDefault="00741230" w:rsidP="0085587A">
            <w:pPr>
              <w:jc w:val="center"/>
              <w:rPr>
                <w:sz w:val="20"/>
                <w:szCs w:val="20"/>
              </w:rPr>
            </w:pPr>
            <w:r w:rsidRPr="001F124F">
              <w:rPr>
                <w:sz w:val="20"/>
                <w:szCs w:val="20"/>
              </w:rPr>
              <w:t>8</w:t>
            </w:r>
          </w:p>
        </w:tc>
        <w:tc>
          <w:tcPr>
            <w:tcW w:w="712" w:type="dxa"/>
            <w:tcBorders>
              <w:top w:val="single" w:sz="12" w:space="0" w:color="auto"/>
              <w:bottom w:val="single" w:sz="12" w:space="0" w:color="auto"/>
            </w:tcBorders>
          </w:tcPr>
          <w:p w:rsidR="00741230" w:rsidRPr="001F124F" w:rsidRDefault="00741230" w:rsidP="0085587A">
            <w:pPr>
              <w:jc w:val="center"/>
              <w:rPr>
                <w:sz w:val="20"/>
                <w:szCs w:val="20"/>
              </w:rPr>
            </w:pPr>
            <w:r w:rsidRPr="001F124F">
              <w:rPr>
                <w:sz w:val="20"/>
                <w:szCs w:val="20"/>
              </w:rPr>
              <w:t>9</w:t>
            </w:r>
          </w:p>
        </w:tc>
        <w:tc>
          <w:tcPr>
            <w:tcW w:w="712" w:type="dxa"/>
            <w:tcBorders>
              <w:top w:val="single" w:sz="12" w:space="0" w:color="auto"/>
              <w:bottom w:val="single" w:sz="12" w:space="0" w:color="auto"/>
            </w:tcBorders>
          </w:tcPr>
          <w:p w:rsidR="00741230" w:rsidRPr="001F124F" w:rsidRDefault="00741230" w:rsidP="0085587A">
            <w:pPr>
              <w:jc w:val="center"/>
              <w:rPr>
                <w:sz w:val="20"/>
                <w:szCs w:val="20"/>
              </w:rPr>
            </w:pPr>
            <w:r w:rsidRPr="001F124F">
              <w:rPr>
                <w:sz w:val="20"/>
                <w:szCs w:val="20"/>
              </w:rPr>
              <w:t>10</w:t>
            </w:r>
          </w:p>
        </w:tc>
        <w:tc>
          <w:tcPr>
            <w:tcW w:w="712" w:type="dxa"/>
            <w:tcBorders>
              <w:top w:val="single" w:sz="12" w:space="0" w:color="auto"/>
              <w:bottom w:val="single" w:sz="12" w:space="0" w:color="auto"/>
            </w:tcBorders>
          </w:tcPr>
          <w:p w:rsidR="00741230" w:rsidRPr="001F124F" w:rsidRDefault="00741230" w:rsidP="0085587A">
            <w:pPr>
              <w:jc w:val="center"/>
              <w:rPr>
                <w:sz w:val="20"/>
                <w:szCs w:val="20"/>
              </w:rPr>
            </w:pPr>
            <w:r w:rsidRPr="001F124F">
              <w:rPr>
                <w:sz w:val="20"/>
                <w:szCs w:val="20"/>
              </w:rPr>
              <w:t>11</w:t>
            </w:r>
          </w:p>
        </w:tc>
        <w:tc>
          <w:tcPr>
            <w:tcW w:w="712" w:type="dxa"/>
            <w:tcBorders>
              <w:top w:val="single" w:sz="12" w:space="0" w:color="auto"/>
              <w:bottom w:val="single" w:sz="12" w:space="0" w:color="auto"/>
            </w:tcBorders>
          </w:tcPr>
          <w:p w:rsidR="00741230" w:rsidRPr="001F124F" w:rsidRDefault="00741230" w:rsidP="0085587A">
            <w:pPr>
              <w:jc w:val="center"/>
              <w:rPr>
                <w:sz w:val="20"/>
                <w:szCs w:val="20"/>
              </w:rPr>
            </w:pPr>
            <w:r w:rsidRPr="001F124F">
              <w:rPr>
                <w:sz w:val="20"/>
                <w:szCs w:val="20"/>
              </w:rPr>
              <w:t>12</w:t>
            </w:r>
          </w:p>
        </w:tc>
        <w:tc>
          <w:tcPr>
            <w:tcW w:w="712" w:type="dxa"/>
            <w:tcBorders>
              <w:top w:val="single" w:sz="12" w:space="0" w:color="auto"/>
              <w:bottom w:val="single" w:sz="12" w:space="0" w:color="auto"/>
            </w:tcBorders>
          </w:tcPr>
          <w:p w:rsidR="00741230" w:rsidRPr="001F124F" w:rsidRDefault="00741230" w:rsidP="0085587A">
            <w:pPr>
              <w:jc w:val="center"/>
              <w:rPr>
                <w:sz w:val="20"/>
                <w:szCs w:val="20"/>
              </w:rPr>
            </w:pPr>
            <w:r w:rsidRPr="001F124F">
              <w:rPr>
                <w:sz w:val="20"/>
                <w:szCs w:val="20"/>
              </w:rPr>
              <w:t>13</w:t>
            </w:r>
          </w:p>
        </w:tc>
        <w:tc>
          <w:tcPr>
            <w:tcW w:w="712" w:type="dxa"/>
            <w:tcBorders>
              <w:top w:val="single" w:sz="12" w:space="0" w:color="auto"/>
              <w:bottom w:val="single" w:sz="12" w:space="0" w:color="auto"/>
            </w:tcBorders>
          </w:tcPr>
          <w:p w:rsidR="00741230" w:rsidRPr="001F124F" w:rsidRDefault="00741230" w:rsidP="0085587A">
            <w:pPr>
              <w:jc w:val="center"/>
              <w:rPr>
                <w:sz w:val="20"/>
                <w:szCs w:val="20"/>
              </w:rPr>
            </w:pPr>
            <w:r w:rsidRPr="001F124F">
              <w:rPr>
                <w:sz w:val="20"/>
                <w:szCs w:val="20"/>
              </w:rPr>
              <w:t>14</w:t>
            </w:r>
          </w:p>
        </w:tc>
        <w:tc>
          <w:tcPr>
            <w:tcW w:w="712" w:type="dxa"/>
            <w:tcBorders>
              <w:top w:val="single" w:sz="12" w:space="0" w:color="auto"/>
              <w:bottom w:val="single" w:sz="12" w:space="0" w:color="auto"/>
            </w:tcBorders>
          </w:tcPr>
          <w:p w:rsidR="00741230" w:rsidRPr="001F124F" w:rsidRDefault="00741230" w:rsidP="0085587A">
            <w:pPr>
              <w:jc w:val="center"/>
              <w:rPr>
                <w:sz w:val="20"/>
                <w:szCs w:val="20"/>
              </w:rPr>
            </w:pPr>
            <w:r w:rsidRPr="001F124F">
              <w:rPr>
                <w:sz w:val="20"/>
                <w:szCs w:val="20"/>
              </w:rPr>
              <w:t>15</w:t>
            </w:r>
          </w:p>
        </w:tc>
        <w:tc>
          <w:tcPr>
            <w:tcW w:w="704" w:type="dxa"/>
            <w:tcBorders>
              <w:top w:val="single" w:sz="12" w:space="0" w:color="auto"/>
              <w:bottom w:val="single" w:sz="12" w:space="0" w:color="auto"/>
            </w:tcBorders>
          </w:tcPr>
          <w:p w:rsidR="00741230" w:rsidRPr="001F124F" w:rsidRDefault="00741230" w:rsidP="0085587A">
            <w:pPr>
              <w:jc w:val="center"/>
              <w:rPr>
                <w:sz w:val="20"/>
                <w:szCs w:val="20"/>
              </w:rPr>
            </w:pPr>
            <w:r w:rsidRPr="001F124F">
              <w:rPr>
                <w:sz w:val="20"/>
                <w:szCs w:val="20"/>
              </w:rPr>
              <w:t>16</w:t>
            </w:r>
          </w:p>
        </w:tc>
        <w:tc>
          <w:tcPr>
            <w:tcW w:w="396" w:type="dxa"/>
            <w:tcBorders>
              <w:top w:val="single" w:sz="12" w:space="0" w:color="auto"/>
              <w:bottom w:val="single" w:sz="12" w:space="0" w:color="auto"/>
            </w:tcBorders>
          </w:tcPr>
          <w:p w:rsidR="00741230" w:rsidRPr="001F124F" w:rsidRDefault="00741230" w:rsidP="0085587A">
            <w:pPr>
              <w:jc w:val="center"/>
              <w:rPr>
                <w:sz w:val="20"/>
                <w:szCs w:val="20"/>
              </w:rPr>
            </w:pPr>
            <w:r w:rsidRPr="001F124F">
              <w:rPr>
                <w:sz w:val="20"/>
                <w:szCs w:val="20"/>
              </w:rPr>
              <w:t>17</w:t>
            </w:r>
          </w:p>
        </w:tc>
      </w:tr>
      <w:tr w:rsidR="00170AAC" w:rsidRPr="007F23EE" w:rsidTr="001F124F">
        <w:trPr>
          <w:trHeight w:val="162"/>
          <w:jc w:val="center"/>
        </w:trPr>
        <w:tc>
          <w:tcPr>
            <w:tcW w:w="1941" w:type="dxa"/>
            <w:tcBorders>
              <w:top w:val="single" w:sz="12" w:space="0" w:color="auto"/>
            </w:tcBorders>
          </w:tcPr>
          <w:p w:rsidR="00741230" w:rsidRPr="001F124F" w:rsidRDefault="00741230" w:rsidP="0085587A">
            <w:pPr>
              <w:rPr>
                <w:sz w:val="20"/>
                <w:szCs w:val="20"/>
              </w:rPr>
            </w:pPr>
            <w:r w:rsidRPr="001F124F">
              <w:rPr>
                <w:sz w:val="20"/>
                <w:szCs w:val="20"/>
              </w:rPr>
              <w:t xml:space="preserve">1. </w:t>
            </w:r>
            <w:proofErr w:type="spellStart"/>
            <w:r w:rsidRPr="001F124F">
              <w:rPr>
                <w:sz w:val="20"/>
                <w:szCs w:val="20"/>
              </w:rPr>
              <w:t>LNG|Entry</w:t>
            </w:r>
            <w:proofErr w:type="spellEnd"/>
            <w:r w:rsidRPr="001F124F">
              <w:rPr>
                <w:sz w:val="20"/>
                <w:szCs w:val="20"/>
              </w:rPr>
              <w:t xml:space="preserve"> </w:t>
            </w:r>
          </w:p>
        </w:tc>
        <w:tc>
          <w:tcPr>
            <w:tcW w:w="719" w:type="dxa"/>
            <w:tcBorders>
              <w:top w:val="single" w:sz="12" w:space="0" w:color="auto"/>
            </w:tcBorders>
          </w:tcPr>
          <w:p w:rsidR="00741230" w:rsidRPr="007F23EE" w:rsidRDefault="00741230" w:rsidP="0085587A">
            <w:pPr>
              <w:jc w:val="center"/>
              <w:rPr>
                <w:sz w:val="20"/>
                <w:szCs w:val="20"/>
              </w:rPr>
            </w:pPr>
            <w:r>
              <w:rPr>
                <w:sz w:val="20"/>
                <w:szCs w:val="20"/>
              </w:rPr>
              <w:t>0</w:t>
            </w:r>
            <w:r w:rsidRPr="00CE603C">
              <w:rPr>
                <w:sz w:val="20"/>
                <w:szCs w:val="20"/>
              </w:rPr>
              <w:t>.22</w:t>
            </w:r>
          </w:p>
        </w:tc>
        <w:tc>
          <w:tcPr>
            <w:tcW w:w="725" w:type="dxa"/>
            <w:tcBorders>
              <w:top w:val="single" w:sz="12" w:space="0" w:color="auto"/>
            </w:tcBorders>
          </w:tcPr>
          <w:p w:rsidR="00741230" w:rsidRPr="007F23EE" w:rsidRDefault="00741230" w:rsidP="0085587A">
            <w:pPr>
              <w:jc w:val="center"/>
              <w:rPr>
                <w:sz w:val="20"/>
                <w:szCs w:val="20"/>
              </w:rPr>
            </w:pPr>
            <w:r>
              <w:rPr>
                <w:sz w:val="20"/>
                <w:szCs w:val="20"/>
              </w:rPr>
              <w:t>0</w:t>
            </w:r>
            <w:r w:rsidRPr="00CE603C">
              <w:rPr>
                <w:sz w:val="20"/>
                <w:szCs w:val="20"/>
              </w:rPr>
              <w:t>.41</w:t>
            </w:r>
          </w:p>
        </w:tc>
        <w:tc>
          <w:tcPr>
            <w:tcW w:w="702" w:type="dxa"/>
            <w:tcBorders>
              <w:top w:val="single" w:sz="12" w:space="0" w:color="auto"/>
            </w:tcBorders>
          </w:tcPr>
          <w:p w:rsidR="00741230" w:rsidRPr="007F23EE" w:rsidRDefault="00741230" w:rsidP="0085587A">
            <w:pPr>
              <w:jc w:val="center"/>
              <w:rPr>
                <w:sz w:val="20"/>
                <w:szCs w:val="20"/>
              </w:rPr>
            </w:pPr>
            <w:r w:rsidRPr="007F23EE">
              <w:rPr>
                <w:sz w:val="20"/>
                <w:szCs w:val="20"/>
              </w:rPr>
              <w:t>1</w:t>
            </w:r>
          </w:p>
        </w:tc>
        <w:tc>
          <w:tcPr>
            <w:tcW w:w="712" w:type="dxa"/>
            <w:tcBorders>
              <w:top w:val="single" w:sz="12" w:space="0" w:color="auto"/>
            </w:tcBorders>
          </w:tcPr>
          <w:p w:rsidR="00741230" w:rsidRPr="007F23EE" w:rsidRDefault="00741230" w:rsidP="0085587A">
            <w:pPr>
              <w:jc w:val="center"/>
              <w:rPr>
                <w:sz w:val="20"/>
                <w:szCs w:val="20"/>
              </w:rPr>
            </w:pPr>
          </w:p>
        </w:tc>
        <w:tc>
          <w:tcPr>
            <w:tcW w:w="712" w:type="dxa"/>
            <w:tcBorders>
              <w:top w:val="single" w:sz="12" w:space="0" w:color="auto"/>
            </w:tcBorders>
          </w:tcPr>
          <w:p w:rsidR="00741230" w:rsidRPr="007F23EE" w:rsidRDefault="00741230" w:rsidP="0085587A">
            <w:pPr>
              <w:jc w:val="center"/>
              <w:rPr>
                <w:sz w:val="20"/>
                <w:szCs w:val="20"/>
              </w:rPr>
            </w:pPr>
          </w:p>
        </w:tc>
        <w:tc>
          <w:tcPr>
            <w:tcW w:w="712" w:type="dxa"/>
            <w:tcBorders>
              <w:top w:val="single" w:sz="12" w:space="0" w:color="auto"/>
            </w:tcBorders>
          </w:tcPr>
          <w:p w:rsidR="00741230" w:rsidRPr="007F23EE" w:rsidRDefault="00741230" w:rsidP="0085587A">
            <w:pPr>
              <w:jc w:val="center"/>
              <w:rPr>
                <w:sz w:val="20"/>
                <w:szCs w:val="20"/>
              </w:rPr>
            </w:pPr>
          </w:p>
        </w:tc>
        <w:tc>
          <w:tcPr>
            <w:tcW w:w="712" w:type="dxa"/>
            <w:tcBorders>
              <w:top w:val="single" w:sz="12" w:space="0" w:color="auto"/>
            </w:tcBorders>
          </w:tcPr>
          <w:p w:rsidR="00741230" w:rsidRPr="007F23EE" w:rsidRDefault="00741230" w:rsidP="0085587A">
            <w:pPr>
              <w:jc w:val="center"/>
              <w:rPr>
                <w:sz w:val="20"/>
                <w:szCs w:val="20"/>
              </w:rPr>
            </w:pPr>
          </w:p>
        </w:tc>
        <w:tc>
          <w:tcPr>
            <w:tcW w:w="712" w:type="dxa"/>
            <w:tcBorders>
              <w:top w:val="single" w:sz="12" w:space="0" w:color="auto"/>
            </w:tcBorders>
          </w:tcPr>
          <w:p w:rsidR="00741230" w:rsidRPr="007F23EE" w:rsidRDefault="00741230" w:rsidP="0085587A">
            <w:pPr>
              <w:jc w:val="center"/>
              <w:rPr>
                <w:sz w:val="20"/>
                <w:szCs w:val="20"/>
              </w:rPr>
            </w:pPr>
          </w:p>
        </w:tc>
        <w:tc>
          <w:tcPr>
            <w:tcW w:w="712" w:type="dxa"/>
            <w:tcBorders>
              <w:top w:val="single" w:sz="12" w:space="0" w:color="auto"/>
            </w:tcBorders>
          </w:tcPr>
          <w:p w:rsidR="00741230" w:rsidRPr="007F23EE" w:rsidRDefault="00741230" w:rsidP="0085587A">
            <w:pPr>
              <w:jc w:val="center"/>
              <w:rPr>
                <w:sz w:val="20"/>
                <w:szCs w:val="20"/>
              </w:rPr>
            </w:pPr>
          </w:p>
        </w:tc>
        <w:tc>
          <w:tcPr>
            <w:tcW w:w="712" w:type="dxa"/>
            <w:tcBorders>
              <w:top w:val="single" w:sz="12" w:space="0" w:color="auto"/>
            </w:tcBorders>
          </w:tcPr>
          <w:p w:rsidR="00741230" w:rsidRPr="007F23EE" w:rsidRDefault="00741230" w:rsidP="0085587A">
            <w:pPr>
              <w:jc w:val="center"/>
              <w:rPr>
                <w:sz w:val="20"/>
                <w:szCs w:val="20"/>
              </w:rPr>
            </w:pPr>
          </w:p>
        </w:tc>
        <w:tc>
          <w:tcPr>
            <w:tcW w:w="712" w:type="dxa"/>
            <w:tcBorders>
              <w:top w:val="single" w:sz="12" w:space="0" w:color="auto"/>
            </w:tcBorders>
          </w:tcPr>
          <w:p w:rsidR="00741230" w:rsidRPr="007F23EE" w:rsidRDefault="00741230" w:rsidP="0085587A">
            <w:pPr>
              <w:jc w:val="center"/>
              <w:rPr>
                <w:sz w:val="20"/>
                <w:szCs w:val="20"/>
              </w:rPr>
            </w:pPr>
          </w:p>
        </w:tc>
        <w:tc>
          <w:tcPr>
            <w:tcW w:w="712" w:type="dxa"/>
            <w:tcBorders>
              <w:top w:val="single" w:sz="12" w:space="0" w:color="auto"/>
            </w:tcBorders>
          </w:tcPr>
          <w:p w:rsidR="00741230" w:rsidRPr="007F23EE" w:rsidRDefault="00741230" w:rsidP="0085587A">
            <w:pPr>
              <w:jc w:val="center"/>
              <w:rPr>
                <w:sz w:val="20"/>
                <w:szCs w:val="20"/>
              </w:rPr>
            </w:pPr>
          </w:p>
        </w:tc>
        <w:tc>
          <w:tcPr>
            <w:tcW w:w="712" w:type="dxa"/>
            <w:tcBorders>
              <w:top w:val="single" w:sz="12" w:space="0" w:color="auto"/>
            </w:tcBorders>
          </w:tcPr>
          <w:p w:rsidR="00741230" w:rsidRPr="007F23EE" w:rsidRDefault="00741230" w:rsidP="0085587A">
            <w:pPr>
              <w:jc w:val="center"/>
              <w:rPr>
                <w:sz w:val="20"/>
                <w:szCs w:val="20"/>
              </w:rPr>
            </w:pPr>
          </w:p>
        </w:tc>
        <w:tc>
          <w:tcPr>
            <w:tcW w:w="712" w:type="dxa"/>
            <w:tcBorders>
              <w:top w:val="single" w:sz="12" w:space="0" w:color="auto"/>
            </w:tcBorders>
          </w:tcPr>
          <w:p w:rsidR="00741230" w:rsidRPr="007F23EE" w:rsidRDefault="00741230" w:rsidP="0085587A">
            <w:pPr>
              <w:jc w:val="center"/>
              <w:rPr>
                <w:sz w:val="20"/>
                <w:szCs w:val="20"/>
              </w:rPr>
            </w:pPr>
          </w:p>
        </w:tc>
        <w:tc>
          <w:tcPr>
            <w:tcW w:w="712" w:type="dxa"/>
            <w:tcBorders>
              <w:top w:val="single" w:sz="12" w:space="0" w:color="auto"/>
            </w:tcBorders>
          </w:tcPr>
          <w:p w:rsidR="00741230" w:rsidRPr="007F23EE" w:rsidRDefault="00741230" w:rsidP="0085587A">
            <w:pPr>
              <w:jc w:val="center"/>
              <w:rPr>
                <w:sz w:val="20"/>
                <w:szCs w:val="20"/>
              </w:rPr>
            </w:pPr>
          </w:p>
        </w:tc>
        <w:tc>
          <w:tcPr>
            <w:tcW w:w="712" w:type="dxa"/>
            <w:tcBorders>
              <w:top w:val="single" w:sz="12" w:space="0" w:color="auto"/>
            </w:tcBorders>
          </w:tcPr>
          <w:p w:rsidR="00741230" w:rsidRPr="007F23EE" w:rsidRDefault="00741230" w:rsidP="0085587A">
            <w:pPr>
              <w:jc w:val="center"/>
              <w:rPr>
                <w:sz w:val="20"/>
                <w:szCs w:val="20"/>
              </w:rPr>
            </w:pPr>
          </w:p>
        </w:tc>
        <w:tc>
          <w:tcPr>
            <w:tcW w:w="712" w:type="dxa"/>
            <w:tcBorders>
              <w:top w:val="single" w:sz="12" w:space="0" w:color="auto"/>
            </w:tcBorders>
          </w:tcPr>
          <w:p w:rsidR="00741230" w:rsidRPr="007F23EE" w:rsidRDefault="00741230" w:rsidP="0085587A">
            <w:pPr>
              <w:jc w:val="center"/>
              <w:rPr>
                <w:sz w:val="20"/>
                <w:szCs w:val="20"/>
              </w:rPr>
            </w:pPr>
          </w:p>
        </w:tc>
        <w:tc>
          <w:tcPr>
            <w:tcW w:w="704" w:type="dxa"/>
            <w:tcBorders>
              <w:top w:val="single" w:sz="12" w:space="0" w:color="auto"/>
            </w:tcBorders>
          </w:tcPr>
          <w:p w:rsidR="00741230" w:rsidRPr="007F23EE" w:rsidRDefault="00741230" w:rsidP="0085587A">
            <w:pPr>
              <w:jc w:val="center"/>
              <w:rPr>
                <w:sz w:val="20"/>
                <w:szCs w:val="20"/>
              </w:rPr>
            </w:pPr>
          </w:p>
        </w:tc>
        <w:tc>
          <w:tcPr>
            <w:tcW w:w="396" w:type="dxa"/>
            <w:tcBorders>
              <w:top w:val="single" w:sz="12" w:space="0" w:color="auto"/>
            </w:tcBorders>
          </w:tcPr>
          <w:p w:rsidR="00741230" w:rsidRPr="007F23EE" w:rsidRDefault="00741230" w:rsidP="0085587A">
            <w:pPr>
              <w:jc w:val="center"/>
              <w:rPr>
                <w:sz w:val="20"/>
                <w:szCs w:val="20"/>
              </w:rPr>
            </w:pPr>
          </w:p>
        </w:tc>
      </w:tr>
      <w:tr w:rsidR="00170AAC" w:rsidRPr="007F23EE" w:rsidTr="001F124F">
        <w:trPr>
          <w:trHeight w:val="181"/>
          <w:jc w:val="center"/>
        </w:trPr>
        <w:tc>
          <w:tcPr>
            <w:tcW w:w="1941" w:type="dxa"/>
          </w:tcPr>
          <w:p w:rsidR="00741230" w:rsidRPr="0067738E" w:rsidRDefault="00741230" w:rsidP="0085587A">
            <w:pPr>
              <w:rPr>
                <w:sz w:val="20"/>
                <w:szCs w:val="20"/>
              </w:rPr>
            </w:pPr>
            <w:r w:rsidRPr="001F124F">
              <w:rPr>
                <w:sz w:val="20"/>
                <w:szCs w:val="20"/>
              </w:rPr>
              <w:t xml:space="preserve">2. </w:t>
            </w:r>
            <w:proofErr w:type="spellStart"/>
            <w:r w:rsidRPr="001F124F">
              <w:rPr>
                <w:sz w:val="20"/>
                <w:szCs w:val="20"/>
              </w:rPr>
              <w:t>GAS|Entry</w:t>
            </w:r>
            <w:proofErr w:type="spellEnd"/>
          </w:p>
        </w:tc>
        <w:tc>
          <w:tcPr>
            <w:tcW w:w="719" w:type="dxa"/>
          </w:tcPr>
          <w:p w:rsidR="00741230" w:rsidRPr="007F23EE" w:rsidRDefault="00741230" w:rsidP="0085587A">
            <w:pPr>
              <w:jc w:val="center"/>
              <w:rPr>
                <w:sz w:val="20"/>
                <w:szCs w:val="20"/>
              </w:rPr>
            </w:pPr>
            <w:r>
              <w:rPr>
                <w:sz w:val="20"/>
                <w:szCs w:val="20"/>
              </w:rPr>
              <w:t>0</w:t>
            </w:r>
            <w:r w:rsidRPr="00CE603C">
              <w:rPr>
                <w:sz w:val="20"/>
                <w:szCs w:val="20"/>
              </w:rPr>
              <w:t>.14</w:t>
            </w:r>
          </w:p>
        </w:tc>
        <w:tc>
          <w:tcPr>
            <w:tcW w:w="725" w:type="dxa"/>
          </w:tcPr>
          <w:p w:rsidR="00741230" w:rsidRPr="007F23EE" w:rsidRDefault="00741230" w:rsidP="0085587A">
            <w:pPr>
              <w:jc w:val="center"/>
              <w:rPr>
                <w:sz w:val="20"/>
                <w:szCs w:val="20"/>
              </w:rPr>
            </w:pPr>
            <w:r>
              <w:rPr>
                <w:sz w:val="20"/>
                <w:szCs w:val="20"/>
              </w:rPr>
              <w:t>0</w:t>
            </w:r>
            <w:r w:rsidRPr="00CE603C">
              <w:rPr>
                <w:sz w:val="20"/>
                <w:szCs w:val="20"/>
              </w:rPr>
              <w:t>.35</w:t>
            </w:r>
          </w:p>
        </w:tc>
        <w:tc>
          <w:tcPr>
            <w:tcW w:w="702" w:type="dxa"/>
          </w:tcPr>
          <w:p w:rsidR="00741230" w:rsidRPr="007F23EE" w:rsidRDefault="00741230" w:rsidP="0085587A">
            <w:pPr>
              <w:jc w:val="center"/>
              <w:rPr>
                <w:sz w:val="20"/>
                <w:szCs w:val="20"/>
              </w:rPr>
            </w:pPr>
            <w:r w:rsidRPr="007F23EE">
              <w:rPr>
                <w:sz w:val="20"/>
                <w:szCs w:val="20"/>
              </w:rPr>
              <w:t>0.77</w:t>
            </w:r>
          </w:p>
        </w:tc>
        <w:tc>
          <w:tcPr>
            <w:tcW w:w="712" w:type="dxa"/>
          </w:tcPr>
          <w:p w:rsidR="00741230" w:rsidRPr="007F23EE" w:rsidRDefault="00741230" w:rsidP="0085587A">
            <w:pPr>
              <w:jc w:val="center"/>
              <w:rPr>
                <w:sz w:val="20"/>
                <w:szCs w:val="20"/>
              </w:rPr>
            </w:pPr>
            <w:r w:rsidRPr="007F23EE">
              <w:rPr>
                <w:sz w:val="20"/>
                <w:szCs w:val="20"/>
              </w:rPr>
              <w:t>1</w:t>
            </w: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04" w:type="dxa"/>
          </w:tcPr>
          <w:p w:rsidR="00741230" w:rsidRPr="007F23EE" w:rsidRDefault="00741230" w:rsidP="0085587A">
            <w:pPr>
              <w:jc w:val="center"/>
              <w:rPr>
                <w:sz w:val="20"/>
                <w:szCs w:val="20"/>
              </w:rPr>
            </w:pPr>
          </w:p>
        </w:tc>
        <w:tc>
          <w:tcPr>
            <w:tcW w:w="396" w:type="dxa"/>
          </w:tcPr>
          <w:p w:rsidR="00741230" w:rsidRPr="007F23EE" w:rsidRDefault="00741230" w:rsidP="0085587A">
            <w:pPr>
              <w:jc w:val="center"/>
              <w:rPr>
                <w:sz w:val="20"/>
                <w:szCs w:val="20"/>
              </w:rPr>
            </w:pPr>
          </w:p>
        </w:tc>
      </w:tr>
      <w:tr w:rsidR="00170AAC" w:rsidRPr="007F23EE" w:rsidTr="001F124F">
        <w:trPr>
          <w:trHeight w:val="162"/>
          <w:jc w:val="center"/>
        </w:trPr>
        <w:tc>
          <w:tcPr>
            <w:tcW w:w="1941" w:type="dxa"/>
          </w:tcPr>
          <w:p w:rsidR="00741230" w:rsidRPr="0067738E" w:rsidRDefault="00741230" w:rsidP="0085587A">
            <w:pPr>
              <w:rPr>
                <w:sz w:val="20"/>
                <w:szCs w:val="20"/>
              </w:rPr>
            </w:pPr>
            <w:r w:rsidRPr="001F124F">
              <w:rPr>
                <w:sz w:val="20"/>
                <w:szCs w:val="20"/>
              </w:rPr>
              <w:t xml:space="preserve">3. </w:t>
            </w:r>
            <w:proofErr w:type="spellStart"/>
            <w:r w:rsidRPr="001F124F">
              <w:rPr>
                <w:sz w:val="20"/>
                <w:szCs w:val="20"/>
              </w:rPr>
              <w:t>LIQ|Entry</w:t>
            </w:r>
            <w:proofErr w:type="spellEnd"/>
          </w:p>
        </w:tc>
        <w:tc>
          <w:tcPr>
            <w:tcW w:w="719" w:type="dxa"/>
          </w:tcPr>
          <w:p w:rsidR="00741230" w:rsidRPr="007F23EE" w:rsidRDefault="00741230" w:rsidP="0085587A">
            <w:pPr>
              <w:jc w:val="center"/>
              <w:rPr>
                <w:sz w:val="20"/>
                <w:szCs w:val="20"/>
              </w:rPr>
            </w:pPr>
            <w:r>
              <w:rPr>
                <w:sz w:val="20"/>
                <w:szCs w:val="20"/>
              </w:rPr>
              <w:t>0</w:t>
            </w:r>
            <w:r w:rsidRPr="00CE603C">
              <w:rPr>
                <w:sz w:val="20"/>
                <w:szCs w:val="20"/>
              </w:rPr>
              <w:t>.11</w:t>
            </w:r>
          </w:p>
        </w:tc>
        <w:tc>
          <w:tcPr>
            <w:tcW w:w="725" w:type="dxa"/>
          </w:tcPr>
          <w:p w:rsidR="00741230" w:rsidRPr="007F23EE" w:rsidRDefault="00741230" w:rsidP="0085587A">
            <w:pPr>
              <w:jc w:val="center"/>
              <w:rPr>
                <w:sz w:val="20"/>
                <w:szCs w:val="20"/>
              </w:rPr>
            </w:pPr>
            <w:r>
              <w:rPr>
                <w:sz w:val="20"/>
                <w:szCs w:val="20"/>
              </w:rPr>
              <w:t>0</w:t>
            </w:r>
            <w:r w:rsidRPr="00CE603C">
              <w:rPr>
                <w:sz w:val="20"/>
                <w:szCs w:val="20"/>
              </w:rPr>
              <w:t>.31</w:t>
            </w:r>
          </w:p>
        </w:tc>
        <w:tc>
          <w:tcPr>
            <w:tcW w:w="702" w:type="dxa"/>
          </w:tcPr>
          <w:p w:rsidR="00741230" w:rsidRPr="007F23EE" w:rsidRDefault="00741230" w:rsidP="0085587A">
            <w:pPr>
              <w:jc w:val="center"/>
              <w:rPr>
                <w:sz w:val="20"/>
                <w:szCs w:val="20"/>
              </w:rPr>
            </w:pPr>
            <w:r w:rsidRPr="007F23EE">
              <w:rPr>
                <w:sz w:val="20"/>
                <w:szCs w:val="20"/>
              </w:rPr>
              <w:t>0.65</w:t>
            </w:r>
          </w:p>
        </w:tc>
        <w:tc>
          <w:tcPr>
            <w:tcW w:w="712" w:type="dxa"/>
          </w:tcPr>
          <w:p w:rsidR="00741230" w:rsidRPr="007F23EE" w:rsidRDefault="00741230" w:rsidP="0085587A">
            <w:pPr>
              <w:jc w:val="center"/>
              <w:rPr>
                <w:sz w:val="20"/>
                <w:szCs w:val="20"/>
              </w:rPr>
            </w:pPr>
            <w:r w:rsidRPr="007F23EE">
              <w:rPr>
                <w:sz w:val="20"/>
                <w:szCs w:val="20"/>
              </w:rPr>
              <w:t>0.15</w:t>
            </w:r>
          </w:p>
        </w:tc>
        <w:tc>
          <w:tcPr>
            <w:tcW w:w="712" w:type="dxa"/>
          </w:tcPr>
          <w:p w:rsidR="00741230" w:rsidRPr="007F23EE" w:rsidRDefault="00741230" w:rsidP="0085587A">
            <w:pPr>
              <w:jc w:val="center"/>
              <w:rPr>
                <w:sz w:val="20"/>
                <w:szCs w:val="20"/>
              </w:rPr>
            </w:pPr>
            <w:r w:rsidRPr="007F23EE">
              <w:rPr>
                <w:sz w:val="20"/>
                <w:szCs w:val="20"/>
              </w:rPr>
              <w:t>1</w:t>
            </w: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04" w:type="dxa"/>
          </w:tcPr>
          <w:p w:rsidR="00741230" w:rsidRPr="007F23EE" w:rsidRDefault="00741230" w:rsidP="0085587A">
            <w:pPr>
              <w:jc w:val="center"/>
              <w:rPr>
                <w:sz w:val="20"/>
                <w:szCs w:val="20"/>
              </w:rPr>
            </w:pPr>
          </w:p>
        </w:tc>
        <w:tc>
          <w:tcPr>
            <w:tcW w:w="396" w:type="dxa"/>
          </w:tcPr>
          <w:p w:rsidR="00741230" w:rsidRPr="007F23EE" w:rsidRDefault="00741230" w:rsidP="0085587A">
            <w:pPr>
              <w:jc w:val="center"/>
              <w:rPr>
                <w:sz w:val="20"/>
                <w:szCs w:val="20"/>
              </w:rPr>
            </w:pPr>
          </w:p>
        </w:tc>
      </w:tr>
      <w:tr w:rsidR="00170AAC" w:rsidRPr="007F23EE" w:rsidTr="001F124F">
        <w:trPr>
          <w:trHeight w:val="181"/>
          <w:jc w:val="center"/>
        </w:trPr>
        <w:tc>
          <w:tcPr>
            <w:tcW w:w="1941" w:type="dxa"/>
          </w:tcPr>
          <w:p w:rsidR="00741230" w:rsidRPr="001F124F" w:rsidRDefault="00741230" w:rsidP="0085587A">
            <w:pPr>
              <w:rPr>
                <w:sz w:val="20"/>
                <w:szCs w:val="20"/>
              </w:rPr>
            </w:pPr>
            <w:r w:rsidRPr="001F124F">
              <w:rPr>
                <w:sz w:val="20"/>
                <w:szCs w:val="20"/>
              </w:rPr>
              <w:t>4. Speed Capability</w:t>
            </w:r>
          </w:p>
        </w:tc>
        <w:tc>
          <w:tcPr>
            <w:tcW w:w="719" w:type="dxa"/>
          </w:tcPr>
          <w:p w:rsidR="00741230" w:rsidRPr="007F23EE" w:rsidRDefault="00741230" w:rsidP="0085587A">
            <w:pPr>
              <w:jc w:val="center"/>
              <w:rPr>
                <w:sz w:val="20"/>
                <w:szCs w:val="20"/>
              </w:rPr>
            </w:pPr>
            <w:r w:rsidRPr="00CE603C">
              <w:rPr>
                <w:sz w:val="20"/>
                <w:szCs w:val="20"/>
              </w:rPr>
              <w:t>-</w:t>
            </w:r>
            <w:r>
              <w:rPr>
                <w:sz w:val="20"/>
                <w:szCs w:val="20"/>
              </w:rPr>
              <w:t>0</w:t>
            </w:r>
            <w:r w:rsidRPr="00CE603C">
              <w:rPr>
                <w:sz w:val="20"/>
                <w:szCs w:val="20"/>
              </w:rPr>
              <w:t>.05</w:t>
            </w:r>
          </w:p>
        </w:tc>
        <w:tc>
          <w:tcPr>
            <w:tcW w:w="725" w:type="dxa"/>
          </w:tcPr>
          <w:p w:rsidR="00741230" w:rsidRPr="007F23EE" w:rsidRDefault="00741230" w:rsidP="0085587A">
            <w:pPr>
              <w:jc w:val="center"/>
              <w:rPr>
                <w:sz w:val="20"/>
                <w:szCs w:val="20"/>
              </w:rPr>
            </w:pPr>
            <w:r>
              <w:rPr>
                <w:sz w:val="20"/>
                <w:szCs w:val="20"/>
              </w:rPr>
              <w:t>0</w:t>
            </w:r>
            <w:r w:rsidRPr="00CE603C">
              <w:rPr>
                <w:sz w:val="20"/>
                <w:szCs w:val="20"/>
              </w:rPr>
              <w:t>.55</w:t>
            </w:r>
          </w:p>
        </w:tc>
        <w:tc>
          <w:tcPr>
            <w:tcW w:w="702" w:type="dxa"/>
          </w:tcPr>
          <w:p w:rsidR="00741230" w:rsidRPr="007F23EE" w:rsidRDefault="00741230" w:rsidP="0085587A">
            <w:pPr>
              <w:jc w:val="center"/>
              <w:rPr>
                <w:sz w:val="20"/>
                <w:szCs w:val="20"/>
              </w:rPr>
            </w:pPr>
            <w:r w:rsidRPr="007F23EE">
              <w:rPr>
                <w:sz w:val="20"/>
                <w:szCs w:val="20"/>
              </w:rPr>
              <w:t>0.07</w:t>
            </w:r>
          </w:p>
        </w:tc>
        <w:tc>
          <w:tcPr>
            <w:tcW w:w="712" w:type="dxa"/>
          </w:tcPr>
          <w:p w:rsidR="00741230" w:rsidRPr="007F23EE" w:rsidRDefault="00741230" w:rsidP="0085587A">
            <w:pPr>
              <w:jc w:val="center"/>
              <w:rPr>
                <w:sz w:val="20"/>
                <w:szCs w:val="20"/>
              </w:rPr>
            </w:pPr>
            <w:r w:rsidRPr="007F23EE">
              <w:rPr>
                <w:sz w:val="20"/>
                <w:szCs w:val="20"/>
              </w:rPr>
              <w:t>0.08</w:t>
            </w:r>
          </w:p>
        </w:tc>
        <w:tc>
          <w:tcPr>
            <w:tcW w:w="712" w:type="dxa"/>
          </w:tcPr>
          <w:p w:rsidR="00741230" w:rsidRPr="007F23EE" w:rsidRDefault="00741230" w:rsidP="0085587A">
            <w:pPr>
              <w:jc w:val="center"/>
              <w:rPr>
                <w:sz w:val="20"/>
                <w:szCs w:val="20"/>
              </w:rPr>
            </w:pPr>
            <w:r w:rsidRPr="007F23EE">
              <w:rPr>
                <w:sz w:val="20"/>
                <w:szCs w:val="20"/>
              </w:rPr>
              <w:t>0.00</w:t>
            </w:r>
          </w:p>
        </w:tc>
        <w:tc>
          <w:tcPr>
            <w:tcW w:w="712" w:type="dxa"/>
          </w:tcPr>
          <w:p w:rsidR="00741230" w:rsidRPr="007F23EE" w:rsidRDefault="00741230" w:rsidP="0085587A">
            <w:pPr>
              <w:jc w:val="center"/>
              <w:rPr>
                <w:sz w:val="20"/>
                <w:szCs w:val="20"/>
              </w:rPr>
            </w:pPr>
            <w:r w:rsidRPr="007F23EE">
              <w:rPr>
                <w:sz w:val="20"/>
                <w:szCs w:val="20"/>
              </w:rPr>
              <w:t>1</w:t>
            </w: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04" w:type="dxa"/>
          </w:tcPr>
          <w:p w:rsidR="00741230" w:rsidRPr="007F23EE" w:rsidRDefault="00741230" w:rsidP="0085587A">
            <w:pPr>
              <w:jc w:val="center"/>
              <w:rPr>
                <w:sz w:val="20"/>
                <w:szCs w:val="20"/>
              </w:rPr>
            </w:pPr>
          </w:p>
        </w:tc>
        <w:tc>
          <w:tcPr>
            <w:tcW w:w="396" w:type="dxa"/>
          </w:tcPr>
          <w:p w:rsidR="00741230" w:rsidRPr="007F23EE" w:rsidRDefault="00741230" w:rsidP="0085587A">
            <w:pPr>
              <w:jc w:val="center"/>
              <w:rPr>
                <w:sz w:val="20"/>
                <w:szCs w:val="20"/>
              </w:rPr>
            </w:pPr>
          </w:p>
        </w:tc>
      </w:tr>
      <w:tr w:rsidR="00170AAC" w:rsidRPr="007F23EE" w:rsidTr="001F124F">
        <w:trPr>
          <w:trHeight w:val="181"/>
          <w:jc w:val="center"/>
        </w:trPr>
        <w:tc>
          <w:tcPr>
            <w:tcW w:w="1941" w:type="dxa"/>
          </w:tcPr>
          <w:p w:rsidR="00741230" w:rsidRPr="001F124F" w:rsidRDefault="00741230" w:rsidP="0085587A">
            <w:pPr>
              <w:rPr>
                <w:sz w:val="20"/>
                <w:szCs w:val="20"/>
              </w:rPr>
            </w:pPr>
            <w:r w:rsidRPr="001F124F">
              <w:rPr>
                <w:sz w:val="20"/>
                <w:szCs w:val="20"/>
              </w:rPr>
              <w:t>5. Sales</w:t>
            </w:r>
          </w:p>
        </w:tc>
        <w:tc>
          <w:tcPr>
            <w:tcW w:w="719" w:type="dxa"/>
          </w:tcPr>
          <w:p w:rsidR="00741230" w:rsidRPr="007F23EE" w:rsidRDefault="00741230" w:rsidP="0085587A">
            <w:pPr>
              <w:jc w:val="center"/>
              <w:rPr>
                <w:sz w:val="20"/>
                <w:szCs w:val="20"/>
              </w:rPr>
            </w:pPr>
            <w:r w:rsidRPr="00CE603C">
              <w:rPr>
                <w:sz w:val="20"/>
                <w:szCs w:val="20"/>
              </w:rPr>
              <w:t>22.82</w:t>
            </w:r>
          </w:p>
        </w:tc>
        <w:tc>
          <w:tcPr>
            <w:tcW w:w="725" w:type="dxa"/>
          </w:tcPr>
          <w:p w:rsidR="00741230" w:rsidRPr="007F23EE" w:rsidRDefault="00741230" w:rsidP="0085587A">
            <w:pPr>
              <w:jc w:val="center"/>
              <w:rPr>
                <w:sz w:val="20"/>
                <w:szCs w:val="20"/>
              </w:rPr>
            </w:pPr>
            <w:r w:rsidRPr="00CE603C">
              <w:rPr>
                <w:sz w:val="20"/>
                <w:szCs w:val="20"/>
              </w:rPr>
              <w:t>2.34</w:t>
            </w:r>
          </w:p>
        </w:tc>
        <w:tc>
          <w:tcPr>
            <w:tcW w:w="702" w:type="dxa"/>
          </w:tcPr>
          <w:p w:rsidR="00741230" w:rsidRPr="007F23EE" w:rsidRDefault="00741230" w:rsidP="0085587A">
            <w:pPr>
              <w:jc w:val="center"/>
              <w:rPr>
                <w:sz w:val="20"/>
                <w:szCs w:val="20"/>
              </w:rPr>
            </w:pPr>
            <w:r w:rsidRPr="007F23EE">
              <w:rPr>
                <w:sz w:val="20"/>
                <w:szCs w:val="20"/>
              </w:rPr>
              <w:t>0.21</w:t>
            </w:r>
          </w:p>
        </w:tc>
        <w:tc>
          <w:tcPr>
            <w:tcW w:w="712" w:type="dxa"/>
          </w:tcPr>
          <w:p w:rsidR="00741230" w:rsidRPr="007F23EE" w:rsidRDefault="00741230" w:rsidP="0085587A">
            <w:pPr>
              <w:jc w:val="center"/>
              <w:rPr>
                <w:sz w:val="20"/>
                <w:szCs w:val="20"/>
              </w:rPr>
            </w:pPr>
            <w:r w:rsidRPr="007F23EE">
              <w:rPr>
                <w:sz w:val="20"/>
                <w:szCs w:val="20"/>
              </w:rPr>
              <w:t>0.11</w:t>
            </w:r>
          </w:p>
        </w:tc>
        <w:tc>
          <w:tcPr>
            <w:tcW w:w="712" w:type="dxa"/>
          </w:tcPr>
          <w:p w:rsidR="00741230" w:rsidRPr="007F23EE" w:rsidRDefault="00741230" w:rsidP="0085587A">
            <w:pPr>
              <w:jc w:val="center"/>
              <w:rPr>
                <w:sz w:val="20"/>
                <w:szCs w:val="20"/>
              </w:rPr>
            </w:pPr>
            <w:r w:rsidRPr="007F23EE">
              <w:rPr>
                <w:sz w:val="20"/>
                <w:szCs w:val="20"/>
              </w:rPr>
              <w:t>0.22</w:t>
            </w:r>
          </w:p>
        </w:tc>
        <w:tc>
          <w:tcPr>
            <w:tcW w:w="712" w:type="dxa"/>
          </w:tcPr>
          <w:p w:rsidR="00741230" w:rsidRPr="007F23EE" w:rsidRDefault="00741230" w:rsidP="0085587A">
            <w:pPr>
              <w:jc w:val="center"/>
              <w:rPr>
                <w:sz w:val="20"/>
                <w:szCs w:val="20"/>
              </w:rPr>
            </w:pPr>
            <w:r w:rsidRPr="007F23EE">
              <w:rPr>
                <w:sz w:val="20"/>
                <w:szCs w:val="20"/>
              </w:rPr>
              <w:t>0.02</w:t>
            </w:r>
          </w:p>
        </w:tc>
        <w:tc>
          <w:tcPr>
            <w:tcW w:w="712" w:type="dxa"/>
          </w:tcPr>
          <w:p w:rsidR="00741230" w:rsidRPr="007F23EE" w:rsidRDefault="00741230" w:rsidP="0085587A">
            <w:pPr>
              <w:jc w:val="center"/>
              <w:rPr>
                <w:sz w:val="20"/>
                <w:szCs w:val="20"/>
              </w:rPr>
            </w:pPr>
            <w:r w:rsidRPr="007F23EE">
              <w:rPr>
                <w:sz w:val="20"/>
                <w:szCs w:val="20"/>
              </w:rPr>
              <w:t>1</w:t>
            </w: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04" w:type="dxa"/>
          </w:tcPr>
          <w:p w:rsidR="00741230" w:rsidRPr="007F23EE" w:rsidRDefault="00741230" w:rsidP="0085587A">
            <w:pPr>
              <w:jc w:val="center"/>
              <w:rPr>
                <w:sz w:val="20"/>
                <w:szCs w:val="20"/>
              </w:rPr>
            </w:pPr>
          </w:p>
        </w:tc>
        <w:tc>
          <w:tcPr>
            <w:tcW w:w="396" w:type="dxa"/>
          </w:tcPr>
          <w:p w:rsidR="00741230" w:rsidRPr="007F23EE" w:rsidRDefault="00741230" w:rsidP="0085587A">
            <w:pPr>
              <w:jc w:val="center"/>
              <w:rPr>
                <w:sz w:val="20"/>
                <w:szCs w:val="20"/>
              </w:rPr>
            </w:pPr>
          </w:p>
        </w:tc>
      </w:tr>
      <w:tr w:rsidR="00170AAC" w:rsidRPr="007F23EE" w:rsidTr="001F124F">
        <w:trPr>
          <w:trHeight w:val="181"/>
          <w:jc w:val="center"/>
        </w:trPr>
        <w:tc>
          <w:tcPr>
            <w:tcW w:w="1941" w:type="dxa"/>
          </w:tcPr>
          <w:p w:rsidR="00741230" w:rsidRPr="001F124F" w:rsidRDefault="00741230" w:rsidP="0085587A">
            <w:pPr>
              <w:rPr>
                <w:sz w:val="20"/>
                <w:szCs w:val="20"/>
              </w:rPr>
            </w:pPr>
            <w:r w:rsidRPr="001F124F">
              <w:rPr>
                <w:sz w:val="20"/>
                <w:szCs w:val="20"/>
              </w:rPr>
              <w:t>6. Age</w:t>
            </w:r>
          </w:p>
        </w:tc>
        <w:tc>
          <w:tcPr>
            <w:tcW w:w="719" w:type="dxa"/>
          </w:tcPr>
          <w:p w:rsidR="00741230" w:rsidRPr="007F23EE" w:rsidRDefault="00741230" w:rsidP="0085587A">
            <w:pPr>
              <w:jc w:val="center"/>
              <w:rPr>
                <w:sz w:val="20"/>
                <w:szCs w:val="20"/>
              </w:rPr>
            </w:pPr>
            <w:r>
              <w:rPr>
                <w:sz w:val="20"/>
                <w:szCs w:val="20"/>
              </w:rPr>
              <w:t>0</w:t>
            </w:r>
            <w:r w:rsidRPr="00CE603C">
              <w:rPr>
                <w:sz w:val="20"/>
                <w:szCs w:val="20"/>
              </w:rPr>
              <w:t>.03</w:t>
            </w:r>
          </w:p>
        </w:tc>
        <w:tc>
          <w:tcPr>
            <w:tcW w:w="725" w:type="dxa"/>
          </w:tcPr>
          <w:p w:rsidR="00741230" w:rsidRPr="007F23EE" w:rsidRDefault="00741230" w:rsidP="0085587A">
            <w:pPr>
              <w:jc w:val="center"/>
              <w:rPr>
                <w:sz w:val="20"/>
                <w:szCs w:val="20"/>
              </w:rPr>
            </w:pPr>
            <w:r>
              <w:rPr>
                <w:sz w:val="20"/>
                <w:szCs w:val="20"/>
              </w:rPr>
              <w:t>0</w:t>
            </w:r>
            <w:r w:rsidRPr="00CE603C">
              <w:rPr>
                <w:sz w:val="20"/>
                <w:szCs w:val="20"/>
              </w:rPr>
              <w:t>.98</w:t>
            </w:r>
          </w:p>
        </w:tc>
        <w:tc>
          <w:tcPr>
            <w:tcW w:w="702" w:type="dxa"/>
          </w:tcPr>
          <w:p w:rsidR="00741230" w:rsidRPr="007F23EE" w:rsidRDefault="00741230" w:rsidP="0085587A">
            <w:pPr>
              <w:jc w:val="center"/>
              <w:rPr>
                <w:sz w:val="20"/>
                <w:szCs w:val="20"/>
              </w:rPr>
            </w:pPr>
            <w:r w:rsidRPr="007F23EE">
              <w:rPr>
                <w:sz w:val="20"/>
                <w:szCs w:val="20"/>
              </w:rPr>
              <w:t>0.17</w:t>
            </w:r>
          </w:p>
        </w:tc>
        <w:tc>
          <w:tcPr>
            <w:tcW w:w="712" w:type="dxa"/>
          </w:tcPr>
          <w:p w:rsidR="00741230" w:rsidRPr="007F23EE" w:rsidRDefault="00741230" w:rsidP="0085587A">
            <w:pPr>
              <w:jc w:val="center"/>
              <w:rPr>
                <w:sz w:val="20"/>
                <w:szCs w:val="20"/>
              </w:rPr>
            </w:pPr>
            <w:r w:rsidRPr="007F23EE">
              <w:rPr>
                <w:sz w:val="20"/>
                <w:szCs w:val="20"/>
              </w:rPr>
              <w:t>0.19</w:t>
            </w:r>
          </w:p>
        </w:tc>
        <w:tc>
          <w:tcPr>
            <w:tcW w:w="712" w:type="dxa"/>
          </w:tcPr>
          <w:p w:rsidR="00741230" w:rsidRPr="007F23EE" w:rsidRDefault="00741230" w:rsidP="0085587A">
            <w:pPr>
              <w:jc w:val="center"/>
              <w:rPr>
                <w:sz w:val="20"/>
                <w:szCs w:val="20"/>
              </w:rPr>
            </w:pPr>
            <w:r w:rsidRPr="007F23EE">
              <w:rPr>
                <w:sz w:val="20"/>
                <w:szCs w:val="20"/>
              </w:rPr>
              <w:t>0.03</w:t>
            </w:r>
          </w:p>
        </w:tc>
        <w:tc>
          <w:tcPr>
            <w:tcW w:w="712" w:type="dxa"/>
          </w:tcPr>
          <w:p w:rsidR="00741230" w:rsidRPr="007F23EE" w:rsidRDefault="00741230" w:rsidP="0085587A">
            <w:pPr>
              <w:jc w:val="center"/>
              <w:rPr>
                <w:sz w:val="20"/>
                <w:szCs w:val="20"/>
              </w:rPr>
            </w:pPr>
            <w:r w:rsidRPr="007F23EE">
              <w:rPr>
                <w:sz w:val="20"/>
                <w:szCs w:val="20"/>
              </w:rPr>
              <w:t>0.07</w:t>
            </w:r>
          </w:p>
        </w:tc>
        <w:tc>
          <w:tcPr>
            <w:tcW w:w="712" w:type="dxa"/>
          </w:tcPr>
          <w:p w:rsidR="00741230" w:rsidRPr="007F23EE" w:rsidRDefault="00741230" w:rsidP="0085587A">
            <w:pPr>
              <w:jc w:val="center"/>
              <w:rPr>
                <w:sz w:val="20"/>
                <w:szCs w:val="20"/>
              </w:rPr>
            </w:pPr>
            <w:r w:rsidRPr="007F23EE">
              <w:rPr>
                <w:sz w:val="20"/>
                <w:szCs w:val="20"/>
              </w:rPr>
              <w:t>0.47</w:t>
            </w:r>
          </w:p>
        </w:tc>
        <w:tc>
          <w:tcPr>
            <w:tcW w:w="712" w:type="dxa"/>
          </w:tcPr>
          <w:p w:rsidR="00741230" w:rsidRPr="007F23EE" w:rsidRDefault="00741230" w:rsidP="0085587A">
            <w:pPr>
              <w:jc w:val="center"/>
              <w:rPr>
                <w:sz w:val="20"/>
                <w:szCs w:val="20"/>
              </w:rPr>
            </w:pPr>
            <w:r w:rsidRPr="007F23EE">
              <w:rPr>
                <w:sz w:val="20"/>
                <w:szCs w:val="20"/>
              </w:rPr>
              <w:t>1</w:t>
            </w: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04" w:type="dxa"/>
          </w:tcPr>
          <w:p w:rsidR="00741230" w:rsidRPr="007F23EE" w:rsidRDefault="00741230" w:rsidP="0085587A">
            <w:pPr>
              <w:jc w:val="center"/>
              <w:rPr>
                <w:sz w:val="20"/>
                <w:szCs w:val="20"/>
              </w:rPr>
            </w:pPr>
          </w:p>
        </w:tc>
        <w:tc>
          <w:tcPr>
            <w:tcW w:w="396" w:type="dxa"/>
          </w:tcPr>
          <w:p w:rsidR="00741230" w:rsidRPr="007F23EE" w:rsidRDefault="00741230" w:rsidP="0085587A">
            <w:pPr>
              <w:jc w:val="center"/>
              <w:rPr>
                <w:sz w:val="20"/>
                <w:szCs w:val="20"/>
              </w:rPr>
            </w:pPr>
          </w:p>
        </w:tc>
      </w:tr>
      <w:tr w:rsidR="00170AAC" w:rsidRPr="007F23EE" w:rsidTr="001F124F">
        <w:trPr>
          <w:trHeight w:val="181"/>
          <w:jc w:val="center"/>
        </w:trPr>
        <w:tc>
          <w:tcPr>
            <w:tcW w:w="1941" w:type="dxa"/>
          </w:tcPr>
          <w:p w:rsidR="00741230" w:rsidRPr="001F124F" w:rsidRDefault="00741230" w:rsidP="0085587A">
            <w:pPr>
              <w:rPr>
                <w:sz w:val="20"/>
                <w:szCs w:val="20"/>
              </w:rPr>
            </w:pPr>
            <w:r w:rsidRPr="001F124F">
              <w:rPr>
                <w:sz w:val="20"/>
                <w:szCs w:val="20"/>
              </w:rPr>
              <w:t>7. Age</w:t>
            </w:r>
            <w:r w:rsidRPr="001F124F">
              <w:rPr>
                <w:sz w:val="20"/>
                <w:szCs w:val="20"/>
                <w:vertAlign w:val="superscript"/>
              </w:rPr>
              <w:t>2</w:t>
            </w:r>
          </w:p>
        </w:tc>
        <w:tc>
          <w:tcPr>
            <w:tcW w:w="719" w:type="dxa"/>
          </w:tcPr>
          <w:p w:rsidR="00741230" w:rsidRPr="007F23EE" w:rsidRDefault="00741230" w:rsidP="0085587A">
            <w:pPr>
              <w:jc w:val="center"/>
              <w:rPr>
                <w:sz w:val="20"/>
                <w:szCs w:val="20"/>
              </w:rPr>
            </w:pPr>
            <w:r>
              <w:rPr>
                <w:sz w:val="20"/>
                <w:szCs w:val="20"/>
              </w:rPr>
              <w:t>0</w:t>
            </w:r>
            <w:r w:rsidRPr="00CE603C">
              <w:rPr>
                <w:sz w:val="20"/>
                <w:szCs w:val="20"/>
              </w:rPr>
              <w:t>.96</w:t>
            </w:r>
          </w:p>
        </w:tc>
        <w:tc>
          <w:tcPr>
            <w:tcW w:w="725" w:type="dxa"/>
          </w:tcPr>
          <w:p w:rsidR="00741230" w:rsidRPr="007F23EE" w:rsidRDefault="00741230" w:rsidP="0085587A">
            <w:pPr>
              <w:jc w:val="center"/>
              <w:rPr>
                <w:sz w:val="20"/>
                <w:szCs w:val="20"/>
              </w:rPr>
            </w:pPr>
            <w:r w:rsidRPr="00CE603C">
              <w:rPr>
                <w:sz w:val="20"/>
                <w:szCs w:val="20"/>
              </w:rPr>
              <w:t>1.04</w:t>
            </w:r>
          </w:p>
        </w:tc>
        <w:tc>
          <w:tcPr>
            <w:tcW w:w="702" w:type="dxa"/>
          </w:tcPr>
          <w:p w:rsidR="00741230" w:rsidRPr="007F23EE" w:rsidRDefault="00741230" w:rsidP="0085587A">
            <w:pPr>
              <w:jc w:val="center"/>
              <w:rPr>
                <w:sz w:val="20"/>
                <w:szCs w:val="20"/>
              </w:rPr>
            </w:pPr>
            <w:r w:rsidRPr="007F23EE">
              <w:rPr>
                <w:sz w:val="20"/>
                <w:szCs w:val="20"/>
              </w:rPr>
              <w:t>0.13</w:t>
            </w:r>
          </w:p>
        </w:tc>
        <w:tc>
          <w:tcPr>
            <w:tcW w:w="712" w:type="dxa"/>
          </w:tcPr>
          <w:p w:rsidR="00741230" w:rsidRPr="007F23EE" w:rsidRDefault="00741230" w:rsidP="0085587A">
            <w:pPr>
              <w:jc w:val="center"/>
              <w:rPr>
                <w:sz w:val="20"/>
                <w:szCs w:val="20"/>
              </w:rPr>
            </w:pPr>
            <w:r w:rsidRPr="007F23EE">
              <w:rPr>
                <w:sz w:val="20"/>
                <w:szCs w:val="20"/>
              </w:rPr>
              <w:t>0.19</w:t>
            </w:r>
          </w:p>
        </w:tc>
        <w:tc>
          <w:tcPr>
            <w:tcW w:w="712" w:type="dxa"/>
          </w:tcPr>
          <w:p w:rsidR="00741230" w:rsidRPr="007F23EE" w:rsidRDefault="00741230" w:rsidP="0085587A">
            <w:pPr>
              <w:jc w:val="center"/>
              <w:rPr>
                <w:sz w:val="20"/>
                <w:szCs w:val="20"/>
              </w:rPr>
            </w:pPr>
            <w:r w:rsidRPr="007F23EE">
              <w:rPr>
                <w:sz w:val="20"/>
                <w:szCs w:val="20"/>
              </w:rPr>
              <w:t>0.00</w:t>
            </w:r>
          </w:p>
        </w:tc>
        <w:tc>
          <w:tcPr>
            <w:tcW w:w="712" w:type="dxa"/>
          </w:tcPr>
          <w:p w:rsidR="00741230" w:rsidRPr="007F23EE" w:rsidRDefault="00741230" w:rsidP="0085587A">
            <w:pPr>
              <w:jc w:val="center"/>
              <w:rPr>
                <w:sz w:val="20"/>
                <w:szCs w:val="20"/>
              </w:rPr>
            </w:pPr>
            <w:r w:rsidRPr="007F23EE">
              <w:rPr>
                <w:sz w:val="20"/>
                <w:szCs w:val="20"/>
              </w:rPr>
              <w:t>-0.01</w:t>
            </w:r>
          </w:p>
        </w:tc>
        <w:tc>
          <w:tcPr>
            <w:tcW w:w="712" w:type="dxa"/>
          </w:tcPr>
          <w:p w:rsidR="00741230" w:rsidRPr="007F23EE" w:rsidRDefault="00741230" w:rsidP="0085587A">
            <w:pPr>
              <w:jc w:val="center"/>
              <w:rPr>
                <w:sz w:val="20"/>
                <w:szCs w:val="20"/>
              </w:rPr>
            </w:pPr>
            <w:r w:rsidRPr="007F23EE">
              <w:rPr>
                <w:sz w:val="20"/>
                <w:szCs w:val="20"/>
              </w:rPr>
              <w:t>0.16</w:t>
            </w:r>
          </w:p>
        </w:tc>
        <w:tc>
          <w:tcPr>
            <w:tcW w:w="712" w:type="dxa"/>
          </w:tcPr>
          <w:p w:rsidR="00741230" w:rsidRPr="007F23EE" w:rsidRDefault="00741230" w:rsidP="0085587A">
            <w:pPr>
              <w:jc w:val="center"/>
              <w:rPr>
                <w:sz w:val="20"/>
                <w:szCs w:val="20"/>
              </w:rPr>
            </w:pPr>
            <w:r w:rsidRPr="007F23EE">
              <w:rPr>
                <w:sz w:val="20"/>
                <w:szCs w:val="20"/>
              </w:rPr>
              <w:t>0.52</w:t>
            </w:r>
          </w:p>
        </w:tc>
        <w:tc>
          <w:tcPr>
            <w:tcW w:w="712" w:type="dxa"/>
          </w:tcPr>
          <w:p w:rsidR="00741230" w:rsidRPr="007F23EE" w:rsidRDefault="00741230" w:rsidP="0085587A">
            <w:pPr>
              <w:jc w:val="center"/>
              <w:rPr>
                <w:sz w:val="20"/>
                <w:szCs w:val="20"/>
              </w:rPr>
            </w:pPr>
            <w:r w:rsidRPr="007F23EE">
              <w:rPr>
                <w:sz w:val="20"/>
                <w:szCs w:val="20"/>
              </w:rPr>
              <w:t>1</w:t>
            </w: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04" w:type="dxa"/>
          </w:tcPr>
          <w:p w:rsidR="00741230" w:rsidRPr="007F23EE" w:rsidRDefault="00741230" w:rsidP="0085587A">
            <w:pPr>
              <w:jc w:val="center"/>
              <w:rPr>
                <w:sz w:val="20"/>
                <w:szCs w:val="20"/>
              </w:rPr>
            </w:pPr>
          </w:p>
        </w:tc>
        <w:tc>
          <w:tcPr>
            <w:tcW w:w="396" w:type="dxa"/>
          </w:tcPr>
          <w:p w:rsidR="00741230" w:rsidRPr="007F23EE" w:rsidRDefault="00741230" w:rsidP="0085587A">
            <w:pPr>
              <w:jc w:val="center"/>
              <w:rPr>
                <w:sz w:val="20"/>
                <w:szCs w:val="20"/>
              </w:rPr>
            </w:pPr>
          </w:p>
        </w:tc>
      </w:tr>
      <w:tr w:rsidR="00170AAC" w:rsidRPr="007F23EE" w:rsidTr="001F124F">
        <w:trPr>
          <w:trHeight w:val="215"/>
          <w:jc w:val="center"/>
        </w:trPr>
        <w:tc>
          <w:tcPr>
            <w:tcW w:w="1941" w:type="dxa"/>
          </w:tcPr>
          <w:p w:rsidR="00741230" w:rsidRPr="001F124F" w:rsidRDefault="00741230" w:rsidP="0085587A">
            <w:pPr>
              <w:rPr>
                <w:sz w:val="20"/>
                <w:szCs w:val="20"/>
              </w:rPr>
            </w:pPr>
            <w:r w:rsidRPr="001F124F">
              <w:rPr>
                <w:sz w:val="20"/>
                <w:szCs w:val="20"/>
              </w:rPr>
              <w:t>8. LNG Tankers</w:t>
            </w:r>
          </w:p>
        </w:tc>
        <w:tc>
          <w:tcPr>
            <w:tcW w:w="719" w:type="dxa"/>
          </w:tcPr>
          <w:p w:rsidR="00741230" w:rsidRPr="007F23EE" w:rsidRDefault="00741230" w:rsidP="0085587A">
            <w:pPr>
              <w:jc w:val="center"/>
              <w:rPr>
                <w:sz w:val="20"/>
                <w:szCs w:val="20"/>
              </w:rPr>
            </w:pPr>
            <w:r w:rsidRPr="00CE603C">
              <w:rPr>
                <w:sz w:val="20"/>
                <w:szCs w:val="20"/>
              </w:rPr>
              <w:t>2.34</w:t>
            </w:r>
          </w:p>
        </w:tc>
        <w:tc>
          <w:tcPr>
            <w:tcW w:w="725" w:type="dxa"/>
          </w:tcPr>
          <w:p w:rsidR="00741230" w:rsidRPr="007F23EE" w:rsidRDefault="00741230" w:rsidP="0085587A">
            <w:pPr>
              <w:jc w:val="center"/>
              <w:rPr>
                <w:sz w:val="20"/>
                <w:szCs w:val="20"/>
              </w:rPr>
            </w:pPr>
            <w:r w:rsidRPr="00CE603C">
              <w:rPr>
                <w:sz w:val="20"/>
                <w:szCs w:val="20"/>
              </w:rPr>
              <w:t>6.90</w:t>
            </w:r>
          </w:p>
        </w:tc>
        <w:tc>
          <w:tcPr>
            <w:tcW w:w="702" w:type="dxa"/>
          </w:tcPr>
          <w:p w:rsidR="00741230" w:rsidRPr="007F23EE" w:rsidRDefault="00741230" w:rsidP="0085587A">
            <w:pPr>
              <w:jc w:val="center"/>
              <w:rPr>
                <w:sz w:val="20"/>
                <w:szCs w:val="20"/>
              </w:rPr>
            </w:pPr>
            <w:r w:rsidRPr="007F23EE">
              <w:rPr>
                <w:sz w:val="20"/>
                <w:szCs w:val="20"/>
              </w:rPr>
              <w:t>0.16</w:t>
            </w:r>
          </w:p>
        </w:tc>
        <w:tc>
          <w:tcPr>
            <w:tcW w:w="712" w:type="dxa"/>
          </w:tcPr>
          <w:p w:rsidR="00741230" w:rsidRPr="007F23EE" w:rsidRDefault="00741230" w:rsidP="0085587A">
            <w:pPr>
              <w:jc w:val="center"/>
              <w:rPr>
                <w:sz w:val="20"/>
                <w:szCs w:val="20"/>
              </w:rPr>
            </w:pPr>
            <w:r w:rsidRPr="007F23EE">
              <w:rPr>
                <w:sz w:val="20"/>
                <w:szCs w:val="20"/>
              </w:rPr>
              <w:t>0.08</w:t>
            </w:r>
          </w:p>
        </w:tc>
        <w:tc>
          <w:tcPr>
            <w:tcW w:w="712" w:type="dxa"/>
          </w:tcPr>
          <w:p w:rsidR="00741230" w:rsidRPr="007F23EE" w:rsidRDefault="00741230" w:rsidP="0085587A">
            <w:pPr>
              <w:jc w:val="center"/>
              <w:rPr>
                <w:sz w:val="20"/>
                <w:szCs w:val="20"/>
              </w:rPr>
            </w:pPr>
            <w:r w:rsidRPr="007F23EE">
              <w:rPr>
                <w:sz w:val="20"/>
                <w:szCs w:val="20"/>
              </w:rPr>
              <w:t>0.20</w:t>
            </w:r>
          </w:p>
        </w:tc>
        <w:tc>
          <w:tcPr>
            <w:tcW w:w="712" w:type="dxa"/>
          </w:tcPr>
          <w:p w:rsidR="00741230" w:rsidRPr="007F23EE" w:rsidRDefault="00741230" w:rsidP="0085587A">
            <w:pPr>
              <w:jc w:val="center"/>
              <w:rPr>
                <w:sz w:val="20"/>
                <w:szCs w:val="20"/>
              </w:rPr>
            </w:pPr>
            <w:r w:rsidRPr="007F23EE">
              <w:rPr>
                <w:sz w:val="20"/>
                <w:szCs w:val="20"/>
              </w:rPr>
              <w:t>0.04</w:t>
            </w:r>
          </w:p>
        </w:tc>
        <w:tc>
          <w:tcPr>
            <w:tcW w:w="712" w:type="dxa"/>
          </w:tcPr>
          <w:p w:rsidR="00741230" w:rsidRPr="007F23EE" w:rsidRDefault="00741230" w:rsidP="0085587A">
            <w:pPr>
              <w:jc w:val="center"/>
              <w:rPr>
                <w:sz w:val="20"/>
                <w:szCs w:val="20"/>
              </w:rPr>
            </w:pPr>
            <w:r w:rsidRPr="007F23EE">
              <w:rPr>
                <w:sz w:val="20"/>
                <w:szCs w:val="20"/>
              </w:rPr>
              <w:t>0.28</w:t>
            </w:r>
          </w:p>
        </w:tc>
        <w:tc>
          <w:tcPr>
            <w:tcW w:w="712" w:type="dxa"/>
          </w:tcPr>
          <w:p w:rsidR="00741230" w:rsidRPr="007F23EE" w:rsidRDefault="00741230" w:rsidP="0085587A">
            <w:pPr>
              <w:jc w:val="center"/>
              <w:rPr>
                <w:sz w:val="20"/>
                <w:szCs w:val="20"/>
              </w:rPr>
            </w:pPr>
            <w:r w:rsidRPr="007F23EE">
              <w:rPr>
                <w:sz w:val="20"/>
                <w:szCs w:val="20"/>
              </w:rPr>
              <w:t>0.05</w:t>
            </w:r>
          </w:p>
        </w:tc>
        <w:tc>
          <w:tcPr>
            <w:tcW w:w="712" w:type="dxa"/>
          </w:tcPr>
          <w:p w:rsidR="00741230" w:rsidRPr="007F23EE" w:rsidRDefault="00741230" w:rsidP="0085587A">
            <w:pPr>
              <w:jc w:val="center"/>
              <w:rPr>
                <w:sz w:val="20"/>
                <w:szCs w:val="20"/>
              </w:rPr>
            </w:pPr>
            <w:r w:rsidRPr="007F23EE">
              <w:rPr>
                <w:sz w:val="20"/>
                <w:szCs w:val="20"/>
              </w:rPr>
              <w:t>-0.16</w:t>
            </w:r>
          </w:p>
        </w:tc>
        <w:tc>
          <w:tcPr>
            <w:tcW w:w="712" w:type="dxa"/>
          </w:tcPr>
          <w:p w:rsidR="00741230" w:rsidRPr="007F23EE" w:rsidRDefault="00741230" w:rsidP="0085587A">
            <w:pPr>
              <w:jc w:val="center"/>
              <w:rPr>
                <w:sz w:val="20"/>
                <w:szCs w:val="20"/>
              </w:rPr>
            </w:pPr>
            <w:r w:rsidRPr="007F23EE">
              <w:rPr>
                <w:sz w:val="20"/>
                <w:szCs w:val="20"/>
              </w:rPr>
              <w:t>1</w:t>
            </w: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04" w:type="dxa"/>
          </w:tcPr>
          <w:p w:rsidR="00741230" w:rsidRPr="007F23EE" w:rsidRDefault="00741230" w:rsidP="0085587A">
            <w:pPr>
              <w:jc w:val="center"/>
              <w:rPr>
                <w:sz w:val="20"/>
                <w:szCs w:val="20"/>
              </w:rPr>
            </w:pPr>
          </w:p>
        </w:tc>
        <w:tc>
          <w:tcPr>
            <w:tcW w:w="396" w:type="dxa"/>
          </w:tcPr>
          <w:p w:rsidR="00741230" w:rsidRPr="007F23EE" w:rsidRDefault="00741230" w:rsidP="0085587A">
            <w:pPr>
              <w:jc w:val="center"/>
              <w:rPr>
                <w:sz w:val="20"/>
                <w:szCs w:val="20"/>
              </w:rPr>
            </w:pPr>
          </w:p>
        </w:tc>
      </w:tr>
      <w:tr w:rsidR="00170AAC" w:rsidRPr="007F23EE" w:rsidTr="001F124F">
        <w:trPr>
          <w:trHeight w:val="181"/>
          <w:jc w:val="center"/>
        </w:trPr>
        <w:tc>
          <w:tcPr>
            <w:tcW w:w="1941" w:type="dxa"/>
          </w:tcPr>
          <w:p w:rsidR="00741230" w:rsidRPr="001F124F" w:rsidRDefault="00741230" w:rsidP="0085587A">
            <w:pPr>
              <w:rPr>
                <w:sz w:val="20"/>
                <w:szCs w:val="20"/>
              </w:rPr>
            </w:pPr>
            <w:r w:rsidRPr="001F124F">
              <w:rPr>
                <w:sz w:val="20"/>
                <w:szCs w:val="20"/>
              </w:rPr>
              <w:t>9. Oil Gas Prod</w:t>
            </w:r>
          </w:p>
        </w:tc>
        <w:tc>
          <w:tcPr>
            <w:tcW w:w="719" w:type="dxa"/>
          </w:tcPr>
          <w:p w:rsidR="00741230" w:rsidRPr="007F23EE" w:rsidRDefault="00741230" w:rsidP="0085587A">
            <w:pPr>
              <w:jc w:val="center"/>
              <w:rPr>
                <w:sz w:val="20"/>
                <w:szCs w:val="20"/>
              </w:rPr>
            </w:pPr>
            <w:r w:rsidRPr="00CE603C">
              <w:rPr>
                <w:sz w:val="20"/>
                <w:szCs w:val="20"/>
              </w:rPr>
              <w:t>5.52</w:t>
            </w:r>
          </w:p>
        </w:tc>
        <w:tc>
          <w:tcPr>
            <w:tcW w:w="725" w:type="dxa"/>
          </w:tcPr>
          <w:p w:rsidR="00741230" w:rsidRPr="007F23EE" w:rsidRDefault="00741230" w:rsidP="0085587A">
            <w:pPr>
              <w:jc w:val="center"/>
              <w:rPr>
                <w:sz w:val="20"/>
                <w:szCs w:val="20"/>
              </w:rPr>
            </w:pPr>
            <w:r w:rsidRPr="00CE603C">
              <w:rPr>
                <w:sz w:val="20"/>
                <w:szCs w:val="20"/>
              </w:rPr>
              <w:t>2.18</w:t>
            </w:r>
          </w:p>
        </w:tc>
        <w:tc>
          <w:tcPr>
            <w:tcW w:w="702" w:type="dxa"/>
          </w:tcPr>
          <w:p w:rsidR="00741230" w:rsidRPr="007F23EE" w:rsidRDefault="00741230" w:rsidP="0085587A">
            <w:pPr>
              <w:jc w:val="center"/>
              <w:rPr>
                <w:sz w:val="20"/>
                <w:szCs w:val="20"/>
              </w:rPr>
            </w:pPr>
            <w:r w:rsidRPr="007F23EE">
              <w:rPr>
                <w:sz w:val="20"/>
                <w:szCs w:val="20"/>
              </w:rPr>
              <w:t>0.07</w:t>
            </w:r>
          </w:p>
        </w:tc>
        <w:tc>
          <w:tcPr>
            <w:tcW w:w="712" w:type="dxa"/>
          </w:tcPr>
          <w:p w:rsidR="00741230" w:rsidRPr="007F23EE" w:rsidRDefault="00741230" w:rsidP="0085587A">
            <w:pPr>
              <w:jc w:val="center"/>
              <w:rPr>
                <w:sz w:val="20"/>
                <w:szCs w:val="20"/>
              </w:rPr>
            </w:pPr>
            <w:r w:rsidRPr="007F23EE">
              <w:rPr>
                <w:sz w:val="20"/>
                <w:szCs w:val="20"/>
              </w:rPr>
              <w:t>0.04</w:t>
            </w:r>
          </w:p>
        </w:tc>
        <w:tc>
          <w:tcPr>
            <w:tcW w:w="712" w:type="dxa"/>
          </w:tcPr>
          <w:p w:rsidR="00741230" w:rsidRPr="007F23EE" w:rsidRDefault="00741230" w:rsidP="0085587A">
            <w:pPr>
              <w:jc w:val="center"/>
              <w:rPr>
                <w:sz w:val="20"/>
                <w:szCs w:val="20"/>
              </w:rPr>
            </w:pPr>
            <w:r w:rsidRPr="007F23EE">
              <w:rPr>
                <w:sz w:val="20"/>
                <w:szCs w:val="20"/>
              </w:rPr>
              <w:t>0.07</w:t>
            </w:r>
          </w:p>
        </w:tc>
        <w:tc>
          <w:tcPr>
            <w:tcW w:w="712" w:type="dxa"/>
          </w:tcPr>
          <w:p w:rsidR="00741230" w:rsidRPr="007F23EE" w:rsidRDefault="00741230" w:rsidP="0085587A">
            <w:pPr>
              <w:jc w:val="center"/>
              <w:rPr>
                <w:sz w:val="20"/>
                <w:szCs w:val="20"/>
              </w:rPr>
            </w:pPr>
            <w:r w:rsidRPr="007F23EE">
              <w:rPr>
                <w:sz w:val="20"/>
                <w:szCs w:val="20"/>
              </w:rPr>
              <w:t>-0.16</w:t>
            </w:r>
          </w:p>
        </w:tc>
        <w:tc>
          <w:tcPr>
            <w:tcW w:w="712" w:type="dxa"/>
          </w:tcPr>
          <w:p w:rsidR="00741230" w:rsidRPr="007F23EE" w:rsidRDefault="00741230" w:rsidP="0085587A">
            <w:pPr>
              <w:jc w:val="center"/>
              <w:rPr>
                <w:sz w:val="20"/>
                <w:szCs w:val="20"/>
              </w:rPr>
            </w:pPr>
            <w:r w:rsidRPr="007F23EE">
              <w:rPr>
                <w:sz w:val="20"/>
                <w:szCs w:val="20"/>
              </w:rPr>
              <w:t>0.30</w:t>
            </w:r>
          </w:p>
        </w:tc>
        <w:tc>
          <w:tcPr>
            <w:tcW w:w="712" w:type="dxa"/>
          </w:tcPr>
          <w:p w:rsidR="00741230" w:rsidRPr="007F23EE" w:rsidRDefault="00741230" w:rsidP="0085587A">
            <w:pPr>
              <w:jc w:val="center"/>
              <w:rPr>
                <w:sz w:val="20"/>
                <w:szCs w:val="20"/>
              </w:rPr>
            </w:pPr>
            <w:r w:rsidRPr="007F23EE">
              <w:rPr>
                <w:sz w:val="20"/>
                <w:szCs w:val="20"/>
              </w:rPr>
              <w:t>-0.06</w:t>
            </w:r>
          </w:p>
        </w:tc>
        <w:tc>
          <w:tcPr>
            <w:tcW w:w="712" w:type="dxa"/>
          </w:tcPr>
          <w:p w:rsidR="00741230" w:rsidRPr="007F23EE" w:rsidRDefault="00741230" w:rsidP="0085587A">
            <w:pPr>
              <w:jc w:val="center"/>
              <w:rPr>
                <w:sz w:val="20"/>
                <w:szCs w:val="20"/>
              </w:rPr>
            </w:pPr>
            <w:r w:rsidRPr="007F23EE">
              <w:rPr>
                <w:sz w:val="20"/>
                <w:szCs w:val="20"/>
              </w:rPr>
              <w:t>-0.02</w:t>
            </w:r>
          </w:p>
        </w:tc>
        <w:tc>
          <w:tcPr>
            <w:tcW w:w="712" w:type="dxa"/>
          </w:tcPr>
          <w:p w:rsidR="00741230" w:rsidRPr="007F23EE" w:rsidRDefault="00741230" w:rsidP="0085587A">
            <w:pPr>
              <w:jc w:val="center"/>
              <w:rPr>
                <w:sz w:val="20"/>
                <w:szCs w:val="20"/>
              </w:rPr>
            </w:pPr>
            <w:r w:rsidRPr="007F23EE">
              <w:rPr>
                <w:sz w:val="20"/>
                <w:szCs w:val="20"/>
              </w:rPr>
              <w:t>-0.02</w:t>
            </w:r>
          </w:p>
        </w:tc>
        <w:tc>
          <w:tcPr>
            <w:tcW w:w="712" w:type="dxa"/>
          </w:tcPr>
          <w:p w:rsidR="00741230" w:rsidRPr="007F23EE" w:rsidRDefault="00741230" w:rsidP="0085587A">
            <w:pPr>
              <w:jc w:val="center"/>
              <w:rPr>
                <w:sz w:val="20"/>
                <w:szCs w:val="20"/>
              </w:rPr>
            </w:pPr>
            <w:r w:rsidRPr="007F23EE">
              <w:rPr>
                <w:sz w:val="20"/>
                <w:szCs w:val="20"/>
              </w:rPr>
              <w:t>1</w:t>
            </w: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04" w:type="dxa"/>
          </w:tcPr>
          <w:p w:rsidR="00741230" w:rsidRPr="007F23EE" w:rsidRDefault="00741230" w:rsidP="0085587A">
            <w:pPr>
              <w:jc w:val="center"/>
              <w:rPr>
                <w:sz w:val="20"/>
                <w:szCs w:val="20"/>
              </w:rPr>
            </w:pPr>
          </w:p>
        </w:tc>
        <w:tc>
          <w:tcPr>
            <w:tcW w:w="396" w:type="dxa"/>
          </w:tcPr>
          <w:p w:rsidR="00741230" w:rsidRPr="007F23EE" w:rsidRDefault="00741230" w:rsidP="0085587A">
            <w:pPr>
              <w:jc w:val="center"/>
              <w:rPr>
                <w:sz w:val="20"/>
                <w:szCs w:val="20"/>
              </w:rPr>
            </w:pPr>
          </w:p>
        </w:tc>
      </w:tr>
      <w:tr w:rsidR="00170AAC" w:rsidRPr="007F23EE" w:rsidTr="001F124F">
        <w:trPr>
          <w:trHeight w:val="181"/>
          <w:jc w:val="center"/>
        </w:trPr>
        <w:tc>
          <w:tcPr>
            <w:tcW w:w="1941" w:type="dxa"/>
          </w:tcPr>
          <w:p w:rsidR="00741230" w:rsidRPr="001F124F" w:rsidRDefault="00741230" w:rsidP="0085587A">
            <w:pPr>
              <w:rPr>
                <w:sz w:val="20"/>
                <w:szCs w:val="20"/>
              </w:rPr>
            </w:pPr>
            <w:r w:rsidRPr="001F124F">
              <w:rPr>
                <w:sz w:val="20"/>
                <w:szCs w:val="20"/>
              </w:rPr>
              <w:t>10. Oil Gas Reserves</w:t>
            </w:r>
          </w:p>
        </w:tc>
        <w:tc>
          <w:tcPr>
            <w:tcW w:w="719" w:type="dxa"/>
          </w:tcPr>
          <w:p w:rsidR="00741230" w:rsidRPr="007F23EE" w:rsidRDefault="00741230" w:rsidP="0085587A">
            <w:pPr>
              <w:jc w:val="center"/>
              <w:rPr>
                <w:sz w:val="20"/>
                <w:szCs w:val="20"/>
              </w:rPr>
            </w:pPr>
            <w:r w:rsidRPr="00CE603C">
              <w:rPr>
                <w:sz w:val="20"/>
                <w:szCs w:val="20"/>
              </w:rPr>
              <w:t>7.67</w:t>
            </w:r>
          </w:p>
        </w:tc>
        <w:tc>
          <w:tcPr>
            <w:tcW w:w="725" w:type="dxa"/>
          </w:tcPr>
          <w:p w:rsidR="00741230" w:rsidRPr="007F23EE" w:rsidRDefault="00741230" w:rsidP="0085587A">
            <w:pPr>
              <w:jc w:val="center"/>
              <w:rPr>
                <w:sz w:val="20"/>
                <w:szCs w:val="20"/>
              </w:rPr>
            </w:pPr>
            <w:r w:rsidRPr="00CE603C">
              <w:rPr>
                <w:sz w:val="20"/>
                <w:szCs w:val="20"/>
              </w:rPr>
              <w:t>2.31</w:t>
            </w:r>
          </w:p>
        </w:tc>
        <w:tc>
          <w:tcPr>
            <w:tcW w:w="702" w:type="dxa"/>
          </w:tcPr>
          <w:p w:rsidR="00741230" w:rsidRPr="007F23EE" w:rsidRDefault="00741230" w:rsidP="0085587A">
            <w:pPr>
              <w:jc w:val="center"/>
              <w:rPr>
                <w:sz w:val="20"/>
                <w:szCs w:val="20"/>
              </w:rPr>
            </w:pPr>
            <w:r w:rsidRPr="007F23EE">
              <w:rPr>
                <w:sz w:val="20"/>
                <w:szCs w:val="20"/>
              </w:rPr>
              <w:t>0.08</w:t>
            </w:r>
          </w:p>
        </w:tc>
        <w:tc>
          <w:tcPr>
            <w:tcW w:w="712" w:type="dxa"/>
          </w:tcPr>
          <w:p w:rsidR="00741230" w:rsidRPr="007F23EE" w:rsidRDefault="00741230" w:rsidP="0085587A">
            <w:pPr>
              <w:jc w:val="center"/>
              <w:rPr>
                <w:sz w:val="20"/>
                <w:szCs w:val="20"/>
              </w:rPr>
            </w:pPr>
            <w:r w:rsidRPr="007F23EE">
              <w:rPr>
                <w:sz w:val="20"/>
                <w:szCs w:val="20"/>
              </w:rPr>
              <w:t>-0.00</w:t>
            </w:r>
          </w:p>
        </w:tc>
        <w:tc>
          <w:tcPr>
            <w:tcW w:w="712" w:type="dxa"/>
          </w:tcPr>
          <w:p w:rsidR="00741230" w:rsidRPr="007F23EE" w:rsidRDefault="00741230" w:rsidP="0085587A">
            <w:pPr>
              <w:jc w:val="center"/>
              <w:rPr>
                <w:sz w:val="20"/>
                <w:szCs w:val="20"/>
              </w:rPr>
            </w:pPr>
            <w:r w:rsidRPr="007F23EE">
              <w:rPr>
                <w:sz w:val="20"/>
                <w:szCs w:val="20"/>
              </w:rPr>
              <w:t>0.15</w:t>
            </w:r>
          </w:p>
        </w:tc>
        <w:tc>
          <w:tcPr>
            <w:tcW w:w="712" w:type="dxa"/>
          </w:tcPr>
          <w:p w:rsidR="00741230" w:rsidRPr="007F23EE" w:rsidRDefault="00741230" w:rsidP="0085587A">
            <w:pPr>
              <w:jc w:val="center"/>
              <w:rPr>
                <w:sz w:val="20"/>
                <w:szCs w:val="20"/>
              </w:rPr>
            </w:pPr>
            <w:r w:rsidRPr="007F23EE">
              <w:rPr>
                <w:sz w:val="20"/>
                <w:szCs w:val="20"/>
              </w:rPr>
              <w:t>-0.01</w:t>
            </w:r>
          </w:p>
        </w:tc>
        <w:tc>
          <w:tcPr>
            <w:tcW w:w="712" w:type="dxa"/>
          </w:tcPr>
          <w:p w:rsidR="00741230" w:rsidRPr="007F23EE" w:rsidRDefault="00741230" w:rsidP="0085587A">
            <w:pPr>
              <w:jc w:val="center"/>
              <w:rPr>
                <w:sz w:val="20"/>
                <w:szCs w:val="20"/>
              </w:rPr>
            </w:pPr>
            <w:r w:rsidRPr="007F23EE">
              <w:rPr>
                <w:sz w:val="20"/>
                <w:szCs w:val="20"/>
              </w:rPr>
              <w:t>0.72</w:t>
            </w:r>
          </w:p>
        </w:tc>
        <w:tc>
          <w:tcPr>
            <w:tcW w:w="712" w:type="dxa"/>
          </w:tcPr>
          <w:p w:rsidR="00741230" w:rsidRPr="007F23EE" w:rsidRDefault="00741230" w:rsidP="0085587A">
            <w:pPr>
              <w:jc w:val="center"/>
              <w:rPr>
                <w:sz w:val="20"/>
                <w:szCs w:val="20"/>
              </w:rPr>
            </w:pPr>
            <w:r w:rsidRPr="007F23EE">
              <w:rPr>
                <w:sz w:val="20"/>
                <w:szCs w:val="20"/>
              </w:rPr>
              <w:t>0.08</w:t>
            </w:r>
          </w:p>
        </w:tc>
        <w:tc>
          <w:tcPr>
            <w:tcW w:w="712" w:type="dxa"/>
          </w:tcPr>
          <w:p w:rsidR="00741230" w:rsidRPr="007F23EE" w:rsidRDefault="00741230" w:rsidP="0085587A">
            <w:pPr>
              <w:jc w:val="center"/>
              <w:rPr>
                <w:sz w:val="20"/>
                <w:szCs w:val="20"/>
              </w:rPr>
            </w:pPr>
            <w:r w:rsidRPr="007F23EE">
              <w:rPr>
                <w:sz w:val="20"/>
                <w:szCs w:val="20"/>
              </w:rPr>
              <w:t>-0.03</w:t>
            </w:r>
          </w:p>
        </w:tc>
        <w:tc>
          <w:tcPr>
            <w:tcW w:w="712" w:type="dxa"/>
          </w:tcPr>
          <w:p w:rsidR="00741230" w:rsidRPr="007F23EE" w:rsidRDefault="00741230" w:rsidP="0085587A">
            <w:pPr>
              <w:jc w:val="center"/>
              <w:rPr>
                <w:sz w:val="20"/>
                <w:szCs w:val="20"/>
              </w:rPr>
            </w:pPr>
            <w:r w:rsidRPr="007F23EE">
              <w:rPr>
                <w:sz w:val="20"/>
                <w:szCs w:val="20"/>
              </w:rPr>
              <w:t>0.09</w:t>
            </w:r>
          </w:p>
        </w:tc>
        <w:tc>
          <w:tcPr>
            <w:tcW w:w="712" w:type="dxa"/>
          </w:tcPr>
          <w:p w:rsidR="00741230" w:rsidRPr="007F23EE" w:rsidRDefault="00741230" w:rsidP="0085587A">
            <w:pPr>
              <w:jc w:val="center"/>
              <w:rPr>
                <w:sz w:val="20"/>
                <w:szCs w:val="20"/>
              </w:rPr>
            </w:pPr>
            <w:r w:rsidRPr="007F23EE">
              <w:rPr>
                <w:sz w:val="20"/>
                <w:szCs w:val="20"/>
              </w:rPr>
              <w:t>0.39</w:t>
            </w:r>
          </w:p>
        </w:tc>
        <w:tc>
          <w:tcPr>
            <w:tcW w:w="712" w:type="dxa"/>
          </w:tcPr>
          <w:p w:rsidR="00741230" w:rsidRPr="007F23EE" w:rsidRDefault="00741230" w:rsidP="0085587A">
            <w:pPr>
              <w:jc w:val="center"/>
              <w:rPr>
                <w:sz w:val="20"/>
                <w:szCs w:val="20"/>
              </w:rPr>
            </w:pPr>
            <w:r w:rsidRPr="007F23EE">
              <w:rPr>
                <w:sz w:val="20"/>
                <w:szCs w:val="20"/>
              </w:rPr>
              <w:t>1</w:t>
            </w: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04" w:type="dxa"/>
          </w:tcPr>
          <w:p w:rsidR="00741230" w:rsidRPr="007F23EE" w:rsidRDefault="00741230" w:rsidP="0085587A">
            <w:pPr>
              <w:jc w:val="center"/>
              <w:rPr>
                <w:sz w:val="20"/>
                <w:szCs w:val="20"/>
              </w:rPr>
            </w:pPr>
          </w:p>
        </w:tc>
        <w:tc>
          <w:tcPr>
            <w:tcW w:w="396" w:type="dxa"/>
          </w:tcPr>
          <w:p w:rsidR="00741230" w:rsidRPr="007F23EE" w:rsidRDefault="00741230" w:rsidP="0085587A">
            <w:pPr>
              <w:jc w:val="center"/>
              <w:rPr>
                <w:sz w:val="20"/>
                <w:szCs w:val="20"/>
              </w:rPr>
            </w:pPr>
          </w:p>
        </w:tc>
      </w:tr>
      <w:tr w:rsidR="00170AAC" w:rsidRPr="007F23EE" w:rsidTr="001F124F">
        <w:trPr>
          <w:trHeight w:val="181"/>
          <w:jc w:val="center"/>
        </w:trPr>
        <w:tc>
          <w:tcPr>
            <w:tcW w:w="1941" w:type="dxa"/>
          </w:tcPr>
          <w:p w:rsidR="00741230" w:rsidRPr="001F124F" w:rsidRDefault="00741230" w:rsidP="0085587A">
            <w:pPr>
              <w:rPr>
                <w:sz w:val="20"/>
                <w:szCs w:val="20"/>
              </w:rPr>
            </w:pPr>
            <w:r w:rsidRPr="001F124F">
              <w:rPr>
                <w:sz w:val="20"/>
                <w:szCs w:val="20"/>
              </w:rPr>
              <w:t>11. LNG Experience</w:t>
            </w:r>
          </w:p>
        </w:tc>
        <w:tc>
          <w:tcPr>
            <w:tcW w:w="719" w:type="dxa"/>
          </w:tcPr>
          <w:p w:rsidR="00741230" w:rsidRPr="007F23EE" w:rsidRDefault="00741230" w:rsidP="0085587A">
            <w:pPr>
              <w:jc w:val="center"/>
              <w:rPr>
                <w:sz w:val="20"/>
                <w:szCs w:val="20"/>
              </w:rPr>
            </w:pPr>
            <w:r w:rsidRPr="00CE603C">
              <w:rPr>
                <w:sz w:val="20"/>
                <w:szCs w:val="20"/>
              </w:rPr>
              <w:t>3.88</w:t>
            </w:r>
          </w:p>
        </w:tc>
        <w:tc>
          <w:tcPr>
            <w:tcW w:w="725" w:type="dxa"/>
          </w:tcPr>
          <w:p w:rsidR="00741230" w:rsidRPr="007F23EE" w:rsidRDefault="00741230" w:rsidP="0085587A">
            <w:pPr>
              <w:jc w:val="center"/>
              <w:rPr>
                <w:sz w:val="20"/>
                <w:szCs w:val="20"/>
              </w:rPr>
            </w:pPr>
            <w:r w:rsidRPr="00CE603C">
              <w:rPr>
                <w:sz w:val="20"/>
                <w:szCs w:val="20"/>
              </w:rPr>
              <w:t>5.62</w:t>
            </w:r>
          </w:p>
        </w:tc>
        <w:tc>
          <w:tcPr>
            <w:tcW w:w="702" w:type="dxa"/>
          </w:tcPr>
          <w:p w:rsidR="00741230" w:rsidRPr="007F23EE" w:rsidRDefault="00741230" w:rsidP="0085587A">
            <w:pPr>
              <w:jc w:val="center"/>
              <w:rPr>
                <w:sz w:val="20"/>
                <w:szCs w:val="20"/>
              </w:rPr>
            </w:pPr>
            <w:r w:rsidRPr="007F23EE">
              <w:rPr>
                <w:sz w:val="20"/>
                <w:szCs w:val="20"/>
              </w:rPr>
              <w:t>0.33</w:t>
            </w:r>
          </w:p>
        </w:tc>
        <w:tc>
          <w:tcPr>
            <w:tcW w:w="712" w:type="dxa"/>
          </w:tcPr>
          <w:p w:rsidR="00741230" w:rsidRPr="007F23EE" w:rsidRDefault="00741230" w:rsidP="0085587A">
            <w:pPr>
              <w:jc w:val="center"/>
              <w:rPr>
                <w:sz w:val="20"/>
                <w:szCs w:val="20"/>
              </w:rPr>
            </w:pPr>
            <w:r w:rsidRPr="007F23EE">
              <w:rPr>
                <w:sz w:val="20"/>
                <w:szCs w:val="20"/>
              </w:rPr>
              <w:t>0.28</w:t>
            </w:r>
          </w:p>
        </w:tc>
        <w:tc>
          <w:tcPr>
            <w:tcW w:w="712" w:type="dxa"/>
          </w:tcPr>
          <w:p w:rsidR="00741230" w:rsidRPr="007F23EE" w:rsidRDefault="00741230" w:rsidP="0085587A">
            <w:pPr>
              <w:jc w:val="center"/>
              <w:rPr>
                <w:sz w:val="20"/>
                <w:szCs w:val="20"/>
              </w:rPr>
            </w:pPr>
            <w:r w:rsidRPr="007F23EE">
              <w:rPr>
                <w:sz w:val="20"/>
                <w:szCs w:val="20"/>
              </w:rPr>
              <w:t>0.25</w:t>
            </w:r>
          </w:p>
        </w:tc>
        <w:tc>
          <w:tcPr>
            <w:tcW w:w="712" w:type="dxa"/>
          </w:tcPr>
          <w:p w:rsidR="00741230" w:rsidRPr="007F23EE" w:rsidRDefault="00741230" w:rsidP="0085587A">
            <w:pPr>
              <w:jc w:val="center"/>
              <w:rPr>
                <w:sz w:val="20"/>
                <w:szCs w:val="20"/>
              </w:rPr>
            </w:pPr>
            <w:r w:rsidRPr="007F23EE">
              <w:rPr>
                <w:sz w:val="20"/>
                <w:szCs w:val="20"/>
              </w:rPr>
              <w:t>-0.01</w:t>
            </w:r>
          </w:p>
        </w:tc>
        <w:tc>
          <w:tcPr>
            <w:tcW w:w="712" w:type="dxa"/>
          </w:tcPr>
          <w:p w:rsidR="00741230" w:rsidRPr="007F23EE" w:rsidRDefault="00741230" w:rsidP="0085587A">
            <w:pPr>
              <w:jc w:val="center"/>
              <w:rPr>
                <w:sz w:val="20"/>
                <w:szCs w:val="20"/>
              </w:rPr>
            </w:pPr>
            <w:r w:rsidRPr="007F23EE">
              <w:rPr>
                <w:sz w:val="20"/>
                <w:szCs w:val="20"/>
              </w:rPr>
              <w:t>0.40</w:t>
            </w:r>
          </w:p>
        </w:tc>
        <w:tc>
          <w:tcPr>
            <w:tcW w:w="712" w:type="dxa"/>
          </w:tcPr>
          <w:p w:rsidR="00741230" w:rsidRPr="007F23EE" w:rsidRDefault="00741230" w:rsidP="0085587A">
            <w:pPr>
              <w:jc w:val="center"/>
              <w:rPr>
                <w:sz w:val="20"/>
                <w:szCs w:val="20"/>
              </w:rPr>
            </w:pPr>
            <w:r w:rsidRPr="007F23EE">
              <w:rPr>
                <w:sz w:val="20"/>
                <w:szCs w:val="20"/>
              </w:rPr>
              <w:t>0.31</w:t>
            </w:r>
          </w:p>
        </w:tc>
        <w:tc>
          <w:tcPr>
            <w:tcW w:w="712" w:type="dxa"/>
          </w:tcPr>
          <w:p w:rsidR="00741230" w:rsidRPr="007F23EE" w:rsidRDefault="00741230" w:rsidP="0085587A">
            <w:pPr>
              <w:jc w:val="center"/>
              <w:rPr>
                <w:sz w:val="20"/>
                <w:szCs w:val="20"/>
              </w:rPr>
            </w:pPr>
            <w:r w:rsidRPr="007F23EE">
              <w:rPr>
                <w:sz w:val="20"/>
                <w:szCs w:val="20"/>
              </w:rPr>
              <w:t>0.19</w:t>
            </w:r>
          </w:p>
        </w:tc>
        <w:tc>
          <w:tcPr>
            <w:tcW w:w="712" w:type="dxa"/>
          </w:tcPr>
          <w:p w:rsidR="00741230" w:rsidRPr="007F23EE" w:rsidRDefault="00741230" w:rsidP="0085587A">
            <w:pPr>
              <w:jc w:val="center"/>
              <w:rPr>
                <w:sz w:val="20"/>
                <w:szCs w:val="20"/>
              </w:rPr>
            </w:pPr>
            <w:r w:rsidRPr="007F23EE">
              <w:rPr>
                <w:sz w:val="20"/>
                <w:szCs w:val="20"/>
              </w:rPr>
              <w:t>0.46</w:t>
            </w:r>
          </w:p>
        </w:tc>
        <w:tc>
          <w:tcPr>
            <w:tcW w:w="712" w:type="dxa"/>
          </w:tcPr>
          <w:p w:rsidR="00741230" w:rsidRPr="007F23EE" w:rsidRDefault="00741230" w:rsidP="0085587A">
            <w:pPr>
              <w:jc w:val="center"/>
              <w:rPr>
                <w:sz w:val="20"/>
                <w:szCs w:val="20"/>
              </w:rPr>
            </w:pPr>
            <w:r w:rsidRPr="007F23EE">
              <w:rPr>
                <w:sz w:val="20"/>
                <w:szCs w:val="20"/>
              </w:rPr>
              <w:t>0.19</w:t>
            </w:r>
          </w:p>
        </w:tc>
        <w:tc>
          <w:tcPr>
            <w:tcW w:w="712" w:type="dxa"/>
          </w:tcPr>
          <w:p w:rsidR="00741230" w:rsidRPr="007F23EE" w:rsidRDefault="00741230" w:rsidP="0085587A">
            <w:pPr>
              <w:jc w:val="center"/>
              <w:rPr>
                <w:sz w:val="20"/>
                <w:szCs w:val="20"/>
              </w:rPr>
            </w:pPr>
            <w:r w:rsidRPr="007F23EE">
              <w:rPr>
                <w:sz w:val="20"/>
                <w:szCs w:val="20"/>
              </w:rPr>
              <w:t>0.25</w:t>
            </w:r>
          </w:p>
        </w:tc>
        <w:tc>
          <w:tcPr>
            <w:tcW w:w="712" w:type="dxa"/>
          </w:tcPr>
          <w:p w:rsidR="00741230" w:rsidRPr="007F23EE" w:rsidRDefault="00741230" w:rsidP="0085587A">
            <w:pPr>
              <w:jc w:val="center"/>
              <w:rPr>
                <w:sz w:val="20"/>
                <w:szCs w:val="20"/>
              </w:rPr>
            </w:pPr>
            <w:r w:rsidRPr="007F23EE">
              <w:rPr>
                <w:sz w:val="20"/>
                <w:szCs w:val="20"/>
              </w:rPr>
              <w:t>1</w:t>
            </w: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04" w:type="dxa"/>
          </w:tcPr>
          <w:p w:rsidR="00741230" w:rsidRPr="007F23EE" w:rsidRDefault="00741230" w:rsidP="0085587A">
            <w:pPr>
              <w:jc w:val="center"/>
              <w:rPr>
                <w:sz w:val="20"/>
                <w:szCs w:val="20"/>
              </w:rPr>
            </w:pPr>
          </w:p>
        </w:tc>
        <w:tc>
          <w:tcPr>
            <w:tcW w:w="396" w:type="dxa"/>
          </w:tcPr>
          <w:p w:rsidR="00741230" w:rsidRPr="007F23EE" w:rsidRDefault="00741230" w:rsidP="0085587A">
            <w:pPr>
              <w:jc w:val="center"/>
              <w:rPr>
                <w:sz w:val="20"/>
                <w:szCs w:val="20"/>
              </w:rPr>
            </w:pPr>
          </w:p>
        </w:tc>
      </w:tr>
      <w:tr w:rsidR="00170AAC" w:rsidRPr="007F23EE" w:rsidTr="001F124F">
        <w:trPr>
          <w:trHeight w:val="181"/>
          <w:jc w:val="center"/>
        </w:trPr>
        <w:tc>
          <w:tcPr>
            <w:tcW w:w="1941" w:type="dxa"/>
          </w:tcPr>
          <w:p w:rsidR="00741230" w:rsidRPr="001F124F" w:rsidRDefault="00741230" w:rsidP="0085587A">
            <w:pPr>
              <w:rPr>
                <w:sz w:val="20"/>
                <w:szCs w:val="20"/>
              </w:rPr>
            </w:pPr>
            <w:r w:rsidRPr="001F124F">
              <w:rPr>
                <w:sz w:val="20"/>
                <w:szCs w:val="20"/>
              </w:rPr>
              <w:t xml:space="preserve">12. Import </w:t>
            </w:r>
            <w:proofErr w:type="spellStart"/>
            <w:r w:rsidRPr="001F124F">
              <w:rPr>
                <w:sz w:val="20"/>
                <w:szCs w:val="20"/>
              </w:rPr>
              <w:t>MShare</w:t>
            </w:r>
            <w:proofErr w:type="spellEnd"/>
          </w:p>
        </w:tc>
        <w:tc>
          <w:tcPr>
            <w:tcW w:w="719" w:type="dxa"/>
          </w:tcPr>
          <w:p w:rsidR="00741230" w:rsidRPr="007F23EE" w:rsidRDefault="00741230" w:rsidP="0085587A">
            <w:pPr>
              <w:jc w:val="center"/>
              <w:rPr>
                <w:sz w:val="20"/>
                <w:szCs w:val="20"/>
              </w:rPr>
            </w:pPr>
            <w:r>
              <w:rPr>
                <w:sz w:val="20"/>
                <w:szCs w:val="20"/>
              </w:rPr>
              <w:t>0</w:t>
            </w:r>
            <w:r w:rsidRPr="00CE603C">
              <w:rPr>
                <w:sz w:val="20"/>
                <w:szCs w:val="20"/>
              </w:rPr>
              <w:t>.28</w:t>
            </w:r>
          </w:p>
        </w:tc>
        <w:tc>
          <w:tcPr>
            <w:tcW w:w="725" w:type="dxa"/>
          </w:tcPr>
          <w:p w:rsidR="00741230" w:rsidRPr="007F23EE" w:rsidRDefault="00741230" w:rsidP="0085587A">
            <w:pPr>
              <w:jc w:val="center"/>
              <w:rPr>
                <w:sz w:val="20"/>
                <w:szCs w:val="20"/>
              </w:rPr>
            </w:pPr>
            <w:r>
              <w:rPr>
                <w:sz w:val="20"/>
                <w:szCs w:val="20"/>
              </w:rPr>
              <w:t>0</w:t>
            </w:r>
            <w:r w:rsidRPr="00CE603C">
              <w:rPr>
                <w:sz w:val="20"/>
                <w:szCs w:val="20"/>
              </w:rPr>
              <w:t>.99</w:t>
            </w:r>
          </w:p>
        </w:tc>
        <w:tc>
          <w:tcPr>
            <w:tcW w:w="702" w:type="dxa"/>
          </w:tcPr>
          <w:p w:rsidR="00741230" w:rsidRPr="007F23EE" w:rsidRDefault="00741230" w:rsidP="0085587A">
            <w:pPr>
              <w:jc w:val="center"/>
              <w:rPr>
                <w:sz w:val="20"/>
                <w:szCs w:val="20"/>
              </w:rPr>
            </w:pPr>
            <w:r w:rsidRPr="007F23EE">
              <w:rPr>
                <w:sz w:val="20"/>
                <w:szCs w:val="20"/>
              </w:rPr>
              <w:t>0.02</w:t>
            </w:r>
          </w:p>
        </w:tc>
        <w:tc>
          <w:tcPr>
            <w:tcW w:w="712" w:type="dxa"/>
          </w:tcPr>
          <w:p w:rsidR="00741230" w:rsidRPr="007F23EE" w:rsidRDefault="00741230" w:rsidP="0085587A">
            <w:pPr>
              <w:jc w:val="center"/>
              <w:rPr>
                <w:sz w:val="20"/>
                <w:szCs w:val="20"/>
              </w:rPr>
            </w:pPr>
            <w:r w:rsidRPr="007F23EE">
              <w:rPr>
                <w:sz w:val="20"/>
                <w:szCs w:val="20"/>
              </w:rPr>
              <w:t>0.03</w:t>
            </w:r>
          </w:p>
        </w:tc>
        <w:tc>
          <w:tcPr>
            <w:tcW w:w="712" w:type="dxa"/>
          </w:tcPr>
          <w:p w:rsidR="00741230" w:rsidRPr="007F23EE" w:rsidRDefault="00741230" w:rsidP="0085587A">
            <w:pPr>
              <w:jc w:val="center"/>
              <w:rPr>
                <w:sz w:val="20"/>
                <w:szCs w:val="20"/>
              </w:rPr>
            </w:pPr>
            <w:r w:rsidRPr="007F23EE">
              <w:rPr>
                <w:sz w:val="20"/>
                <w:szCs w:val="20"/>
              </w:rPr>
              <w:t>0.00</w:t>
            </w:r>
          </w:p>
        </w:tc>
        <w:tc>
          <w:tcPr>
            <w:tcW w:w="712" w:type="dxa"/>
          </w:tcPr>
          <w:p w:rsidR="00741230" w:rsidRPr="007F23EE" w:rsidRDefault="00741230" w:rsidP="0085587A">
            <w:pPr>
              <w:jc w:val="center"/>
              <w:rPr>
                <w:sz w:val="20"/>
                <w:szCs w:val="20"/>
              </w:rPr>
            </w:pPr>
            <w:r w:rsidRPr="007F23EE">
              <w:rPr>
                <w:sz w:val="20"/>
                <w:szCs w:val="20"/>
              </w:rPr>
              <w:t>0.02</w:t>
            </w:r>
          </w:p>
        </w:tc>
        <w:tc>
          <w:tcPr>
            <w:tcW w:w="712" w:type="dxa"/>
          </w:tcPr>
          <w:p w:rsidR="00741230" w:rsidRPr="007F23EE" w:rsidRDefault="00741230" w:rsidP="0085587A">
            <w:pPr>
              <w:jc w:val="center"/>
              <w:rPr>
                <w:sz w:val="20"/>
                <w:szCs w:val="20"/>
              </w:rPr>
            </w:pPr>
            <w:r w:rsidRPr="007F23EE">
              <w:rPr>
                <w:sz w:val="20"/>
                <w:szCs w:val="20"/>
              </w:rPr>
              <w:t>0.05</w:t>
            </w:r>
          </w:p>
        </w:tc>
        <w:tc>
          <w:tcPr>
            <w:tcW w:w="712" w:type="dxa"/>
          </w:tcPr>
          <w:p w:rsidR="00741230" w:rsidRPr="007F23EE" w:rsidRDefault="00741230" w:rsidP="0085587A">
            <w:pPr>
              <w:jc w:val="center"/>
              <w:rPr>
                <w:sz w:val="20"/>
                <w:szCs w:val="20"/>
              </w:rPr>
            </w:pPr>
            <w:r w:rsidRPr="007F23EE">
              <w:rPr>
                <w:sz w:val="20"/>
                <w:szCs w:val="20"/>
              </w:rPr>
              <w:t>0.05</w:t>
            </w:r>
          </w:p>
        </w:tc>
        <w:tc>
          <w:tcPr>
            <w:tcW w:w="712" w:type="dxa"/>
          </w:tcPr>
          <w:p w:rsidR="00741230" w:rsidRPr="007F23EE" w:rsidRDefault="00741230" w:rsidP="0085587A">
            <w:pPr>
              <w:jc w:val="center"/>
              <w:rPr>
                <w:sz w:val="20"/>
                <w:szCs w:val="20"/>
              </w:rPr>
            </w:pPr>
            <w:r w:rsidRPr="007F23EE">
              <w:rPr>
                <w:sz w:val="20"/>
                <w:szCs w:val="20"/>
              </w:rPr>
              <w:t>-0.21</w:t>
            </w:r>
          </w:p>
        </w:tc>
        <w:tc>
          <w:tcPr>
            <w:tcW w:w="712" w:type="dxa"/>
          </w:tcPr>
          <w:p w:rsidR="00741230" w:rsidRPr="007F23EE" w:rsidRDefault="00741230" w:rsidP="0085587A">
            <w:pPr>
              <w:jc w:val="center"/>
              <w:rPr>
                <w:sz w:val="20"/>
                <w:szCs w:val="20"/>
              </w:rPr>
            </w:pPr>
            <w:r w:rsidRPr="007F23EE">
              <w:rPr>
                <w:sz w:val="20"/>
                <w:szCs w:val="20"/>
              </w:rPr>
              <w:t>0.03</w:t>
            </w:r>
          </w:p>
        </w:tc>
        <w:tc>
          <w:tcPr>
            <w:tcW w:w="712" w:type="dxa"/>
          </w:tcPr>
          <w:p w:rsidR="00741230" w:rsidRPr="007F23EE" w:rsidRDefault="00741230" w:rsidP="0085587A">
            <w:pPr>
              <w:jc w:val="center"/>
              <w:rPr>
                <w:sz w:val="20"/>
                <w:szCs w:val="20"/>
              </w:rPr>
            </w:pPr>
            <w:r w:rsidRPr="007F23EE">
              <w:rPr>
                <w:sz w:val="20"/>
                <w:szCs w:val="20"/>
              </w:rPr>
              <w:t>-0.01</w:t>
            </w:r>
          </w:p>
        </w:tc>
        <w:tc>
          <w:tcPr>
            <w:tcW w:w="712" w:type="dxa"/>
          </w:tcPr>
          <w:p w:rsidR="00741230" w:rsidRPr="007F23EE" w:rsidRDefault="00741230" w:rsidP="0085587A">
            <w:pPr>
              <w:jc w:val="center"/>
              <w:rPr>
                <w:sz w:val="20"/>
                <w:szCs w:val="20"/>
              </w:rPr>
            </w:pPr>
            <w:r w:rsidRPr="007F23EE">
              <w:rPr>
                <w:sz w:val="20"/>
                <w:szCs w:val="20"/>
              </w:rPr>
              <w:t>-0.13</w:t>
            </w:r>
          </w:p>
        </w:tc>
        <w:tc>
          <w:tcPr>
            <w:tcW w:w="712" w:type="dxa"/>
          </w:tcPr>
          <w:p w:rsidR="00741230" w:rsidRPr="007F23EE" w:rsidRDefault="00741230" w:rsidP="0085587A">
            <w:pPr>
              <w:jc w:val="center"/>
              <w:rPr>
                <w:sz w:val="20"/>
                <w:szCs w:val="20"/>
              </w:rPr>
            </w:pPr>
            <w:r w:rsidRPr="007F23EE">
              <w:rPr>
                <w:sz w:val="20"/>
                <w:szCs w:val="20"/>
              </w:rPr>
              <w:t>0.04</w:t>
            </w:r>
          </w:p>
        </w:tc>
        <w:tc>
          <w:tcPr>
            <w:tcW w:w="712" w:type="dxa"/>
          </w:tcPr>
          <w:p w:rsidR="00741230" w:rsidRPr="007F23EE" w:rsidRDefault="00741230" w:rsidP="0085587A">
            <w:pPr>
              <w:jc w:val="center"/>
              <w:rPr>
                <w:sz w:val="20"/>
                <w:szCs w:val="20"/>
              </w:rPr>
            </w:pPr>
            <w:r w:rsidRPr="007F23EE">
              <w:rPr>
                <w:sz w:val="20"/>
                <w:szCs w:val="20"/>
              </w:rPr>
              <w:t>1</w:t>
            </w: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04" w:type="dxa"/>
          </w:tcPr>
          <w:p w:rsidR="00741230" w:rsidRPr="007F23EE" w:rsidRDefault="00741230" w:rsidP="0085587A">
            <w:pPr>
              <w:jc w:val="center"/>
              <w:rPr>
                <w:sz w:val="20"/>
                <w:szCs w:val="20"/>
              </w:rPr>
            </w:pPr>
          </w:p>
        </w:tc>
        <w:tc>
          <w:tcPr>
            <w:tcW w:w="396" w:type="dxa"/>
          </w:tcPr>
          <w:p w:rsidR="00741230" w:rsidRPr="007F23EE" w:rsidRDefault="00741230" w:rsidP="0085587A">
            <w:pPr>
              <w:jc w:val="center"/>
              <w:rPr>
                <w:sz w:val="20"/>
                <w:szCs w:val="20"/>
              </w:rPr>
            </w:pPr>
          </w:p>
        </w:tc>
      </w:tr>
      <w:tr w:rsidR="00170AAC" w:rsidRPr="007F23EE" w:rsidTr="001F124F">
        <w:trPr>
          <w:trHeight w:val="181"/>
          <w:jc w:val="center"/>
        </w:trPr>
        <w:tc>
          <w:tcPr>
            <w:tcW w:w="1941" w:type="dxa"/>
          </w:tcPr>
          <w:p w:rsidR="00741230" w:rsidRPr="001F124F" w:rsidRDefault="00741230" w:rsidP="0085587A">
            <w:pPr>
              <w:rPr>
                <w:sz w:val="20"/>
                <w:szCs w:val="20"/>
              </w:rPr>
            </w:pPr>
            <w:r w:rsidRPr="001F124F">
              <w:rPr>
                <w:sz w:val="20"/>
                <w:szCs w:val="20"/>
              </w:rPr>
              <w:t xml:space="preserve">13. Export </w:t>
            </w:r>
            <w:proofErr w:type="spellStart"/>
            <w:r w:rsidRPr="001F124F">
              <w:rPr>
                <w:sz w:val="20"/>
                <w:szCs w:val="20"/>
              </w:rPr>
              <w:t>MShare</w:t>
            </w:r>
            <w:proofErr w:type="spellEnd"/>
          </w:p>
        </w:tc>
        <w:tc>
          <w:tcPr>
            <w:tcW w:w="719" w:type="dxa"/>
          </w:tcPr>
          <w:p w:rsidR="00741230" w:rsidRPr="007F23EE" w:rsidRDefault="00741230" w:rsidP="0085587A">
            <w:pPr>
              <w:jc w:val="center"/>
              <w:rPr>
                <w:sz w:val="20"/>
                <w:szCs w:val="20"/>
              </w:rPr>
            </w:pPr>
            <w:r w:rsidRPr="00CE603C">
              <w:rPr>
                <w:sz w:val="20"/>
                <w:szCs w:val="20"/>
              </w:rPr>
              <w:t>1.60</w:t>
            </w:r>
          </w:p>
        </w:tc>
        <w:tc>
          <w:tcPr>
            <w:tcW w:w="725" w:type="dxa"/>
          </w:tcPr>
          <w:p w:rsidR="00741230" w:rsidRPr="007F23EE" w:rsidRDefault="00741230" w:rsidP="0085587A">
            <w:pPr>
              <w:jc w:val="center"/>
              <w:rPr>
                <w:sz w:val="20"/>
                <w:szCs w:val="20"/>
              </w:rPr>
            </w:pPr>
            <w:r w:rsidRPr="00CE603C">
              <w:rPr>
                <w:sz w:val="20"/>
                <w:szCs w:val="20"/>
              </w:rPr>
              <w:t>3.56</w:t>
            </w:r>
          </w:p>
        </w:tc>
        <w:tc>
          <w:tcPr>
            <w:tcW w:w="702" w:type="dxa"/>
          </w:tcPr>
          <w:p w:rsidR="00741230" w:rsidRPr="007F23EE" w:rsidRDefault="00741230" w:rsidP="0085587A">
            <w:pPr>
              <w:jc w:val="center"/>
              <w:rPr>
                <w:sz w:val="20"/>
                <w:szCs w:val="20"/>
              </w:rPr>
            </w:pPr>
            <w:r w:rsidRPr="007F23EE">
              <w:rPr>
                <w:sz w:val="20"/>
                <w:szCs w:val="20"/>
              </w:rPr>
              <w:t>0.11</w:t>
            </w:r>
          </w:p>
        </w:tc>
        <w:tc>
          <w:tcPr>
            <w:tcW w:w="712" w:type="dxa"/>
          </w:tcPr>
          <w:p w:rsidR="00741230" w:rsidRPr="007F23EE" w:rsidRDefault="00741230" w:rsidP="0085587A">
            <w:pPr>
              <w:jc w:val="center"/>
              <w:rPr>
                <w:sz w:val="20"/>
                <w:szCs w:val="20"/>
              </w:rPr>
            </w:pPr>
            <w:r w:rsidRPr="007F23EE">
              <w:rPr>
                <w:sz w:val="20"/>
                <w:szCs w:val="20"/>
              </w:rPr>
              <w:t>0.07</w:t>
            </w:r>
          </w:p>
        </w:tc>
        <w:tc>
          <w:tcPr>
            <w:tcW w:w="712" w:type="dxa"/>
          </w:tcPr>
          <w:p w:rsidR="00741230" w:rsidRPr="007F23EE" w:rsidRDefault="00741230" w:rsidP="0085587A">
            <w:pPr>
              <w:jc w:val="center"/>
              <w:rPr>
                <w:sz w:val="20"/>
                <w:szCs w:val="20"/>
              </w:rPr>
            </w:pPr>
            <w:r w:rsidRPr="007F23EE">
              <w:rPr>
                <w:sz w:val="20"/>
                <w:szCs w:val="20"/>
              </w:rPr>
              <w:t>0.12</w:t>
            </w:r>
          </w:p>
        </w:tc>
        <w:tc>
          <w:tcPr>
            <w:tcW w:w="712" w:type="dxa"/>
          </w:tcPr>
          <w:p w:rsidR="00741230" w:rsidRPr="007F23EE" w:rsidRDefault="00741230" w:rsidP="0085587A">
            <w:pPr>
              <w:jc w:val="center"/>
              <w:rPr>
                <w:sz w:val="20"/>
                <w:szCs w:val="20"/>
              </w:rPr>
            </w:pPr>
            <w:r w:rsidRPr="007F23EE">
              <w:rPr>
                <w:sz w:val="20"/>
                <w:szCs w:val="20"/>
              </w:rPr>
              <w:t>-0.06</w:t>
            </w:r>
          </w:p>
        </w:tc>
        <w:tc>
          <w:tcPr>
            <w:tcW w:w="712" w:type="dxa"/>
          </w:tcPr>
          <w:p w:rsidR="00741230" w:rsidRPr="007F23EE" w:rsidRDefault="00741230" w:rsidP="0085587A">
            <w:pPr>
              <w:jc w:val="center"/>
              <w:rPr>
                <w:sz w:val="20"/>
                <w:szCs w:val="20"/>
              </w:rPr>
            </w:pPr>
            <w:r w:rsidRPr="007F23EE">
              <w:rPr>
                <w:sz w:val="20"/>
                <w:szCs w:val="20"/>
              </w:rPr>
              <w:t>0.22</w:t>
            </w:r>
          </w:p>
        </w:tc>
        <w:tc>
          <w:tcPr>
            <w:tcW w:w="712" w:type="dxa"/>
          </w:tcPr>
          <w:p w:rsidR="00741230" w:rsidRPr="007F23EE" w:rsidRDefault="00741230" w:rsidP="0085587A">
            <w:pPr>
              <w:jc w:val="center"/>
              <w:rPr>
                <w:sz w:val="20"/>
                <w:szCs w:val="20"/>
              </w:rPr>
            </w:pPr>
            <w:r w:rsidRPr="007F23EE">
              <w:rPr>
                <w:sz w:val="20"/>
                <w:szCs w:val="20"/>
              </w:rPr>
              <w:t>0.03</w:t>
            </w:r>
          </w:p>
        </w:tc>
        <w:tc>
          <w:tcPr>
            <w:tcW w:w="712" w:type="dxa"/>
          </w:tcPr>
          <w:p w:rsidR="00741230" w:rsidRPr="007F23EE" w:rsidRDefault="00741230" w:rsidP="0085587A">
            <w:pPr>
              <w:jc w:val="center"/>
              <w:rPr>
                <w:sz w:val="20"/>
                <w:szCs w:val="20"/>
              </w:rPr>
            </w:pPr>
            <w:r w:rsidRPr="007F23EE">
              <w:rPr>
                <w:sz w:val="20"/>
                <w:szCs w:val="20"/>
              </w:rPr>
              <w:t>-0.07</w:t>
            </w:r>
          </w:p>
        </w:tc>
        <w:tc>
          <w:tcPr>
            <w:tcW w:w="712" w:type="dxa"/>
          </w:tcPr>
          <w:p w:rsidR="00741230" w:rsidRPr="007F23EE" w:rsidRDefault="00741230" w:rsidP="0085587A">
            <w:pPr>
              <w:jc w:val="center"/>
              <w:rPr>
                <w:sz w:val="20"/>
                <w:szCs w:val="20"/>
              </w:rPr>
            </w:pPr>
            <w:r w:rsidRPr="007F23EE">
              <w:rPr>
                <w:sz w:val="20"/>
                <w:szCs w:val="20"/>
              </w:rPr>
              <w:t>0.28</w:t>
            </w:r>
          </w:p>
        </w:tc>
        <w:tc>
          <w:tcPr>
            <w:tcW w:w="712" w:type="dxa"/>
          </w:tcPr>
          <w:p w:rsidR="00741230" w:rsidRPr="007F23EE" w:rsidRDefault="00741230" w:rsidP="0085587A">
            <w:pPr>
              <w:jc w:val="center"/>
              <w:rPr>
                <w:sz w:val="20"/>
                <w:szCs w:val="20"/>
              </w:rPr>
            </w:pPr>
            <w:r w:rsidRPr="007F23EE">
              <w:rPr>
                <w:sz w:val="20"/>
                <w:szCs w:val="20"/>
              </w:rPr>
              <w:t>0.20</w:t>
            </w:r>
          </w:p>
        </w:tc>
        <w:tc>
          <w:tcPr>
            <w:tcW w:w="712" w:type="dxa"/>
          </w:tcPr>
          <w:p w:rsidR="00741230" w:rsidRPr="007F23EE" w:rsidRDefault="00741230" w:rsidP="0085587A">
            <w:pPr>
              <w:jc w:val="center"/>
              <w:rPr>
                <w:sz w:val="20"/>
                <w:szCs w:val="20"/>
              </w:rPr>
            </w:pPr>
            <w:r w:rsidRPr="007F23EE">
              <w:rPr>
                <w:sz w:val="20"/>
                <w:szCs w:val="20"/>
              </w:rPr>
              <w:t>0.41</w:t>
            </w:r>
          </w:p>
        </w:tc>
        <w:tc>
          <w:tcPr>
            <w:tcW w:w="712" w:type="dxa"/>
          </w:tcPr>
          <w:p w:rsidR="00741230" w:rsidRPr="007F23EE" w:rsidRDefault="00741230" w:rsidP="0085587A">
            <w:pPr>
              <w:jc w:val="center"/>
              <w:rPr>
                <w:sz w:val="20"/>
                <w:szCs w:val="20"/>
              </w:rPr>
            </w:pPr>
            <w:r w:rsidRPr="007F23EE">
              <w:rPr>
                <w:sz w:val="20"/>
                <w:szCs w:val="20"/>
              </w:rPr>
              <w:t>0.48</w:t>
            </w:r>
          </w:p>
        </w:tc>
        <w:tc>
          <w:tcPr>
            <w:tcW w:w="712" w:type="dxa"/>
          </w:tcPr>
          <w:p w:rsidR="00741230" w:rsidRPr="007F23EE" w:rsidRDefault="00741230" w:rsidP="0085587A">
            <w:pPr>
              <w:jc w:val="center"/>
              <w:rPr>
                <w:sz w:val="20"/>
                <w:szCs w:val="20"/>
              </w:rPr>
            </w:pPr>
            <w:r w:rsidRPr="007F23EE">
              <w:rPr>
                <w:sz w:val="20"/>
                <w:szCs w:val="20"/>
              </w:rPr>
              <w:t>-0.09</w:t>
            </w:r>
          </w:p>
        </w:tc>
        <w:tc>
          <w:tcPr>
            <w:tcW w:w="712" w:type="dxa"/>
          </w:tcPr>
          <w:p w:rsidR="00741230" w:rsidRPr="007F23EE" w:rsidRDefault="00741230" w:rsidP="0085587A">
            <w:pPr>
              <w:jc w:val="center"/>
              <w:rPr>
                <w:sz w:val="20"/>
                <w:szCs w:val="20"/>
              </w:rPr>
            </w:pPr>
            <w:r w:rsidRPr="007F23EE">
              <w:rPr>
                <w:sz w:val="20"/>
                <w:szCs w:val="20"/>
              </w:rPr>
              <w:t>1</w:t>
            </w:r>
          </w:p>
        </w:tc>
        <w:tc>
          <w:tcPr>
            <w:tcW w:w="712" w:type="dxa"/>
          </w:tcPr>
          <w:p w:rsidR="00741230" w:rsidRPr="007F23EE" w:rsidRDefault="00741230" w:rsidP="0085587A">
            <w:pPr>
              <w:jc w:val="center"/>
              <w:rPr>
                <w:sz w:val="20"/>
                <w:szCs w:val="20"/>
              </w:rPr>
            </w:pPr>
          </w:p>
        </w:tc>
        <w:tc>
          <w:tcPr>
            <w:tcW w:w="712" w:type="dxa"/>
          </w:tcPr>
          <w:p w:rsidR="00741230" w:rsidRPr="007F23EE" w:rsidRDefault="00741230" w:rsidP="0085587A">
            <w:pPr>
              <w:jc w:val="center"/>
              <w:rPr>
                <w:sz w:val="20"/>
                <w:szCs w:val="20"/>
              </w:rPr>
            </w:pPr>
          </w:p>
        </w:tc>
        <w:tc>
          <w:tcPr>
            <w:tcW w:w="704" w:type="dxa"/>
          </w:tcPr>
          <w:p w:rsidR="00741230" w:rsidRPr="007F23EE" w:rsidRDefault="00741230" w:rsidP="0085587A">
            <w:pPr>
              <w:jc w:val="center"/>
              <w:rPr>
                <w:sz w:val="20"/>
                <w:szCs w:val="20"/>
              </w:rPr>
            </w:pPr>
          </w:p>
        </w:tc>
        <w:tc>
          <w:tcPr>
            <w:tcW w:w="396" w:type="dxa"/>
          </w:tcPr>
          <w:p w:rsidR="00741230" w:rsidRPr="007F23EE" w:rsidRDefault="00741230" w:rsidP="0085587A">
            <w:pPr>
              <w:jc w:val="center"/>
              <w:rPr>
                <w:sz w:val="20"/>
                <w:szCs w:val="20"/>
              </w:rPr>
            </w:pPr>
          </w:p>
        </w:tc>
      </w:tr>
      <w:tr w:rsidR="00170AAC" w:rsidRPr="007F23EE" w:rsidTr="001F124F">
        <w:trPr>
          <w:trHeight w:val="181"/>
          <w:jc w:val="center"/>
        </w:trPr>
        <w:tc>
          <w:tcPr>
            <w:tcW w:w="1941" w:type="dxa"/>
          </w:tcPr>
          <w:p w:rsidR="00741230" w:rsidRPr="001F124F" w:rsidRDefault="00741230" w:rsidP="0085587A">
            <w:pPr>
              <w:rPr>
                <w:sz w:val="20"/>
                <w:szCs w:val="20"/>
              </w:rPr>
            </w:pPr>
            <w:r w:rsidRPr="001F124F">
              <w:rPr>
                <w:sz w:val="20"/>
                <w:szCs w:val="20"/>
              </w:rPr>
              <w:t>14. LNG Demand</w:t>
            </w:r>
          </w:p>
        </w:tc>
        <w:tc>
          <w:tcPr>
            <w:tcW w:w="719" w:type="dxa"/>
          </w:tcPr>
          <w:p w:rsidR="00741230" w:rsidRPr="007F23EE" w:rsidRDefault="00741230" w:rsidP="0085587A">
            <w:pPr>
              <w:jc w:val="center"/>
              <w:rPr>
                <w:sz w:val="20"/>
                <w:szCs w:val="20"/>
              </w:rPr>
            </w:pPr>
            <w:r w:rsidRPr="00CE603C">
              <w:rPr>
                <w:sz w:val="20"/>
                <w:szCs w:val="20"/>
              </w:rPr>
              <w:t>7.49</w:t>
            </w:r>
          </w:p>
        </w:tc>
        <w:tc>
          <w:tcPr>
            <w:tcW w:w="725" w:type="dxa"/>
          </w:tcPr>
          <w:p w:rsidR="00741230" w:rsidRPr="007F23EE" w:rsidRDefault="00741230" w:rsidP="0085587A">
            <w:pPr>
              <w:jc w:val="center"/>
              <w:rPr>
                <w:sz w:val="20"/>
                <w:szCs w:val="20"/>
              </w:rPr>
            </w:pPr>
            <w:r>
              <w:rPr>
                <w:sz w:val="20"/>
                <w:szCs w:val="20"/>
              </w:rPr>
              <w:t>0</w:t>
            </w:r>
            <w:r w:rsidRPr="00CE603C">
              <w:rPr>
                <w:sz w:val="20"/>
                <w:szCs w:val="20"/>
              </w:rPr>
              <w:t>.83</w:t>
            </w:r>
          </w:p>
        </w:tc>
        <w:tc>
          <w:tcPr>
            <w:tcW w:w="702" w:type="dxa"/>
          </w:tcPr>
          <w:p w:rsidR="00741230" w:rsidRPr="007F23EE" w:rsidRDefault="00741230" w:rsidP="0085587A">
            <w:pPr>
              <w:jc w:val="center"/>
              <w:rPr>
                <w:sz w:val="20"/>
                <w:szCs w:val="20"/>
              </w:rPr>
            </w:pPr>
            <w:r w:rsidRPr="007F23EE">
              <w:rPr>
                <w:sz w:val="20"/>
                <w:szCs w:val="20"/>
              </w:rPr>
              <w:t>-0.04</w:t>
            </w:r>
          </w:p>
        </w:tc>
        <w:tc>
          <w:tcPr>
            <w:tcW w:w="712" w:type="dxa"/>
          </w:tcPr>
          <w:p w:rsidR="00741230" w:rsidRPr="007F23EE" w:rsidRDefault="00741230" w:rsidP="0085587A">
            <w:pPr>
              <w:jc w:val="center"/>
              <w:rPr>
                <w:sz w:val="20"/>
                <w:szCs w:val="20"/>
              </w:rPr>
            </w:pPr>
            <w:r w:rsidRPr="007F23EE">
              <w:rPr>
                <w:sz w:val="20"/>
                <w:szCs w:val="20"/>
              </w:rPr>
              <w:t>-0.02</w:t>
            </w:r>
          </w:p>
        </w:tc>
        <w:tc>
          <w:tcPr>
            <w:tcW w:w="712" w:type="dxa"/>
          </w:tcPr>
          <w:p w:rsidR="00741230" w:rsidRPr="007F23EE" w:rsidRDefault="00741230" w:rsidP="0085587A">
            <w:pPr>
              <w:jc w:val="center"/>
              <w:rPr>
                <w:sz w:val="20"/>
                <w:szCs w:val="20"/>
              </w:rPr>
            </w:pPr>
            <w:r w:rsidRPr="007F23EE">
              <w:rPr>
                <w:sz w:val="20"/>
                <w:szCs w:val="20"/>
              </w:rPr>
              <w:t>-0.04</w:t>
            </w:r>
          </w:p>
        </w:tc>
        <w:tc>
          <w:tcPr>
            <w:tcW w:w="712" w:type="dxa"/>
          </w:tcPr>
          <w:p w:rsidR="00741230" w:rsidRPr="007F23EE" w:rsidRDefault="00741230" w:rsidP="0085587A">
            <w:pPr>
              <w:jc w:val="center"/>
              <w:rPr>
                <w:sz w:val="20"/>
                <w:szCs w:val="20"/>
              </w:rPr>
            </w:pPr>
            <w:r w:rsidRPr="007F23EE">
              <w:rPr>
                <w:sz w:val="20"/>
                <w:szCs w:val="20"/>
              </w:rPr>
              <w:t>-0.02</w:t>
            </w:r>
          </w:p>
        </w:tc>
        <w:tc>
          <w:tcPr>
            <w:tcW w:w="712" w:type="dxa"/>
          </w:tcPr>
          <w:p w:rsidR="00741230" w:rsidRPr="007F23EE" w:rsidRDefault="00741230" w:rsidP="0085587A">
            <w:pPr>
              <w:jc w:val="center"/>
              <w:rPr>
                <w:sz w:val="20"/>
                <w:szCs w:val="20"/>
              </w:rPr>
            </w:pPr>
            <w:r w:rsidRPr="007F23EE">
              <w:rPr>
                <w:sz w:val="20"/>
                <w:szCs w:val="20"/>
              </w:rPr>
              <w:t>-0.00</w:t>
            </w:r>
          </w:p>
        </w:tc>
        <w:tc>
          <w:tcPr>
            <w:tcW w:w="712" w:type="dxa"/>
          </w:tcPr>
          <w:p w:rsidR="00741230" w:rsidRPr="007F23EE" w:rsidRDefault="00741230" w:rsidP="0085587A">
            <w:pPr>
              <w:jc w:val="center"/>
              <w:rPr>
                <w:sz w:val="20"/>
                <w:szCs w:val="20"/>
              </w:rPr>
            </w:pPr>
            <w:r w:rsidRPr="007F23EE">
              <w:rPr>
                <w:sz w:val="20"/>
                <w:szCs w:val="20"/>
              </w:rPr>
              <w:t>-0.05</w:t>
            </w:r>
          </w:p>
        </w:tc>
        <w:tc>
          <w:tcPr>
            <w:tcW w:w="712" w:type="dxa"/>
          </w:tcPr>
          <w:p w:rsidR="00741230" w:rsidRPr="007F23EE" w:rsidRDefault="00741230" w:rsidP="0085587A">
            <w:pPr>
              <w:jc w:val="center"/>
              <w:rPr>
                <w:sz w:val="20"/>
                <w:szCs w:val="20"/>
              </w:rPr>
            </w:pPr>
            <w:r w:rsidRPr="007F23EE">
              <w:rPr>
                <w:sz w:val="20"/>
                <w:szCs w:val="20"/>
              </w:rPr>
              <w:t>0.01</w:t>
            </w:r>
          </w:p>
        </w:tc>
        <w:tc>
          <w:tcPr>
            <w:tcW w:w="712" w:type="dxa"/>
          </w:tcPr>
          <w:p w:rsidR="00741230" w:rsidRPr="007F23EE" w:rsidRDefault="00741230" w:rsidP="0085587A">
            <w:pPr>
              <w:jc w:val="center"/>
              <w:rPr>
                <w:sz w:val="20"/>
                <w:szCs w:val="20"/>
              </w:rPr>
            </w:pPr>
            <w:r w:rsidRPr="007F23EE">
              <w:rPr>
                <w:sz w:val="20"/>
                <w:szCs w:val="20"/>
              </w:rPr>
              <w:t>0.06</w:t>
            </w:r>
          </w:p>
        </w:tc>
        <w:tc>
          <w:tcPr>
            <w:tcW w:w="712" w:type="dxa"/>
          </w:tcPr>
          <w:p w:rsidR="00741230" w:rsidRPr="007F23EE" w:rsidRDefault="00741230" w:rsidP="0085587A">
            <w:pPr>
              <w:jc w:val="center"/>
              <w:rPr>
                <w:sz w:val="20"/>
                <w:szCs w:val="20"/>
              </w:rPr>
            </w:pPr>
            <w:r w:rsidRPr="007F23EE">
              <w:rPr>
                <w:sz w:val="20"/>
                <w:szCs w:val="20"/>
              </w:rPr>
              <w:t>-0.00</w:t>
            </w:r>
          </w:p>
        </w:tc>
        <w:tc>
          <w:tcPr>
            <w:tcW w:w="712" w:type="dxa"/>
          </w:tcPr>
          <w:p w:rsidR="00741230" w:rsidRPr="007F23EE" w:rsidRDefault="00741230" w:rsidP="0085587A">
            <w:pPr>
              <w:jc w:val="center"/>
              <w:rPr>
                <w:sz w:val="20"/>
                <w:szCs w:val="20"/>
              </w:rPr>
            </w:pPr>
            <w:r w:rsidRPr="007F23EE">
              <w:rPr>
                <w:sz w:val="20"/>
                <w:szCs w:val="20"/>
              </w:rPr>
              <w:t>0.00</w:t>
            </w:r>
          </w:p>
        </w:tc>
        <w:tc>
          <w:tcPr>
            <w:tcW w:w="712" w:type="dxa"/>
          </w:tcPr>
          <w:p w:rsidR="00741230" w:rsidRPr="007F23EE" w:rsidRDefault="00741230" w:rsidP="0085587A">
            <w:pPr>
              <w:jc w:val="center"/>
              <w:rPr>
                <w:sz w:val="20"/>
                <w:szCs w:val="20"/>
              </w:rPr>
            </w:pPr>
            <w:r w:rsidRPr="007F23EE">
              <w:rPr>
                <w:sz w:val="20"/>
                <w:szCs w:val="20"/>
              </w:rPr>
              <w:t>0.23</w:t>
            </w:r>
          </w:p>
        </w:tc>
        <w:tc>
          <w:tcPr>
            <w:tcW w:w="712" w:type="dxa"/>
          </w:tcPr>
          <w:p w:rsidR="00741230" w:rsidRPr="007F23EE" w:rsidRDefault="00741230" w:rsidP="0085587A">
            <w:pPr>
              <w:jc w:val="center"/>
              <w:rPr>
                <w:sz w:val="20"/>
                <w:szCs w:val="20"/>
              </w:rPr>
            </w:pPr>
            <w:r w:rsidRPr="007F23EE">
              <w:rPr>
                <w:sz w:val="20"/>
                <w:szCs w:val="20"/>
              </w:rPr>
              <w:t>0.03</w:t>
            </w:r>
          </w:p>
        </w:tc>
        <w:tc>
          <w:tcPr>
            <w:tcW w:w="712" w:type="dxa"/>
          </w:tcPr>
          <w:p w:rsidR="00741230" w:rsidRPr="007F23EE" w:rsidRDefault="00741230" w:rsidP="0085587A">
            <w:pPr>
              <w:jc w:val="center"/>
              <w:rPr>
                <w:sz w:val="20"/>
                <w:szCs w:val="20"/>
              </w:rPr>
            </w:pPr>
            <w:r w:rsidRPr="007F23EE">
              <w:rPr>
                <w:sz w:val="20"/>
                <w:szCs w:val="20"/>
              </w:rPr>
              <w:t>-0.01</w:t>
            </w:r>
          </w:p>
        </w:tc>
        <w:tc>
          <w:tcPr>
            <w:tcW w:w="712" w:type="dxa"/>
          </w:tcPr>
          <w:p w:rsidR="00741230" w:rsidRPr="007F23EE" w:rsidRDefault="00741230" w:rsidP="0085587A">
            <w:pPr>
              <w:jc w:val="center"/>
              <w:rPr>
                <w:sz w:val="20"/>
                <w:szCs w:val="20"/>
              </w:rPr>
            </w:pPr>
            <w:r w:rsidRPr="007F23EE">
              <w:rPr>
                <w:sz w:val="20"/>
                <w:szCs w:val="20"/>
              </w:rPr>
              <w:t>1</w:t>
            </w:r>
          </w:p>
        </w:tc>
        <w:tc>
          <w:tcPr>
            <w:tcW w:w="712" w:type="dxa"/>
          </w:tcPr>
          <w:p w:rsidR="00741230" w:rsidRPr="007F23EE" w:rsidRDefault="00741230" w:rsidP="0085587A">
            <w:pPr>
              <w:jc w:val="center"/>
              <w:rPr>
                <w:sz w:val="20"/>
                <w:szCs w:val="20"/>
              </w:rPr>
            </w:pPr>
          </w:p>
        </w:tc>
        <w:tc>
          <w:tcPr>
            <w:tcW w:w="704" w:type="dxa"/>
          </w:tcPr>
          <w:p w:rsidR="00741230" w:rsidRPr="007F23EE" w:rsidRDefault="00741230" w:rsidP="0085587A">
            <w:pPr>
              <w:jc w:val="center"/>
              <w:rPr>
                <w:sz w:val="20"/>
                <w:szCs w:val="20"/>
              </w:rPr>
            </w:pPr>
          </w:p>
        </w:tc>
        <w:tc>
          <w:tcPr>
            <w:tcW w:w="396" w:type="dxa"/>
          </w:tcPr>
          <w:p w:rsidR="00741230" w:rsidRPr="007F23EE" w:rsidRDefault="00741230" w:rsidP="0085587A">
            <w:pPr>
              <w:jc w:val="center"/>
              <w:rPr>
                <w:sz w:val="20"/>
                <w:szCs w:val="20"/>
              </w:rPr>
            </w:pPr>
          </w:p>
        </w:tc>
      </w:tr>
      <w:tr w:rsidR="00170AAC" w:rsidRPr="007F23EE" w:rsidTr="001F124F">
        <w:trPr>
          <w:trHeight w:val="181"/>
          <w:jc w:val="center"/>
        </w:trPr>
        <w:tc>
          <w:tcPr>
            <w:tcW w:w="1941" w:type="dxa"/>
          </w:tcPr>
          <w:p w:rsidR="00741230" w:rsidRPr="001F124F" w:rsidRDefault="00741230" w:rsidP="0085587A">
            <w:pPr>
              <w:rPr>
                <w:sz w:val="20"/>
                <w:szCs w:val="20"/>
              </w:rPr>
            </w:pPr>
            <w:r w:rsidRPr="001F124F">
              <w:rPr>
                <w:sz w:val="20"/>
                <w:szCs w:val="20"/>
              </w:rPr>
              <w:t>15. Capacity Util.</w:t>
            </w:r>
          </w:p>
        </w:tc>
        <w:tc>
          <w:tcPr>
            <w:tcW w:w="719" w:type="dxa"/>
          </w:tcPr>
          <w:p w:rsidR="00741230" w:rsidRPr="007F23EE" w:rsidRDefault="00741230" w:rsidP="0085587A">
            <w:pPr>
              <w:jc w:val="center"/>
              <w:rPr>
                <w:sz w:val="20"/>
                <w:szCs w:val="20"/>
              </w:rPr>
            </w:pPr>
            <w:r w:rsidRPr="00CE603C">
              <w:rPr>
                <w:sz w:val="20"/>
                <w:szCs w:val="20"/>
              </w:rPr>
              <w:t>46.61</w:t>
            </w:r>
          </w:p>
        </w:tc>
        <w:tc>
          <w:tcPr>
            <w:tcW w:w="725" w:type="dxa"/>
          </w:tcPr>
          <w:p w:rsidR="00741230" w:rsidRPr="007F23EE" w:rsidRDefault="00741230" w:rsidP="0085587A">
            <w:pPr>
              <w:jc w:val="center"/>
              <w:rPr>
                <w:sz w:val="20"/>
                <w:szCs w:val="20"/>
              </w:rPr>
            </w:pPr>
            <w:r w:rsidRPr="00CE603C">
              <w:rPr>
                <w:sz w:val="20"/>
                <w:szCs w:val="20"/>
              </w:rPr>
              <w:t>4.70</w:t>
            </w:r>
          </w:p>
        </w:tc>
        <w:tc>
          <w:tcPr>
            <w:tcW w:w="702" w:type="dxa"/>
          </w:tcPr>
          <w:p w:rsidR="00741230" w:rsidRPr="007F23EE" w:rsidRDefault="00741230" w:rsidP="0085587A">
            <w:pPr>
              <w:jc w:val="center"/>
              <w:rPr>
                <w:sz w:val="20"/>
                <w:szCs w:val="20"/>
              </w:rPr>
            </w:pPr>
            <w:r w:rsidRPr="007F23EE">
              <w:rPr>
                <w:sz w:val="20"/>
                <w:szCs w:val="20"/>
              </w:rPr>
              <w:t>0.12</w:t>
            </w:r>
          </w:p>
        </w:tc>
        <w:tc>
          <w:tcPr>
            <w:tcW w:w="712" w:type="dxa"/>
          </w:tcPr>
          <w:p w:rsidR="00741230" w:rsidRPr="007F23EE" w:rsidRDefault="00741230" w:rsidP="0085587A">
            <w:pPr>
              <w:jc w:val="center"/>
              <w:rPr>
                <w:sz w:val="20"/>
                <w:szCs w:val="20"/>
              </w:rPr>
            </w:pPr>
            <w:r w:rsidRPr="007F23EE">
              <w:rPr>
                <w:sz w:val="20"/>
                <w:szCs w:val="20"/>
              </w:rPr>
              <w:t>0.16</w:t>
            </w:r>
          </w:p>
        </w:tc>
        <w:tc>
          <w:tcPr>
            <w:tcW w:w="712" w:type="dxa"/>
          </w:tcPr>
          <w:p w:rsidR="00741230" w:rsidRPr="007F23EE" w:rsidRDefault="00741230" w:rsidP="0085587A">
            <w:pPr>
              <w:jc w:val="center"/>
              <w:rPr>
                <w:sz w:val="20"/>
                <w:szCs w:val="20"/>
              </w:rPr>
            </w:pPr>
            <w:r w:rsidRPr="007F23EE">
              <w:rPr>
                <w:sz w:val="20"/>
                <w:szCs w:val="20"/>
              </w:rPr>
              <w:t>0.00</w:t>
            </w:r>
          </w:p>
        </w:tc>
        <w:tc>
          <w:tcPr>
            <w:tcW w:w="712" w:type="dxa"/>
          </w:tcPr>
          <w:p w:rsidR="00741230" w:rsidRPr="007F23EE" w:rsidRDefault="00741230" w:rsidP="0085587A">
            <w:pPr>
              <w:jc w:val="center"/>
              <w:rPr>
                <w:sz w:val="20"/>
                <w:szCs w:val="20"/>
              </w:rPr>
            </w:pPr>
            <w:r w:rsidRPr="007F23EE">
              <w:rPr>
                <w:sz w:val="20"/>
                <w:szCs w:val="20"/>
              </w:rPr>
              <w:t>0.01</w:t>
            </w:r>
          </w:p>
        </w:tc>
        <w:tc>
          <w:tcPr>
            <w:tcW w:w="712" w:type="dxa"/>
          </w:tcPr>
          <w:p w:rsidR="00741230" w:rsidRPr="007F23EE" w:rsidRDefault="00741230" w:rsidP="0085587A">
            <w:pPr>
              <w:jc w:val="center"/>
              <w:rPr>
                <w:sz w:val="20"/>
                <w:szCs w:val="20"/>
              </w:rPr>
            </w:pPr>
            <w:r w:rsidRPr="007F23EE">
              <w:rPr>
                <w:sz w:val="20"/>
                <w:szCs w:val="20"/>
              </w:rPr>
              <w:t>-0.01</w:t>
            </w:r>
          </w:p>
        </w:tc>
        <w:tc>
          <w:tcPr>
            <w:tcW w:w="712" w:type="dxa"/>
          </w:tcPr>
          <w:p w:rsidR="00741230" w:rsidRPr="007F23EE" w:rsidRDefault="00741230" w:rsidP="0085587A">
            <w:pPr>
              <w:jc w:val="center"/>
              <w:rPr>
                <w:sz w:val="20"/>
                <w:szCs w:val="20"/>
              </w:rPr>
            </w:pPr>
            <w:r w:rsidRPr="007F23EE">
              <w:rPr>
                <w:sz w:val="20"/>
                <w:szCs w:val="20"/>
              </w:rPr>
              <w:t>0.07</w:t>
            </w:r>
          </w:p>
        </w:tc>
        <w:tc>
          <w:tcPr>
            <w:tcW w:w="712" w:type="dxa"/>
          </w:tcPr>
          <w:p w:rsidR="00741230" w:rsidRPr="007F23EE" w:rsidRDefault="00741230" w:rsidP="0085587A">
            <w:pPr>
              <w:jc w:val="center"/>
              <w:rPr>
                <w:sz w:val="20"/>
                <w:szCs w:val="20"/>
              </w:rPr>
            </w:pPr>
            <w:r w:rsidRPr="007F23EE">
              <w:rPr>
                <w:sz w:val="20"/>
                <w:szCs w:val="20"/>
              </w:rPr>
              <w:t>0.02</w:t>
            </w:r>
          </w:p>
        </w:tc>
        <w:tc>
          <w:tcPr>
            <w:tcW w:w="712" w:type="dxa"/>
          </w:tcPr>
          <w:p w:rsidR="00741230" w:rsidRPr="007F23EE" w:rsidRDefault="00741230" w:rsidP="0085587A">
            <w:pPr>
              <w:jc w:val="center"/>
              <w:rPr>
                <w:sz w:val="20"/>
                <w:szCs w:val="20"/>
              </w:rPr>
            </w:pPr>
            <w:r w:rsidRPr="007F23EE">
              <w:rPr>
                <w:sz w:val="20"/>
                <w:szCs w:val="20"/>
              </w:rPr>
              <w:t>0.09</w:t>
            </w:r>
          </w:p>
        </w:tc>
        <w:tc>
          <w:tcPr>
            <w:tcW w:w="712" w:type="dxa"/>
          </w:tcPr>
          <w:p w:rsidR="00741230" w:rsidRPr="007F23EE" w:rsidRDefault="00741230" w:rsidP="0085587A">
            <w:pPr>
              <w:jc w:val="center"/>
              <w:rPr>
                <w:sz w:val="20"/>
                <w:szCs w:val="20"/>
              </w:rPr>
            </w:pPr>
            <w:r w:rsidRPr="007F23EE">
              <w:rPr>
                <w:sz w:val="20"/>
                <w:szCs w:val="20"/>
              </w:rPr>
              <w:t>-0.00</w:t>
            </w:r>
          </w:p>
        </w:tc>
        <w:tc>
          <w:tcPr>
            <w:tcW w:w="712" w:type="dxa"/>
          </w:tcPr>
          <w:p w:rsidR="00741230" w:rsidRPr="007F23EE" w:rsidRDefault="00741230" w:rsidP="0085587A">
            <w:pPr>
              <w:jc w:val="center"/>
              <w:rPr>
                <w:sz w:val="20"/>
                <w:szCs w:val="20"/>
              </w:rPr>
            </w:pPr>
            <w:r w:rsidRPr="007F23EE">
              <w:rPr>
                <w:sz w:val="20"/>
                <w:szCs w:val="20"/>
              </w:rPr>
              <w:t>-0.00</w:t>
            </w:r>
          </w:p>
        </w:tc>
        <w:tc>
          <w:tcPr>
            <w:tcW w:w="712" w:type="dxa"/>
          </w:tcPr>
          <w:p w:rsidR="00741230" w:rsidRPr="007F23EE" w:rsidRDefault="00741230" w:rsidP="0085587A">
            <w:pPr>
              <w:jc w:val="center"/>
              <w:rPr>
                <w:sz w:val="20"/>
                <w:szCs w:val="20"/>
              </w:rPr>
            </w:pPr>
            <w:r w:rsidRPr="007F23EE">
              <w:rPr>
                <w:sz w:val="20"/>
                <w:szCs w:val="20"/>
              </w:rPr>
              <w:t>0.34</w:t>
            </w:r>
          </w:p>
        </w:tc>
        <w:tc>
          <w:tcPr>
            <w:tcW w:w="712" w:type="dxa"/>
          </w:tcPr>
          <w:p w:rsidR="00741230" w:rsidRPr="007F23EE" w:rsidRDefault="00741230" w:rsidP="0085587A">
            <w:pPr>
              <w:jc w:val="center"/>
              <w:rPr>
                <w:sz w:val="20"/>
                <w:szCs w:val="20"/>
              </w:rPr>
            </w:pPr>
            <w:r w:rsidRPr="007F23EE">
              <w:rPr>
                <w:sz w:val="20"/>
                <w:szCs w:val="20"/>
              </w:rPr>
              <w:t>0.05</w:t>
            </w:r>
          </w:p>
        </w:tc>
        <w:tc>
          <w:tcPr>
            <w:tcW w:w="712" w:type="dxa"/>
          </w:tcPr>
          <w:p w:rsidR="00741230" w:rsidRPr="007F23EE" w:rsidRDefault="00741230" w:rsidP="0085587A">
            <w:pPr>
              <w:jc w:val="center"/>
              <w:rPr>
                <w:sz w:val="20"/>
                <w:szCs w:val="20"/>
              </w:rPr>
            </w:pPr>
            <w:r w:rsidRPr="007F23EE">
              <w:rPr>
                <w:sz w:val="20"/>
                <w:szCs w:val="20"/>
              </w:rPr>
              <w:t>-0.01</w:t>
            </w:r>
          </w:p>
        </w:tc>
        <w:tc>
          <w:tcPr>
            <w:tcW w:w="712" w:type="dxa"/>
          </w:tcPr>
          <w:p w:rsidR="00741230" w:rsidRPr="007F23EE" w:rsidRDefault="00741230" w:rsidP="0085587A">
            <w:pPr>
              <w:jc w:val="center"/>
              <w:rPr>
                <w:sz w:val="20"/>
                <w:szCs w:val="20"/>
              </w:rPr>
            </w:pPr>
            <w:r w:rsidRPr="007F23EE">
              <w:rPr>
                <w:sz w:val="20"/>
                <w:szCs w:val="20"/>
              </w:rPr>
              <w:t>0.63</w:t>
            </w:r>
          </w:p>
        </w:tc>
        <w:tc>
          <w:tcPr>
            <w:tcW w:w="712" w:type="dxa"/>
          </w:tcPr>
          <w:p w:rsidR="00741230" w:rsidRPr="007F23EE" w:rsidRDefault="00741230" w:rsidP="0085587A">
            <w:pPr>
              <w:jc w:val="center"/>
              <w:rPr>
                <w:sz w:val="20"/>
                <w:szCs w:val="20"/>
              </w:rPr>
            </w:pPr>
            <w:r w:rsidRPr="007F23EE">
              <w:rPr>
                <w:sz w:val="20"/>
                <w:szCs w:val="20"/>
              </w:rPr>
              <w:t>1</w:t>
            </w:r>
          </w:p>
        </w:tc>
        <w:tc>
          <w:tcPr>
            <w:tcW w:w="704" w:type="dxa"/>
          </w:tcPr>
          <w:p w:rsidR="00741230" w:rsidRPr="007F23EE" w:rsidRDefault="00741230" w:rsidP="0085587A">
            <w:pPr>
              <w:jc w:val="center"/>
              <w:rPr>
                <w:sz w:val="20"/>
                <w:szCs w:val="20"/>
              </w:rPr>
            </w:pPr>
          </w:p>
        </w:tc>
        <w:tc>
          <w:tcPr>
            <w:tcW w:w="396" w:type="dxa"/>
          </w:tcPr>
          <w:p w:rsidR="00741230" w:rsidRPr="007F23EE" w:rsidRDefault="00741230" w:rsidP="0085587A">
            <w:pPr>
              <w:jc w:val="center"/>
              <w:rPr>
                <w:sz w:val="20"/>
                <w:szCs w:val="20"/>
              </w:rPr>
            </w:pPr>
          </w:p>
        </w:tc>
      </w:tr>
      <w:tr w:rsidR="00170AAC" w:rsidRPr="007F23EE" w:rsidTr="001F124F">
        <w:trPr>
          <w:trHeight w:val="181"/>
          <w:jc w:val="center"/>
        </w:trPr>
        <w:tc>
          <w:tcPr>
            <w:tcW w:w="1941" w:type="dxa"/>
          </w:tcPr>
          <w:p w:rsidR="00741230" w:rsidRPr="001F124F" w:rsidRDefault="00741230" w:rsidP="0085587A">
            <w:pPr>
              <w:rPr>
                <w:sz w:val="20"/>
                <w:szCs w:val="20"/>
              </w:rPr>
            </w:pPr>
            <w:r w:rsidRPr="001F124F">
              <w:rPr>
                <w:sz w:val="20"/>
                <w:szCs w:val="20"/>
              </w:rPr>
              <w:t>16. Lumpiness</w:t>
            </w:r>
          </w:p>
        </w:tc>
        <w:tc>
          <w:tcPr>
            <w:tcW w:w="719" w:type="dxa"/>
          </w:tcPr>
          <w:p w:rsidR="00741230" w:rsidRPr="007F23EE" w:rsidRDefault="00741230" w:rsidP="0085587A">
            <w:pPr>
              <w:jc w:val="center"/>
              <w:rPr>
                <w:sz w:val="20"/>
                <w:szCs w:val="20"/>
              </w:rPr>
            </w:pPr>
            <w:r w:rsidRPr="00CE603C">
              <w:rPr>
                <w:sz w:val="20"/>
                <w:szCs w:val="20"/>
              </w:rPr>
              <w:t>91.17</w:t>
            </w:r>
          </w:p>
        </w:tc>
        <w:tc>
          <w:tcPr>
            <w:tcW w:w="725" w:type="dxa"/>
          </w:tcPr>
          <w:p w:rsidR="00741230" w:rsidRPr="007F23EE" w:rsidRDefault="00741230" w:rsidP="0085587A">
            <w:pPr>
              <w:jc w:val="center"/>
              <w:rPr>
                <w:sz w:val="20"/>
                <w:szCs w:val="20"/>
              </w:rPr>
            </w:pPr>
            <w:r w:rsidRPr="00CE603C">
              <w:rPr>
                <w:sz w:val="20"/>
                <w:szCs w:val="20"/>
              </w:rPr>
              <w:t>14.35</w:t>
            </w:r>
          </w:p>
        </w:tc>
        <w:tc>
          <w:tcPr>
            <w:tcW w:w="702" w:type="dxa"/>
          </w:tcPr>
          <w:p w:rsidR="00741230" w:rsidRPr="007F23EE" w:rsidRDefault="00741230" w:rsidP="0085587A">
            <w:pPr>
              <w:jc w:val="center"/>
              <w:rPr>
                <w:sz w:val="20"/>
                <w:szCs w:val="20"/>
              </w:rPr>
            </w:pPr>
            <w:r w:rsidRPr="007F23EE">
              <w:rPr>
                <w:sz w:val="20"/>
                <w:szCs w:val="20"/>
              </w:rPr>
              <w:t>-0.12</w:t>
            </w:r>
          </w:p>
        </w:tc>
        <w:tc>
          <w:tcPr>
            <w:tcW w:w="712" w:type="dxa"/>
          </w:tcPr>
          <w:p w:rsidR="00741230" w:rsidRPr="007F23EE" w:rsidRDefault="00741230" w:rsidP="0085587A">
            <w:pPr>
              <w:jc w:val="center"/>
              <w:rPr>
                <w:sz w:val="20"/>
                <w:szCs w:val="20"/>
              </w:rPr>
            </w:pPr>
            <w:r w:rsidRPr="007F23EE">
              <w:rPr>
                <w:sz w:val="20"/>
                <w:szCs w:val="20"/>
              </w:rPr>
              <w:t>-0.16</w:t>
            </w:r>
          </w:p>
        </w:tc>
        <w:tc>
          <w:tcPr>
            <w:tcW w:w="712" w:type="dxa"/>
          </w:tcPr>
          <w:p w:rsidR="00741230" w:rsidRPr="007F23EE" w:rsidRDefault="00741230" w:rsidP="0085587A">
            <w:pPr>
              <w:jc w:val="center"/>
              <w:rPr>
                <w:sz w:val="20"/>
                <w:szCs w:val="20"/>
              </w:rPr>
            </w:pPr>
            <w:r w:rsidRPr="007F23EE">
              <w:rPr>
                <w:sz w:val="20"/>
                <w:szCs w:val="20"/>
              </w:rPr>
              <w:t>0.00</w:t>
            </w:r>
          </w:p>
        </w:tc>
        <w:tc>
          <w:tcPr>
            <w:tcW w:w="712" w:type="dxa"/>
          </w:tcPr>
          <w:p w:rsidR="00741230" w:rsidRPr="007F23EE" w:rsidRDefault="00741230" w:rsidP="0085587A">
            <w:pPr>
              <w:jc w:val="center"/>
              <w:rPr>
                <w:sz w:val="20"/>
                <w:szCs w:val="20"/>
              </w:rPr>
            </w:pPr>
            <w:r w:rsidRPr="007F23EE">
              <w:rPr>
                <w:sz w:val="20"/>
                <w:szCs w:val="20"/>
              </w:rPr>
              <w:t>-0.01</w:t>
            </w:r>
          </w:p>
        </w:tc>
        <w:tc>
          <w:tcPr>
            <w:tcW w:w="712" w:type="dxa"/>
          </w:tcPr>
          <w:p w:rsidR="00741230" w:rsidRPr="007F23EE" w:rsidRDefault="00741230" w:rsidP="0085587A">
            <w:pPr>
              <w:jc w:val="center"/>
              <w:rPr>
                <w:sz w:val="20"/>
                <w:szCs w:val="20"/>
              </w:rPr>
            </w:pPr>
            <w:r w:rsidRPr="007F23EE">
              <w:rPr>
                <w:sz w:val="20"/>
                <w:szCs w:val="20"/>
              </w:rPr>
              <w:t>0.01</w:t>
            </w:r>
          </w:p>
        </w:tc>
        <w:tc>
          <w:tcPr>
            <w:tcW w:w="712" w:type="dxa"/>
          </w:tcPr>
          <w:p w:rsidR="00741230" w:rsidRPr="007F23EE" w:rsidRDefault="00741230" w:rsidP="0085587A">
            <w:pPr>
              <w:jc w:val="center"/>
              <w:rPr>
                <w:sz w:val="20"/>
                <w:szCs w:val="20"/>
              </w:rPr>
            </w:pPr>
            <w:r w:rsidRPr="007F23EE">
              <w:rPr>
                <w:sz w:val="20"/>
                <w:szCs w:val="20"/>
              </w:rPr>
              <w:t>-0.07</w:t>
            </w:r>
          </w:p>
        </w:tc>
        <w:tc>
          <w:tcPr>
            <w:tcW w:w="712" w:type="dxa"/>
          </w:tcPr>
          <w:p w:rsidR="00741230" w:rsidRPr="007F23EE" w:rsidRDefault="00741230" w:rsidP="0085587A">
            <w:pPr>
              <w:jc w:val="center"/>
              <w:rPr>
                <w:sz w:val="20"/>
                <w:szCs w:val="20"/>
              </w:rPr>
            </w:pPr>
            <w:r w:rsidRPr="007F23EE">
              <w:rPr>
                <w:sz w:val="20"/>
                <w:szCs w:val="20"/>
              </w:rPr>
              <w:t>-0.02</w:t>
            </w:r>
          </w:p>
        </w:tc>
        <w:tc>
          <w:tcPr>
            <w:tcW w:w="712" w:type="dxa"/>
          </w:tcPr>
          <w:p w:rsidR="00741230" w:rsidRPr="007F23EE" w:rsidRDefault="00741230" w:rsidP="0085587A">
            <w:pPr>
              <w:jc w:val="center"/>
              <w:rPr>
                <w:sz w:val="20"/>
                <w:szCs w:val="20"/>
              </w:rPr>
            </w:pPr>
            <w:r w:rsidRPr="007F23EE">
              <w:rPr>
                <w:sz w:val="20"/>
                <w:szCs w:val="20"/>
              </w:rPr>
              <w:t>-0.09</w:t>
            </w:r>
          </w:p>
        </w:tc>
        <w:tc>
          <w:tcPr>
            <w:tcW w:w="712" w:type="dxa"/>
          </w:tcPr>
          <w:p w:rsidR="00741230" w:rsidRPr="007F23EE" w:rsidRDefault="00741230" w:rsidP="0085587A">
            <w:pPr>
              <w:jc w:val="center"/>
              <w:rPr>
                <w:sz w:val="20"/>
                <w:szCs w:val="20"/>
              </w:rPr>
            </w:pPr>
            <w:r w:rsidRPr="007F23EE">
              <w:rPr>
                <w:sz w:val="20"/>
                <w:szCs w:val="20"/>
              </w:rPr>
              <w:t>0.00</w:t>
            </w:r>
          </w:p>
        </w:tc>
        <w:tc>
          <w:tcPr>
            <w:tcW w:w="712" w:type="dxa"/>
          </w:tcPr>
          <w:p w:rsidR="00741230" w:rsidRPr="007F23EE" w:rsidRDefault="00741230" w:rsidP="0085587A">
            <w:pPr>
              <w:jc w:val="center"/>
              <w:rPr>
                <w:sz w:val="20"/>
                <w:szCs w:val="20"/>
              </w:rPr>
            </w:pPr>
            <w:r w:rsidRPr="007F23EE">
              <w:rPr>
                <w:sz w:val="20"/>
                <w:szCs w:val="20"/>
              </w:rPr>
              <w:t>0.00</w:t>
            </w:r>
          </w:p>
        </w:tc>
        <w:tc>
          <w:tcPr>
            <w:tcW w:w="712" w:type="dxa"/>
          </w:tcPr>
          <w:p w:rsidR="00741230" w:rsidRPr="007F23EE" w:rsidRDefault="00741230" w:rsidP="0085587A">
            <w:pPr>
              <w:jc w:val="center"/>
              <w:rPr>
                <w:sz w:val="20"/>
                <w:szCs w:val="20"/>
              </w:rPr>
            </w:pPr>
            <w:r w:rsidRPr="007F23EE">
              <w:rPr>
                <w:sz w:val="20"/>
                <w:szCs w:val="20"/>
              </w:rPr>
              <w:t>-0.34</w:t>
            </w:r>
          </w:p>
        </w:tc>
        <w:tc>
          <w:tcPr>
            <w:tcW w:w="712" w:type="dxa"/>
          </w:tcPr>
          <w:p w:rsidR="00741230" w:rsidRPr="007F23EE" w:rsidRDefault="00741230" w:rsidP="0085587A">
            <w:pPr>
              <w:jc w:val="center"/>
              <w:rPr>
                <w:sz w:val="20"/>
                <w:szCs w:val="20"/>
              </w:rPr>
            </w:pPr>
            <w:r w:rsidRPr="007F23EE">
              <w:rPr>
                <w:sz w:val="20"/>
                <w:szCs w:val="20"/>
              </w:rPr>
              <w:t>-0.05</w:t>
            </w:r>
          </w:p>
        </w:tc>
        <w:tc>
          <w:tcPr>
            <w:tcW w:w="712" w:type="dxa"/>
          </w:tcPr>
          <w:p w:rsidR="00741230" w:rsidRPr="007F23EE" w:rsidRDefault="00741230" w:rsidP="0085587A">
            <w:pPr>
              <w:jc w:val="center"/>
              <w:rPr>
                <w:sz w:val="20"/>
                <w:szCs w:val="20"/>
              </w:rPr>
            </w:pPr>
            <w:r w:rsidRPr="007F23EE">
              <w:rPr>
                <w:sz w:val="20"/>
                <w:szCs w:val="20"/>
              </w:rPr>
              <w:t>0.01</w:t>
            </w:r>
          </w:p>
        </w:tc>
        <w:tc>
          <w:tcPr>
            <w:tcW w:w="712" w:type="dxa"/>
          </w:tcPr>
          <w:p w:rsidR="00741230" w:rsidRPr="007F23EE" w:rsidRDefault="00741230" w:rsidP="0085587A">
            <w:pPr>
              <w:jc w:val="center"/>
              <w:rPr>
                <w:sz w:val="20"/>
                <w:szCs w:val="20"/>
              </w:rPr>
            </w:pPr>
            <w:r w:rsidRPr="007F23EE">
              <w:rPr>
                <w:sz w:val="20"/>
                <w:szCs w:val="20"/>
              </w:rPr>
              <w:t>-0.65</w:t>
            </w:r>
          </w:p>
        </w:tc>
        <w:tc>
          <w:tcPr>
            <w:tcW w:w="712" w:type="dxa"/>
          </w:tcPr>
          <w:p w:rsidR="00741230" w:rsidRPr="007F23EE" w:rsidRDefault="00741230" w:rsidP="0085587A">
            <w:pPr>
              <w:jc w:val="center"/>
              <w:rPr>
                <w:sz w:val="20"/>
                <w:szCs w:val="20"/>
              </w:rPr>
            </w:pPr>
            <w:r w:rsidRPr="007F23EE">
              <w:rPr>
                <w:sz w:val="20"/>
                <w:szCs w:val="20"/>
              </w:rPr>
              <w:t>-0.99</w:t>
            </w:r>
          </w:p>
        </w:tc>
        <w:tc>
          <w:tcPr>
            <w:tcW w:w="704" w:type="dxa"/>
          </w:tcPr>
          <w:p w:rsidR="00741230" w:rsidRPr="007F23EE" w:rsidRDefault="00741230" w:rsidP="0085587A">
            <w:pPr>
              <w:jc w:val="center"/>
              <w:rPr>
                <w:sz w:val="20"/>
                <w:szCs w:val="20"/>
              </w:rPr>
            </w:pPr>
            <w:r w:rsidRPr="007F23EE">
              <w:rPr>
                <w:sz w:val="20"/>
                <w:szCs w:val="20"/>
              </w:rPr>
              <w:t>1</w:t>
            </w:r>
          </w:p>
        </w:tc>
        <w:tc>
          <w:tcPr>
            <w:tcW w:w="396" w:type="dxa"/>
          </w:tcPr>
          <w:p w:rsidR="00741230" w:rsidRPr="007F23EE" w:rsidRDefault="00741230" w:rsidP="0085587A">
            <w:pPr>
              <w:jc w:val="center"/>
              <w:rPr>
                <w:sz w:val="20"/>
                <w:szCs w:val="20"/>
              </w:rPr>
            </w:pPr>
          </w:p>
        </w:tc>
      </w:tr>
      <w:tr w:rsidR="00170AAC" w:rsidRPr="007F23EE" w:rsidTr="001F124F">
        <w:trPr>
          <w:trHeight w:val="204"/>
          <w:jc w:val="center"/>
        </w:trPr>
        <w:tc>
          <w:tcPr>
            <w:tcW w:w="1941" w:type="dxa"/>
            <w:tcBorders>
              <w:bottom w:val="single" w:sz="12" w:space="0" w:color="auto"/>
            </w:tcBorders>
          </w:tcPr>
          <w:p w:rsidR="00741230" w:rsidRPr="001F124F" w:rsidRDefault="00741230" w:rsidP="0085587A">
            <w:pPr>
              <w:rPr>
                <w:sz w:val="20"/>
                <w:szCs w:val="20"/>
              </w:rPr>
            </w:pPr>
            <w:r w:rsidRPr="001F124F">
              <w:rPr>
                <w:sz w:val="20"/>
                <w:szCs w:val="20"/>
              </w:rPr>
              <w:t>17. Rival Entry</w:t>
            </w:r>
          </w:p>
        </w:tc>
        <w:tc>
          <w:tcPr>
            <w:tcW w:w="719" w:type="dxa"/>
            <w:tcBorders>
              <w:bottom w:val="single" w:sz="12" w:space="0" w:color="auto"/>
            </w:tcBorders>
          </w:tcPr>
          <w:p w:rsidR="00741230" w:rsidRPr="007F23EE" w:rsidRDefault="00741230" w:rsidP="0085587A">
            <w:pPr>
              <w:jc w:val="center"/>
              <w:rPr>
                <w:sz w:val="20"/>
                <w:szCs w:val="20"/>
              </w:rPr>
            </w:pPr>
            <w:r w:rsidRPr="00CE603C">
              <w:rPr>
                <w:sz w:val="20"/>
                <w:szCs w:val="20"/>
              </w:rPr>
              <w:t>19.14</w:t>
            </w:r>
          </w:p>
        </w:tc>
        <w:tc>
          <w:tcPr>
            <w:tcW w:w="725" w:type="dxa"/>
            <w:tcBorders>
              <w:bottom w:val="single" w:sz="12" w:space="0" w:color="auto"/>
            </w:tcBorders>
          </w:tcPr>
          <w:p w:rsidR="00741230" w:rsidRPr="007F23EE" w:rsidRDefault="00741230" w:rsidP="0085587A">
            <w:pPr>
              <w:jc w:val="center"/>
              <w:rPr>
                <w:sz w:val="20"/>
                <w:szCs w:val="20"/>
              </w:rPr>
            </w:pPr>
            <w:r w:rsidRPr="00CE603C">
              <w:rPr>
                <w:sz w:val="20"/>
                <w:szCs w:val="20"/>
              </w:rPr>
              <w:t>15.40</w:t>
            </w:r>
          </w:p>
        </w:tc>
        <w:tc>
          <w:tcPr>
            <w:tcW w:w="702" w:type="dxa"/>
            <w:tcBorders>
              <w:bottom w:val="single" w:sz="12" w:space="0" w:color="auto"/>
            </w:tcBorders>
          </w:tcPr>
          <w:p w:rsidR="00741230" w:rsidRPr="007F23EE" w:rsidRDefault="00741230" w:rsidP="0085587A">
            <w:pPr>
              <w:jc w:val="center"/>
              <w:rPr>
                <w:sz w:val="20"/>
                <w:szCs w:val="20"/>
              </w:rPr>
            </w:pPr>
            <w:r w:rsidRPr="007F23EE">
              <w:rPr>
                <w:sz w:val="20"/>
                <w:szCs w:val="20"/>
              </w:rPr>
              <w:t>0.24</w:t>
            </w:r>
          </w:p>
        </w:tc>
        <w:tc>
          <w:tcPr>
            <w:tcW w:w="712" w:type="dxa"/>
            <w:tcBorders>
              <w:bottom w:val="single" w:sz="12" w:space="0" w:color="auto"/>
            </w:tcBorders>
          </w:tcPr>
          <w:p w:rsidR="00741230" w:rsidRPr="007F23EE" w:rsidRDefault="00741230" w:rsidP="0085587A">
            <w:pPr>
              <w:jc w:val="center"/>
              <w:rPr>
                <w:sz w:val="20"/>
                <w:szCs w:val="20"/>
              </w:rPr>
            </w:pPr>
            <w:r w:rsidRPr="007F23EE">
              <w:rPr>
                <w:sz w:val="20"/>
                <w:szCs w:val="20"/>
              </w:rPr>
              <w:t>0.23</w:t>
            </w:r>
          </w:p>
        </w:tc>
        <w:tc>
          <w:tcPr>
            <w:tcW w:w="712" w:type="dxa"/>
            <w:tcBorders>
              <w:bottom w:val="single" w:sz="12" w:space="0" w:color="auto"/>
            </w:tcBorders>
          </w:tcPr>
          <w:p w:rsidR="00741230" w:rsidRPr="007F23EE" w:rsidRDefault="00741230" w:rsidP="0085587A">
            <w:pPr>
              <w:jc w:val="center"/>
              <w:rPr>
                <w:sz w:val="20"/>
                <w:szCs w:val="20"/>
              </w:rPr>
            </w:pPr>
            <w:r w:rsidRPr="007F23EE">
              <w:rPr>
                <w:sz w:val="20"/>
                <w:szCs w:val="20"/>
              </w:rPr>
              <w:t>0.11</w:t>
            </w:r>
          </w:p>
        </w:tc>
        <w:tc>
          <w:tcPr>
            <w:tcW w:w="712" w:type="dxa"/>
            <w:tcBorders>
              <w:bottom w:val="single" w:sz="12" w:space="0" w:color="auto"/>
            </w:tcBorders>
          </w:tcPr>
          <w:p w:rsidR="00741230" w:rsidRPr="007F23EE" w:rsidRDefault="00741230" w:rsidP="0085587A">
            <w:pPr>
              <w:jc w:val="center"/>
              <w:rPr>
                <w:sz w:val="20"/>
                <w:szCs w:val="20"/>
              </w:rPr>
            </w:pPr>
            <w:r w:rsidRPr="007F23EE">
              <w:rPr>
                <w:sz w:val="20"/>
                <w:szCs w:val="20"/>
              </w:rPr>
              <w:t>0.04</w:t>
            </w:r>
          </w:p>
        </w:tc>
        <w:tc>
          <w:tcPr>
            <w:tcW w:w="712" w:type="dxa"/>
            <w:tcBorders>
              <w:bottom w:val="single" w:sz="12" w:space="0" w:color="auto"/>
            </w:tcBorders>
          </w:tcPr>
          <w:p w:rsidR="00741230" w:rsidRPr="007F23EE" w:rsidRDefault="00741230" w:rsidP="0085587A">
            <w:pPr>
              <w:jc w:val="center"/>
              <w:rPr>
                <w:sz w:val="20"/>
                <w:szCs w:val="20"/>
              </w:rPr>
            </w:pPr>
            <w:r w:rsidRPr="007F23EE">
              <w:rPr>
                <w:sz w:val="20"/>
                <w:szCs w:val="20"/>
              </w:rPr>
              <w:t>-0.00</w:t>
            </w:r>
          </w:p>
        </w:tc>
        <w:tc>
          <w:tcPr>
            <w:tcW w:w="712" w:type="dxa"/>
            <w:tcBorders>
              <w:bottom w:val="single" w:sz="12" w:space="0" w:color="auto"/>
            </w:tcBorders>
          </w:tcPr>
          <w:p w:rsidR="00741230" w:rsidRPr="007F23EE" w:rsidRDefault="00741230" w:rsidP="0085587A">
            <w:pPr>
              <w:jc w:val="center"/>
              <w:rPr>
                <w:sz w:val="20"/>
                <w:szCs w:val="20"/>
              </w:rPr>
            </w:pPr>
            <w:r w:rsidRPr="007F23EE">
              <w:rPr>
                <w:sz w:val="20"/>
                <w:szCs w:val="20"/>
              </w:rPr>
              <w:t>0.03</w:t>
            </w:r>
          </w:p>
        </w:tc>
        <w:tc>
          <w:tcPr>
            <w:tcW w:w="712" w:type="dxa"/>
            <w:tcBorders>
              <w:bottom w:val="single" w:sz="12" w:space="0" w:color="auto"/>
            </w:tcBorders>
          </w:tcPr>
          <w:p w:rsidR="00741230" w:rsidRPr="007F23EE" w:rsidRDefault="00741230" w:rsidP="0085587A">
            <w:pPr>
              <w:jc w:val="center"/>
              <w:rPr>
                <w:sz w:val="20"/>
                <w:szCs w:val="20"/>
              </w:rPr>
            </w:pPr>
            <w:r w:rsidRPr="007F23EE">
              <w:rPr>
                <w:sz w:val="20"/>
                <w:szCs w:val="20"/>
              </w:rPr>
              <w:t>-0.00</w:t>
            </w:r>
          </w:p>
        </w:tc>
        <w:tc>
          <w:tcPr>
            <w:tcW w:w="712" w:type="dxa"/>
            <w:tcBorders>
              <w:bottom w:val="single" w:sz="12" w:space="0" w:color="auto"/>
            </w:tcBorders>
          </w:tcPr>
          <w:p w:rsidR="00741230" w:rsidRPr="007F23EE" w:rsidRDefault="00741230" w:rsidP="0085587A">
            <w:pPr>
              <w:jc w:val="center"/>
              <w:rPr>
                <w:sz w:val="20"/>
                <w:szCs w:val="20"/>
              </w:rPr>
            </w:pPr>
            <w:r w:rsidRPr="007F23EE">
              <w:rPr>
                <w:sz w:val="20"/>
                <w:szCs w:val="20"/>
              </w:rPr>
              <w:t>0.04</w:t>
            </w:r>
          </w:p>
        </w:tc>
        <w:tc>
          <w:tcPr>
            <w:tcW w:w="712" w:type="dxa"/>
            <w:tcBorders>
              <w:bottom w:val="single" w:sz="12" w:space="0" w:color="auto"/>
            </w:tcBorders>
          </w:tcPr>
          <w:p w:rsidR="00741230" w:rsidRPr="007F23EE" w:rsidRDefault="00741230" w:rsidP="0085587A">
            <w:pPr>
              <w:jc w:val="center"/>
              <w:rPr>
                <w:sz w:val="20"/>
                <w:szCs w:val="20"/>
              </w:rPr>
            </w:pPr>
            <w:r w:rsidRPr="007F23EE">
              <w:rPr>
                <w:sz w:val="20"/>
                <w:szCs w:val="20"/>
              </w:rPr>
              <w:t>-0.01</w:t>
            </w:r>
          </w:p>
        </w:tc>
        <w:tc>
          <w:tcPr>
            <w:tcW w:w="712" w:type="dxa"/>
            <w:tcBorders>
              <w:bottom w:val="single" w:sz="12" w:space="0" w:color="auto"/>
            </w:tcBorders>
          </w:tcPr>
          <w:p w:rsidR="00741230" w:rsidRPr="007F23EE" w:rsidRDefault="00741230" w:rsidP="0085587A">
            <w:pPr>
              <w:jc w:val="center"/>
              <w:rPr>
                <w:sz w:val="20"/>
                <w:szCs w:val="20"/>
              </w:rPr>
            </w:pPr>
            <w:r w:rsidRPr="007F23EE">
              <w:rPr>
                <w:sz w:val="20"/>
                <w:szCs w:val="20"/>
              </w:rPr>
              <w:t>0.00</w:t>
            </w:r>
          </w:p>
        </w:tc>
        <w:tc>
          <w:tcPr>
            <w:tcW w:w="712" w:type="dxa"/>
            <w:tcBorders>
              <w:bottom w:val="single" w:sz="12" w:space="0" w:color="auto"/>
            </w:tcBorders>
          </w:tcPr>
          <w:p w:rsidR="00741230" w:rsidRPr="007F23EE" w:rsidRDefault="00741230" w:rsidP="0085587A">
            <w:pPr>
              <w:jc w:val="center"/>
              <w:rPr>
                <w:sz w:val="20"/>
                <w:szCs w:val="20"/>
              </w:rPr>
            </w:pPr>
            <w:r w:rsidRPr="007F23EE">
              <w:rPr>
                <w:sz w:val="20"/>
                <w:szCs w:val="20"/>
              </w:rPr>
              <w:t>0.14</w:t>
            </w:r>
          </w:p>
        </w:tc>
        <w:tc>
          <w:tcPr>
            <w:tcW w:w="712" w:type="dxa"/>
            <w:tcBorders>
              <w:bottom w:val="single" w:sz="12" w:space="0" w:color="auto"/>
            </w:tcBorders>
          </w:tcPr>
          <w:p w:rsidR="00741230" w:rsidRPr="007F23EE" w:rsidRDefault="00741230" w:rsidP="0085587A">
            <w:pPr>
              <w:jc w:val="center"/>
              <w:rPr>
                <w:sz w:val="20"/>
                <w:szCs w:val="20"/>
              </w:rPr>
            </w:pPr>
            <w:r w:rsidRPr="007F23EE">
              <w:rPr>
                <w:sz w:val="20"/>
                <w:szCs w:val="20"/>
              </w:rPr>
              <w:t>0.03</w:t>
            </w:r>
          </w:p>
        </w:tc>
        <w:tc>
          <w:tcPr>
            <w:tcW w:w="712" w:type="dxa"/>
            <w:tcBorders>
              <w:bottom w:val="single" w:sz="12" w:space="0" w:color="auto"/>
            </w:tcBorders>
          </w:tcPr>
          <w:p w:rsidR="00741230" w:rsidRPr="007F23EE" w:rsidRDefault="00741230" w:rsidP="0085587A">
            <w:pPr>
              <w:jc w:val="center"/>
              <w:rPr>
                <w:sz w:val="20"/>
                <w:szCs w:val="20"/>
              </w:rPr>
            </w:pPr>
            <w:r w:rsidRPr="007F23EE">
              <w:rPr>
                <w:sz w:val="20"/>
                <w:szCs w:val="20"/>
              </w:rPr>
              <w:t>-0.01</w:t>
            </w:r>
          </w:p>
        </w:tc>
        <w:tc>
          <w:tcPr>
            <w:tcW w:w="712" w:type="dxa"/>
            <w:tcBorders>
              <w:bottom w:val="single" w:sz="12" w:space="0" w:color="auto"/>
            </w:tcBorders>
          </w:tcPr>
          <w:p w:rsidR="00741230" w:rsidRPr="007F23EE" w:rsidRDefault="00741230" w:rsidP="0085587A">
            <w:pPr>
              <w:jc w:val="center"/>
              <w:rPr>
                <w:sz w:val="20"/>
                <w:szCs w:val="20"/>
              </w:rPr>
            </w:pPr>
            <w:r w:rsidRPr="007F23EE">
              <w:rPr>
                <w:sz w:val="20"/>
                <w:szCs w:val="20"/>
              </w:rPr>
              <w:t>-0.10</w:t>
            </w:r>
          </w:p>
        </w:tc>
        <w:tc>
          <w:tcPr>
            <w:tcW w:w="712" w:type="dxa"/>
            <w:tcBorders>
              <w:bottom w:val="single" w:sz="12" w:space="0" w:color="auto"/>
            </w:tcBorders>
          </w:tcPr>
          <w:p w:rsidR="00741230" w:rsidRPr="007F23EE" w:rsidRDefault="00741230" w:rsidP="0085587A">
            <w:pPr>
              <w:jc w:val="center"/>
              <w:rPr>
                <w:sz w:val="20"/>
                <w:szCs w:val="20"/>
              </w:rPr>
            </w:pPr>
            <w:r w:rsidRPr="007F23EE">
              <w:rPr>
                <w:sz w:val="20"/>
                <w:szCs w:val="20"/>
              </w:rPr>
              <w:t>0.48</w:t>
            </w:r>
          </w:p>
        </w:tc>
        <w:tc>
          <w:tcPr>
            <w:tcW w:w="704" w:type="dxa"/>
            <w:tcBorders>
              <w:bottom w:val="single" w:sz="12" w:space="0" w:color="auto"/>
            </w:tcBorders>
          </w:tcPr>
          <w:p w:rsidR="00741230" w:rsidRPr="007F23EE" w:rsidRDefault="00741230" w:rsidP="0085587A">
            <w:pPr>
              <w:jc w:val="center"/>
              <w:rPr>
                <w:sz w:val="20"/>
                <w:szCs w:val="20"/>
              </w:rPr>
            </w:pPr>
            <w:r w:rsidRPr="007F23EE">
              <w:rPr>
                <w:sz w:val="20"/>
                <w:szCs w:val="20"/>
              </w:rPr>
              <w:t>-0.49</w:t>
            </w:r>
          </w:p>
        </w:tc>
        <w:tc>
          <w:tcPr>
            <w:tcW w:w="396" w:type="dxa"/>
            <w:tcBorders>
              <w:bottom w:val="single" w:sz="12" w:space="0" w:color="auto"/>
            </w:tcBorders>
          </w:tcPr>
          <w:p w:rsidR="00741230" w:rsidRPr="007F23EE" w:rsidRDefault="00741230" w:rsidP="0085587A">
            <w:pPr>
              <w:jc w:val="center"/>
              <w:rPr>
                <w:sz w:val="20"/>
                <w:szCs w:val="20"/>
              </w:rPr>
            </w:pPr>
            <w:r w:rsidRPr="007F23EE">
              <w:rPr>
                <w:sz w:val="20"/>
                <w:szCs w:val="20"/>
              </w:rPr>
              <w:t>1</w:t>
            </w:r>
          </w:p>
        </w:tc>
      </w:tr>
    </w:tbl>
    <w:p w:rsidR="0015445D" w:rsidRDefault="0015445D" w:rsidP="0015445D">
      <w:pPr>
        <w:jc w:val="center"/>
        <w:rPr>
          <w:b/>
          <w:sz w:val="22"/>
          <w:szCs w:val="22"/>
        </w:rPr>
      </w:pPr>
    </w:p>
    <w:p w:rsidR="0015445D" w:rsidRDefault="0015445D" w:rsidP="0015445D">
      <w:pPr>
        <w:jc w:val="center"/>
        <w:rPr>
          <w:b/>
          <w:sz w:val="22"/>
          <w:szCs w:val="22"/>
        </w:rPr>
      </w:pPr>
    </w:p>
    <w:p w:rsidR="0015445D" w:rsidRDefault="0015445D" w:rsidP="0015445D">
      <w:pPr>
        <w:jc w:val="center"/>
        <w:rPr>
          <w:b/>
          <w:sz w:val="22"/>
          <w:szCs w:val="22"/>
        </w:rPr>
        <w:sectPr w:rsidR="0015445D" w:rsidSect="0085587A">
          <w:pgSz w:w="15840" w:h="12240" w:orient="landscape" w:code="1"/>
          <w:pgMar w:top="1440" w:right="1440" w:bottom="1440" w:left="1440" w:header="720" w:footer="720" w:gutter="0"/>
          <w:cols w:space="720"/>
          <w:docGrid w:linePitch="360"/>
        </w:sectPr>
      </w:pPr>
    </w:p>
    <w:p w:rsidR="0015445D" w:rsidRPr="001A1D56" w:rsidRDefault="0015445D" w:rsidP="0015445D">
      <w:r w:rsidRPr="001A1D56">
        <w:lastRenderedPageBreak/>
        <w:t xml:space="preserve">Table </w:t>
      </w:r>
      <w:r w:rsidR="00CA163D">
        <w:t>2</w:t>
      </w:r>
      <w:r w:rsidRPr="001A1D56">
        <w:t xml:space="preserve">: Entry timing and speed capabilities using </w:t>
      </w:r>
      <w:proofErr w:type="spellStart"/>
      <w:r w:rsidRPr="001A1D56">
        <w:t>logit</w:t>
      </w:r>
      <w:proofErr w:type="spellEnd"/>
      <w:r w:rsidRPr="001A1D56">
        <w:t xml:space="preserve"> with clustering</w:t>
      </w:r>
    </w:p>
    <w:p w:rsidR="0015445D" w:rsidRPr="00EB5CB1" w:rsidRDefault="0015445D" w:rsidP="0015445D">
      <w:pPr>
        <w:rPr>
          <w:sz w:val="22"/>
          <w:szCs w:val="22"/>
        </w:rPr>
      </w:pPr>
    </w:p>
    <w:tbl>
      <w:tblPr>
        <w:tblW w:w="0" w:type="auto"/>
        <w:jc w:val="center"/>
        <w:tblInd w:w="-253" w:type="dxa"/>
        <w:tblLook w:val="01E0" w:firstRow="1" w:lastRow="1" w:firstColumn="1" w:lastColumn="1" w:noHBand="0" w:noVBand="0"/>
      </w:tblPr>
      <w:tblGrid>
        <w:gridCol w:w="1541"/>
        <w:gridCol w:w="1151"/>
        <w:gridCol w:w="1141"/>
        <w:gridCol w:w="1311"/>
        <w:gridCol w:w="1194"/>
        <w:gridCol w:w="1238"/>
        <w:gridCol w:w="1238"/>
      </w:tblGrid>
      <w:tr w:rsidR="0015445D" w:rsidTr="0085587A">
        <w:trPr>
          <w:trHeight w:val="281"/>
          <w:jc w:val="center"/>
        </w:trPr>
        <w:tc>
          <w:tcPr>
            <w:tcW w:w="1541" w:type="dxa"/>
            <w:tcBorders>
              <w:top w:val="single" w:sz="12" w:space="0" w:color="auto"/>
            </w:tcBorders>
          </w:tcPr>
          <w:p w:rsidR="0015445D" w:rsidRPr="00E05E84" w:rsidRDefault="0015445D" w:rsidP="0085587A">
            <w:pPr>
              <w:jc w:val="center"/>
            </w:pPr>
          </w:p>
        </w:tc>
        <w:tc>
          <w:tcPr>
            <w:tcW w:w="1151" w:type="dxa"/>
            <w:tcBorders>
              <w:top w:val="single" w:sz="12" w:space="0" w:color="auto"/>
              <w:bottom w:val="single" w:sz="12" w:space="0" w:color="auto"/>
            </w:tcBorders>
          </w:tcPr>
          <w:p w:rsidR="0015445D" w:rsidRDefault="0015445D" w:rsidP="0085587A">
            <w:pPr>
              <w:jc w:val="center"/>
            </w:pPr>
            <w:r>
              <w:t>I</w:t>
            </w:r>
          </w:p>
        </w:tc>
        <w:tc>
          <w:tcPr>
            <w:tcW w:w="1141" w:type="dxa"/>
            <w:tcBorders>
              <w:top w:val="single" w:sz="12" w:space="0" w:color="auto"/>
              <w:bottom w:val="single" w:sz="12" w:space="0" w:color="auto"/>
            </w:tcBorders>
          </w:tcPr>
          <w:p w:rsidR="0015445D" w:rsidRDefault="0015445D" w:rsidP="0085587A">
            <w:pPr>
              <w:jc w:val="center"/>
            </w:pPr>
            <w:r>
              <w:t>II</w:t>
            </w:r>
          </w:p>
        </w:tc>
        <w:tc>
          <w:tcPr>
            <w:tcW w:w="1311" w:type="dxa"/>
            <w:tcBorders>
              <w:top w:val="single" w:sz="12" w:space="0" w:color="auto"/>
              <w:bottom w:val="single" w:sz="12" w:space="0" w:color="auto"/>
            </w:tcBorders>
          </w:tcPr>
          <w:p w:rsidR="0015445D" w:rsidRDefault="0015445D" w:rsidP="0085587A">
            <w:pPr>
              <w:jc w:val="center"/>
            </w:pPr>
            <w:r>
              <w:t>III</w:t>
            </w:r>
          </w:p>
        </w:tc>
        <w:tc>
          <w:tcPr>
            <w:tcW w:w="1147" w:type="dxa"/>
            <w:tcBorders>
              <w:top w:val="single" w:sz="12" w:space="0" w:color="auto"/>
              <w:bottom w:val="single" w:sz="12" w:space="0" w:color="auto"/>
            </w:tcBorders>
          </w:tcPr>
          <w:p w:rsidR="0015445D" w:rsidRDefault="0015445D" w:rsidP="0085587A">
            <w:pPr>
              <w:jc w:val="center"/>
            </w:pPr>
            <w:r>
              <w:t>IV</w:t>
            </w:r>
          </w:p>
        </w:tc>
        <w:tc>
          <w:tcPr>
            <w:tcW w:w="1181" w:type="dxa"/>
            <w:tcBorders>
              <w:top w:val="single" w:sz="12" w:space="0" w:color="auto"/>
              <w:bottom w:val="single" w:sz="12" w:space="0" w:color="auto"/>
            </w:tcBorders>
          </w:tcPr>
          <w:p w:rsidR="0015445D" w:rsidRDefault="0015445D" w:rsidP="0085587A">
            <w:pPr>
              <w:jc w:val="center"/>
            </w:pPr>
            <w:r>
              <w:t>V</w:t>
            </w:r>
          </w:p>
        </w:tc>
        <w:tc>
          <w:tcPr>
            <w:tcW w:w="1133" w:type="dxa"/>
            <w:tcBorders>
              <w:top w:val="single" w:sz="12" w:space="0" w:color="auto"/>
              <w:bottom w:val="single" w:sz="12" w:space="0" w:color="auto"/>
            </w:tcBorders>
          </w:tcPr>
          <w:p w:rsidR="0015445D" w:rsidRDefault="0015445D" w:rsidP="0085587A">
            <w:pPr>
              <w:jc w:val="center"/>
            </w:pPr>
            <w:r>
              <w:t>VI</w:t>
            </w:r>
          </w:p>
        </w:tc>
      </w:tr>
      <w:tr w:rsidR="0015445D" w:rsidTr="0085587A">
        <w:trPr>
          <w:trHeight w:val="897"/>
          <w:jc w:val="center"/>
        </w:trPr>
        <w:tc>
          <w:tcPr>
            <w:tcW w:w="1541" w:type="dxa"/>
          </w:tcPr>
          <w:p w:rsidR="0015445D" w:rsidRPr="00E05E84" w:rsidRDefault="0015445D" w:rsidP="0085587A">
            <w:pPr>
              <w:jc w:val="center"/>
            </w:pPr>
          </w:p>
        </w:tc>
        <w:tc>
          <w:tcPr>
            <w:tcW w:w="1151" w:type="dxa"/>
            <w:tcBorders>
              <w:top w:val="single" w:sz="12" w:space="0" w:color="auto"/>
              <w:bottom w:val="single" w:sz="12" w:space="0" w:color="auto"/>
            </w:tcBorders>
          </w:tcPr>
          <w:p w:rsidR="0015445D" w:rsidRPr="002B7887" w:rsidRDefault="0015445D" w:rsidP="0085587A">
            <w:pPr>
              <w:jc w:val="center"/>
              <w:rPr>
                <w:sz w:val="20"/>
                <w:szCs w:val="20"/>
              </w:rPr>
            </w:pPr>
            <w:r w:rsidRPr="002B7887">
              <w:rPr>
                <w:sz w:val="20"/>
                <w:szCs w:val="20"/>
              </w:rPr>
              <w:t>Atlantic</w:t>
            </w:r>
          </w:p>
          <w:p w:rsidR="0015445D" w:rsidRPr="002B7887" w:rsidRDefault="0015445D" w:rsidP="0085587A">
            <w:pPr>
              <w:jc w:val="center"/>
              <w:rPr>
                <w:sz w:val="20"/>
                <w:szCs w:val="20"/>
              </w:rPr>
            </w:pPr>
            <w:r w:rsidRPr="002B7887">
              <w:rPr>
                <w:sz w:val="20"/>
                <w:szCs w:val="20"/>
              </w:rPr>
              <w:t xml:space="preserve"> Basin</w:t>
            </w:r>
          </w:p>
          <w:p w:rsidR="0015445D" w:rsidRPr="002B7887" w:rsidRDefault="0015445D" w:rsidP="0085587A">
            <w:pPr>
              <w:jc w:val="center"/>
              <w:rPr>
                <w:sz w:val="20"/>
                <w:szCs w:val="20"/>
              </w:rPr>
            </w:pPr>
            <w:r w:rsidRPr="002B7887">
              <w:rPr>
                <w:sz w:val="20"/>
                <w:szCs w:val="20"/>
              </w:rPr>
              <w:t>LNG</w:t>
            </w:r>
          </w:p>
          <w:p w:rsidR="0015445D" w:rsidRPr="002B7887" w:rsidRDefault="0015445D" w:rsidP="0085587A">
            <w:pPr>
              <w:jc w:val="center"/>
              <w:rPr>
                <w:sz w:val="20"/>
                <w:szCs w:val="20"/>
              </w:rPr>
            </w:pPr>
            <w:r w:rsidRPr="002B7887">
              <w:rPr>
                <w:sz w:val="20"/>
                <w:szCs w:val="20"/>
              </w:rPr>
              <w:t>1996-2000</w:t>
            </w:r>
          </w:p>
        </w:tc>
        <w:tc>
          <w:tcPr>
            <w:tcW w:w="1141" w:type="dxa"/>
            <w:tcBorders>
              <w:top w:val="single" w:sz="12" w:space="0" w:color="auto"/>
              <w:bottom w:val="single" w:sz="12" w:space="0" w:color="auto"/>
            </w:tcBorders>
          </w:tcPr>
          <w:p w:rsidR="0015445D" w:rsidRPr="002B7887" w:rsidRDefault="0015445D" w:rsidP="0085587A">
            <w:pPr>
              <w:jc w:val="center"/>
              <w:rPr>
                <w:sz w:val="20"/>
                <w:szCs w:val="20"/>
              </w:rPr>
            </w:pPr>
            <w:r w:rsidRPr="002B7887">
              <w:rPr>
                <w:sz w:val="20"/>
                <w:szCs w:val="20"/>
              </w:rPr>
              <w:t>Atlantic</w:t>
            </w:r>
          </w:p>
          <w:p w:rsidR="0015445D" w:rsidRPr="002B7887" w:rsidRDefault="0015445D" w:rsidP="0085587A">
            <w:pPr>
              <w:jc w:val="center"/>
              <w:rPr>
                <w:sz w:val="20"/>
                <w:szCs w:val="20"/>
              </w:rPr>
            </w:pPr>
            <w:r w:rsidRPr="002B7887">
              <w:rPr>
                <w:sz w:val="20"/>
                <w:szCs w:val="20"/>
              </w:rPr>
              <w:t>Basin</w:t>
            </w:r>
          </w:p>
          <w:p w:rsidR="0015445D" w:rsidRPr="002B7887" w:rsidRDefault="0015445D" w:rsidP="0085587A">
            <w:pPr>
              <w:jc w:val="center"/>
              <w:rPr>
                <w:sz w:val="20"/>
                <w:szCs w:val="20"/>
              </w:rPr>
            </w:pPr>
            <w:r w:rsidRPr="002B7887">
              <w:rPr>
                <w:sz w:val="20"/>
                <w:szCs w:val="20"/>
              </w:rPr>
              <w:t xml:space="preserve"> LNG</w:t>
            </w:r>
          </w:p>
          <w:p w:rsidR="0015445D" w:rsidRPr="002B7887" w:rsidRDefault="0015445D" w:rsidP="0085587A">
            <w:pPr>
              <w:jc w:val="center"/>
              <w:rPr>
                <w:sz w:val="20"/>
                <w:szCs w:val="20"/>
              </w:rPr>
            </w:pPr>
            <w:r w:rsidRPr="002B7887">
              <w:rPr>
                <w:sz w:val="20"/>
                <w:szCs w:val="20"/>
              </w:rPr>
              <w:t>2001-2007</w:t>
            </w:r>
          </w:p>
        </w:tc>
        <w:tc>
          <w:tcPr>
            <w:tcW w:w="1311" w:type="dxa"/>
            <w:tcBorders>
              <w:top w:val="single" w:sz="12" w:space="0" w:color="auto"/>
              <w:bottom w:val="single" w:sz="12" w:space="0" w:color="auto"/>
            </w:tcBorders>
          </w:tcPr>
          <w:p w:rsidR="0015445D" w:rsidRPr="002B7887" w:rsidRDefault="0015445D" w:rsidP="0085587A">
            <w:pPr>
              <w:jc w:val="center"/>
              <w:rPr>
                <w:sz w:val="20"/>
                <w:szCs w:val="20"/>
              </w:rPr>
            </w:pPr>
            <w:r w:rsidRPr="002B7887">
              <w:rPr>
                <w:sz w:val="20"/>
                <w:szCs w:val="20"/>
              </w:rPr>
              <w:t>Atlantic</w:t>
            </w:r>
          </w:p>
          <w:p w:rsidR="0015445D" w:rsidRPr="002B7887" w:rsidRDefault="0015445D" w:rsidP="0085587A">
            <w:pPr>
              <w:jc w:val="center"/>
              <w:rPr>
                <w:sz w:val="20"/>
                <w:szCs w:val="20"/>
              </w:rPr>
            </w:pPr>
            <w:r w:rsidRPr="002B7887">
              <w:rPr>
                <w:sz w:val="20"/>
                <w:szCs w:val="20"/>
              </w:rPr>
              <w:t>Basin</w:t>
            </w:r>
          </w:p>
          <w:p w:rsidR="0015445D" w:rsidRPr="002B7887" w:rsidRDefault="0015445D" w:rsidP="0085587A">
            <w:pPr>
              <w:jc w:val="center"/>
              <w:rPr>
                <w:sz w:val="20"/>
                <w:szCs w:val="20"/>
              </w:rPr>
            </w:pPr>
            <w:r>
              <w:rPr>
                <w:sz w:val="20"/>
                <w:szCs w:val="20"/>
              </w:rPr>
              <w:t xml:space="preserve"> Gasification</w:t>
            </w:r>
          </w:p>
          <w:p w:rsidR="0015445D" w:rsidRPr="002B7887" w:rsidRDefault="0015445D" w:rsidP="0085587A">
            <w:pPr>
              <w:jc w:val="center"/>
              <w:rPr>
                <w:sz w:val="20"/>
                <w:szCs w:val="20"/>
              </w:rPr>
            </w:pPr>
            <w:r w:rsidRPr="002B7887">
              <w:rPr>
                <w:sz w:val="20"/>
                <w:szCs w:val="20"/>
              </w:rPr>
              <w:t>1996-2000</w:t>
            </w:r>
          </w:p>
        </w:tc>
        <w:tc>
          <w:tcPr>
            <w:tcW w:w="1147" w:type="dxa"/>
            <w:tcBorders>
              <w:top w:val="single" w:sz="12" w:space="0" w:color="auto"/>
              <w:bottom w:val="single" w:sz="12" w:space="0" w:color="auto"/>
            </w:tcBorders>
          </w:tcPr>
          <w:p w:rsidR="0015445D" w:rsidRPr="002B7887" w:rsidRDefault="0015445D" w:rsidP="0085587A">
            <w:pPr>
              <w:jc w:val="center"/>
              <w:rPr>
                <w:sz w:val="20"/>
                <w:szCs w:val="20"/>
              </w:rPr>
            </w:pPr>
            <w:r w:rsidRPr="002B7887">
              <w:rPr>
                <w:sz w:val="20"/>
                <w:szCs w:val="20"/>
              </w:rPr>
              <w:t>Atlantic</w:t>
            </w:r>
          </w:p>
          <w:p w:rsidR="0015445D" w:rsidRPr="002B7887" w:rsidRDefault="0015445D" w:rsidP="0085587A">
            <w:pPr>
              <w:jc w:val="center"/>
              <w:rPr>
                <w:sz w:val="20"/>
                <w:szCs w:val="20"/>
              </w:rPr>
            </w:pPr>
            <w:r w:rsidRPr="002B7887">
              <w:rPr>
                <w:sz w:val="20"/>
                <w:szCs w:val="20"/>
              </w:rPr>
              <w:t>Basin</w:t>
            </w:r>
          </w:p>
          <w:p w:rsidR="0015445D" w:rsidRPr="002B7887" w:rsidRDefault="0015445D" w:rsidP="0085587A">
            <w:pPr>
              <w:jc w:val="center"/>
              <w:rPr>
                <w:sz w:val="20"/>
                <w:szCs w:val="20"/>
              </w:rPr>
            </w:pPr>
            <w:r>
              <w:rPr>
                <w:sz w:val="20"/>
                <w:szCs w:val="20"/>
              </w:rPr>
              <w:t>Gasification</w:t>
            </w:r>
          </w:p>
          <w:p w:rsidR="0015445D" w:rsidRPr="002B7887" w:rsidRDefault="0015445D" w:rsidP="0085587A">
            <w:pPr>
              <w:jc w:val="center"/>
              <w:rPr>
                <w:sz w:val="20"/>
                <w:szCs w:val="20"/>
              </w:rPr>
            </w:pPr>
            <w:r w:rsidRPr="002B7887">
              <w:rPr>
                <w:sz w:val="20"/>
                <w:szCs w:val="20"/>
              </w:rPr>
              <w:t>2001-2007</w:t>
            </w:r>
          </w:p>
        </w:tc>
        <w:tc>
          <w:tcPr>
            <w:tcW w:w="1181" w:type="dxa"/>
            <w:tcBorders>
              <w:top w:val="single" w:sz="12" w:space="0" w:color="auto"/>
              <w:bottom w:val="single" w:sz="12" w:space="0" w:color="auto"/>
            </w:tcBorders>
          </w:tcPr>
          <w:p w:rsidR="0015445D" w:rsidRPr="002B7887" w:rsidRDefault="0015445D" w:rsidP="0085587A">
            <w:pPr>
              <w:jc w:val="center"/>
              <w:rPr>
                <w:sz w:val="20"/>
                <w:szCs w:val="20"/>
              </w:rPr>
            </w:pPr>
            <w:r w:rsidRPr="002B7887">
              <w:rPr>
                <w:sz w:val="20"/>
                <w:szCs w:val="20"/>
              </w:rPr>
              <w:t>Atlantic</w:t>
            </w:r>
          </w:p>
          <w:p w:rsidR="0015445D" w:rsidRPr="002B7887" w:rsidRDefault="0015445D" w:rsidP="0085587A">
            <w:pPr>
              <w:jc w:val="center"/>
              <w:rPr>
                <w:sz w:val="20"/>
                <w:szCs w:val="20"/>
              </w:rPr>
            </w:pPr>
            <w:r w:rsidRPr="002B7887">
              <w:rPr>
                <w:sz w:val="20"/>
                <w:szCs w:val="20"/>
              </w:rPr>
              <w:t>Basin</w:t>
            </w:r>
          </w:p>
          <w:p w:rsidR="0015445D" w:rsidRPr="002B7887" w:rsidRDefault="0015445D" w:rsidP="0085587A">
            <w:pPr>
              <w:jc w:val="center"/>
              <w:rPr>
                <w:sz w:val="20"/>
                <w:szCs w:val="20"/>
              </w:rPr>
            </w:pPr>
            <w:r>
              <w:rPr>
                <w:sz w:val="20"/>
                <w:szCs w:val="20"/>
              </w:rPr>
              <w:t>Liquefaction</w:t>
            </w:r>
          </w:p>
          <w:p w:rsidR="0015445D" w:rsidRPr="002B7887" w:rsidRDefault="0015445D" w:rsidP="0085587A">
            <w:pPr>
              <w:jc w:val="center"/>
              <w:rPr>
                <w:sz w:val="20"/>
                <w:szCs w:val="20"/>
              </w:rPr>
            </w:pPr>
            <w:r w:rsidRPr="002B7887">
              <w:rPr>
                <w:sz w:val="20"/>
                <w:szCs w:val="20"/>
              </w:rPr>
              <w:t>1996-2000</w:t>
            </w:r>
          </w:p>
        </w:tc>
        <w:tc>
          <w:tcPr>
            <w:tcW w:w="1133" w:type="dxa"/>
            <w:tcBorders>
              <w:top w:val="single" w:sz="12" w:space="0" w:color="auto"/>
              <w:bottom w:val="single" w:sz="12" w:space="0" w:color="auto"/>
            </w:tcBorders>
          </w:tcPr>
          <w:p w:rsidR="0015445D" w:rsidRPr="002B7887" w:rsidRDefault="0015445D" w:rsidP="0085587A">
            <w:pPr>
              <w:jc w:val="center"/>
              <w:rPr>
                <w:sz w:val="20"/>
                <w:szCs w:val="20"/>
              </w:rPr>
            </w:pPr>
            <w:r w:rsidRPr="002B7887">
              <w:rPr>
                <w:sz w:val="20"/>
                <w:szCs w:val="20"/>
              </w:rPr>
              <w:t>Atlantic</w:t>
            </w:r>
          </w:p>
          <w:p w:rsidR="0015445D" w:rsidRPr="002B7887" w:rsidRDefault="0015445D" w:rsidP="0085587A">
            <w:pPr>
              <w:jc w:val="center"/>
              <w:rPr>
                <w:sz w:val="20"/>
                <w:szCs w:val="20"/>
              </w:rPr>
            </w:pPr>
            <w:r w:rsidRPr="002B7887">
              <w:rPr>
                <w:sz w:val="20"/>
                <w:szCs w:val="20"/>
              </w:rPr>
              <w:t>Basin</w:t>
            </w:r>
          </w:p>
          <w:p w:rsidR="0015445D" w:rsidRPr="002B7887" w:rsidRDefault="0015445D" w:rsidP="0085587A">
            <w:pPr>
              <w:jc w:val="center"/>
              <w:rPr>
                <w:sz w:val="20"/>
                <w:szCs w:val="20"/>
              </w:rPr>
            </w:pPr>
            <w:r>
              <w:rPr>
                <w:sz w:val="20"/>
                <w:szCs w:val="20"/>
              </w:rPr>
              <w:t>Liquefaction</w:t>
            </w:r>
          </w:p>
          <w:p w:rsidR="0015445D" w:rsidRPr="002B7887" w:rsidRDefault="0015445D" w:rsidP="0085587A">
            <w:pPr>
              <w:jc w:val="center"/>
              <w:rPr>
                <w:sz w:val="20"/>
                <w:szCs w:val="20"/>
              </w:rPr>
            </w:pPr>
            <w:r w:rsidRPr="002B7887">
              <w:rPr>
                <w:sz w:val="20"/>
                <w:szCs w:val="20"/>
              </w:rPr>
              <w:t>2001-2007</w:t>
            </w:r>
          </w:p>
        </w:tc>
      </w:tr>
      <w:tr w:rsidR="0015445D" w:rsidTr="0085587A">
        <w:trPr>
          <w:trHeight w:val="242"/>
          <w:jc w:val="center"/>
        </w:trPr>
        <w:tc>
          <w:tcPr>
            <w:tcW w:w="1541" w:type="dxa"/>
          </w:tcPr>
          <w:p w:rsidR="0015445D" w:rsidRPr="002B7887" w:rsidRDefault="0015445D" w:rsidP="0085587A">
            <w:pPr>
              <w:rPr>
                <w:sz w:val="20"/>
                <w:szCs w:val="20"/>
              </w:rPr>
            </w:pPr>
            <w:r w:rsidRPr="002B7887">
              <w:rPr>
                <w:sz w:val="20"/>
                <w:szCs w:val="20"/>
              </w:rPr>
              <w:t>Speed</w:t>
            </w:r>
          </w:p>
        </w:tc>
        <w:tc>
          <w:tcPr>
            <w:tcW w:w="1151" w:type="dxa"/>
            <w:tcBorders>
              <w:top w:val="single" w:sz="12" w:space="0" w:color="auto"/>
            </w:tcBorders>
          </w:tcPr>
          <w:p w:rsidR="0015445D" w:rsidRPr="002B7887" w:rsidRDefault="0015445D" w:rsidP="0085587A">
            <w:pPr>
              <w:jc w:val="center"/>
              <w:rPr>
                <w:sz w:val="20"/>
                <w:szCs w:val="20"/>
              </w:rPr>
            </w:pPr>
            <w:r>
              <w:rPr>
                <w:sz w:val="20"/>
                <w:szCs w:val="20"/>
              </w:rPr>
              <w:t>.504</w:t>
            </w:r>
          </w:p>
        </w:tc>
        <w:tc>
          <w:tcPr>
            <w:tcW w:w="1141" w:type="dxa"/>
            <w:tcBorders>
              <w:top w:val="single" w:sz="12" w:space="0" w:color="auto"/>
            </w:tcBorders>
          </w:tcPr>
          <w:p w:rsidR="0015445D" w:rsidRPr="002B7887" w:rsidRDefault="0015445D" w:rsidP="0085587A">
            <w:pPr>
              <w:jc w:val="center"/>
              <w:rPr>
                <w:sz w:val="20"/>
                <w:szCs w:val="20"/>
              </w:rPr>
            </w:pPr>
            <w:r>
              <w:rPr>
                <w:sz w:val="20"/>
                <w:szCs w:val="20"/>
              </w:rPr>
              <w:t>.327*</w:t>
            </w:r>
          </w:p>
        </w:tc>
        <w:tc>
          <w:tcPr>
            <w:tcW w:w="1311" w:type="dxa"/>
            <w:tcBorders>
              <w:top w:val="single" w:sz="12" w:space="0" w:color="auto"/>
            </w:tcBorders>
          </w:tcPr>
          <w:p w:rsidR="0015445D" w:rsidRPr="002B7887" w:rsidRDefault="0015445D" w:rsidP="0085587A">
            <w:pPr>
              <w:jc w:val="center"/>
              <w:rPr>
                <w:sz w:val="20"/>
                <w:szCs w:val="20"/>
              </w:rPr>
            </w:pPr>
            <w:r>
              <w:rPr>
                <w:sz w:val="20"/>
                <w:szCs w:val="20"/>
              </w:rPr>
              <w:t>1.136</w:t>
            </w:r>
          </w:p>
        </w:tc>
        <w:tc>
          <w:tcPr>
            <w:tcW w:w="1147" w:type="dxa"/>
            <w:tcBorders>
              <w:top w:val="single" w:sz="12" w:space="0" w:color="auto"/>
            </w:tcBorders>
          </w:tcPr>
          <w:p w:rsidR="0015445D" w:rsidRPr="002B7887" w:rsidRDefault="0015445D" w:rsidP="0085587A">
            <w:pPr>
              <w:jc w:val="center"/>
              <w:rPr>
                <w:sz w:val="20"/>
                <w:szCs w:val="20"/>
              </w:rPr>
            </w:pPr>
            <w:r>
              <w:rPr>
                <w:sz w:val="20"/>
                <w:szCs w:val="20"/>
              </w:rPr>
              <w:t>.483***</w:t>
            </w:r>
          </w:p>
        </w:tc>
        <w:tc>
          <w:tcPr>
            <w:tcW w:w="1181" w:type="dxa"/>
            <w:tcBorders>
              <w:top w:val="single" w:sz="12" w:space="0" w:color="auto"/>
            </w:tcBorders>
          </w:tcPr>
          <w:p w:rsidR="0015445D" w:rsidRPr="002B7887" w:rsidRDefault="0015445D" w:rsidP="0085587A">
            <w:pPr>
              <w:jc w:val="center"/>
              <w:rPr>
                <w:sz w:val="20"/>
                <w:szCs w:val="20"/>
              </w:rPr>
            </w:pPr>
            <w:r>
              <w:rPr>
                <w:sz w:val="20"/>
                <w:szCs w:val="20"/>
              </w:rPr>
              <w:t>.205</w:t>
            </w:r>
          </w:p>
        </w:tc>
        <w:tc>
          <w:tcPr>
            <w:tcW w:w="1133" w:type="dxa"/>
            <w:tcBorders>
              <w:top w:val="single" w:sz="12" w:space="0" w:color="auto"/>
            </w:tcBorders>
          </w:tcPr>
          <w:p w:rsidR="0015445D" w:rsidRPr="002B7887" w:rsidRDefault="0015445D" w:rsidP="0085587A">
            <w:pPr>
              <w:jc w:val="center"/>
              <w:rPr>
                <w:sz w:val="20"/>
                <w:szCs w:val="20"/>
              </w:rPr>
            </w:pPr>
            <w:r>
              <w:rPr>
                <w:sz w:val="20"/>
                <w:szCs w:val="20"/>
              </w:rPr>
              <w:t>-.359</w:t>
            </w:r>
          </w:p>
        </w:tc>
      </w:tr>
      <w:tr w:rsidR="0015445D" w:rsidTr="0085587A">
        <w:trPr>
          <w:trHeight w:val="228"/>
          <w:jc w:val="center"/>
        </w:trPr>
        <w:tc>
          <w:tcPr>
            <w:tcW w:w="1541" w:type="dxa"/>
          </w:tcPr>
          <w:p w:rsidR="0015445D" w:rsidRPr="002B7887" w:rsidRDefault="0015445D" w:rsidP="0085587A">
            <w:pPr>
              <w:rPr>
                <w:sz w:val="20"/>
                <w:szCs w:val="20"/>
              </w:rPr>
            </w:pPr>
            <w:r>
              <w:rPr>
                <w:sz w:val="20"/>
                <w:szCs w:val="20"/>
              </w:rPr>
              <w:t xml:space="preserve">   Capability</w:t>
            </w:r>
          </w:p>
        </w:tc>
        <w:tc>
          <w:tcPr>
            <w:tcW w:w="1151" w:type="dxa"/>
          </w:tcPr>
          <w:p w:rsidR="0015445D" w:rsidRPr="002B7887" w:rsidRDefault="0015445D" w:rsidP="0085587A">
            <w:pPr>
              <w:jc w:val="center"/>
              <w:rPr>
                <w:sz w:val="20"/>
                <w:szCs w:val="20"/>
              </w:rPr>
            </w:pPr>
            <w:r>
              <w:rPr>
                <w:sz w:val="20"/>
                <w:szCs w:val="20"/>
              </w:rPr>
              <w:t>(.486)</w:t>
            </w:r>
          </w:p>
        </w:tc>
        <w:tc>
          <w:tcPr>
            <w:tcW w:w="1141" w:type="dxa"/>
          </w:tcPr>
          <w:p w:rsidR="0015445D" w:rsidRPr="002B7887" w:rsidRDefault="0015445D" w:rsidP="0085587A">
            <w:pPr>
              <w:jc w:val="center"/>
              <w:rPr>
                <w:sz w:val="20"/>
                <w:szCs w:val="20"/>
              </w:rPr>
            </w:pPr>
            <w:r>
              <w:rPr>
                <w:sz w:val="20"/>
                <w:szCs w:val="20"/>
              </w:rPr>
              <w:t>(.174)</w:t>
            </w:r>
          </w:p>
        </w:tc>
        <w:tc>
          <w:tcPr>
            <w:tcW w:w="1311" w:type="dxa"/>
          </w:tcPr>
          <w:p w:rsidR="0015445D" w:rsidRPr="002B7887" w:rsidRDefault="0015445D" w:rsidP="0085587A">
            <w:pPr>
              <w:jc w:val="center"/>
              <w:rPr>
                <w:sz w:val="20"/>
                <w:szCs w:val="20"/>
              </w:rPr>
            </w:pPr>
            <w:r>
              <w:rPr>
                <w:sz w:val="20"/>
                <w:szCs w:val="20"/>
              </w:rPr>
              <w:t>(1.153)</w:t>
            </w:r>
          </w:p>
        </w:tc>
        <w:tc>
          <w:tcPr>
            <w:tcW w:w="1147" w:type="dxa"/>
          </w:tcPr>
          <w:p w:rsidR="0015445D" w:rsidRPr="002B7887" w:rsidRDefault="0015445D" w:rsidP="0085587A">
            <w:pPr>
              <w:jc w:val="center"/>
              <w:rPr>
                <w:sz w:val="20"/>
                <w:szCs w:val="20"/>
              </w:rPr>
            </w:pPr>
            <w:r>
              <w:rPr>
                <w:sz w:val="20"/>
                <w:szCs w:val="20"/>
              </w:rPr>
              <w:t>(.175)</w:t>
            </w:r>
          </w:p>
        </w:tc>
        <w:tc>
          <w:tcPr>
            <w:tcW w:w="1181" w:type="dxa"/>
          </w:tcPr>
          <w:p w:rsidR="0015445D" w:rsidRPr="002B7887" w:rsidRDefault="0015445D" w:rsidP="0085587A">
            <w:pPr>
              <w:jc w:val="center"/>
              <w:rPr>
                <w:sz w:val="20"/>
                <w:szCs w:val="20"/>
              </w:rPr>
            </w:pPr>
            <w:r>
              <w:rPr>
                <w:sz w:val="20"/>
                <w:szCs w:val="20"/>
              </w:rPr>
              <w:t>(.591)</w:t>
            </w:r>
          </w:p>
        </w:tc>
        <w:tc>
          <w:tcPr>
            <w:tcW w:w="1133" w:type="dxa"/>
          </w:tcPr>
          <w:p w:rsidR="0015445D" w:rsidRPr="002B7887" w:rsidRDefault="0015445D" w:rsidP="0085587A">
            <w:pPr>
              <w:jc w:val="center"/>
              <w:rPr>
                <w:sz w:val="20"/>
                <w:szCs w:val="20"/>
              </w:rPr>
            </w:pPr>
            <w:r>
              <w:rPr>
                <w:sz w:val="20"/>
                <w:szCs w:val="20"/>
              </w:rPr>
              <w:t>(.414)</w:t>
            </w:r>
          </w:p>
        </w:tc>
      </w:tr>
      <w:tr w:rsidR="0015445D" w:rsidTr="0085587A">
        <w:trPr>
          <w:trHeight w:val="228"/>
          <w:jc w:val="center"/>
        </w:trPr>
        <w:tc>
          <w:tcPr>
            <w:tcW w:w="1541" w:type="dxa"/>
          </w:tcPr>
          <w:p w:rsidR="0015445D" w:rsidRPr="002B7887" w:rsidRDefault="0015445D" w:rsidP="0085587A">
            <w:pPr>
              <w:rPr>
                <w:sz w:val="20"/>
                <w:szCs w:val="20"/>
              </w:rPr>
            </w:pPr>
            <w:r w:rsidRPr="002B7887">
              <w:rPr>
                <w:sz w:val="20"/>
                <w:szCs w:val="20"/>
              </w:rPr>
              <w:t>Firm Size</w:t>
            </w:r>
          </w:p>
        </w:tc>
        <w:tc>
          <w:tcPr>
            <w:tcW w:w="1151" w:type="dxa"/>
          </w:tcPr>
          <w:p w:rsidR="0015445D" w:rsidRPr="002B7887" w:rsidRDefault="0015445D" w:rsidP="0085587A">
            <w:pPr>
              <w:jc w:val="center"/>
              <w:rPr>
                <w:sz w:val="20"/>
                <w:szCs w:val="20"/>
              </w:rPr>
            </w:pPr>
            <w:r>
              <w:rPr>
                <w:sz w:val="20"/>
                <w:szCs w:val="20"/>
              </w:rPr>
              <w:t>1.171**</w:t>
            </w:r>
          </w:p>
        </w:tc>
        <w:tc>
          <w:tcPr>
            <w:tcW w:w="1141" w:type="dxa"/>
          </w:tcPr>
          <w:p w:rsidR="0015445D" w:rsidRPr="002B7887" w:rsidRDefault="0015445D" w:rsidP="0085587A">
            <w:pPr>
              <w:jc w:val="center"/>
              <w:rPr>
                <w:sz w:val="20"/>
                <w:szCs w:val="20"/>
              </w:rPr>
            </w:pPr>
            <w:r>
              <w:rPr>
                <w:sz w:val="20"/>
                <w:szCs w:val="20"/>
              </w:rPr>
              <w:t>.245</w:t>
            </w:r>
          </w:p>
        </w:tc>
        <w:tc>
          <w:tcPr>
            <w:tcW w:w="1311" w:type="dxa"/>
          </w:tcPr>
          <w:p w:rsidR="0015445D" w:rsidRPr="002B7887" w:rsidRDefault="0015445D" w:rsidP="0085587A">
            <w:pPr>
              <w:jc w:val="center"/>
              <w:rPr>
                <w:sz w:val="20"/>
                <w:szCs w:val="20"/>
              </w:rPr>
            </w:pPr>
            <w:r>
              <w:rPr>
                <w:sz w:val="20"/>
                <w:szCs w:val="20"/>
              </w:rPr>
              <w:t>1.641***</w:t>
            </w:r>
          </w:p>
        </w:tc>
        <w:tc>
          <w:tcPr>
            <w:tcW w:w="1147" w:type="dxa"/>
          </w:tcPr>
          <w:p w:rsidR="0015445D" w:rsidRPr="002B7887" w:rsidRDefault="0015445D" w:rsidP="0085587A">
            <w:pPr>
              <w:jc w:val="center"/>
              <w:rPr>
                <w:sz w:val="20"/>
                <w:szCs w:val="20"/>
              </w:rPr>
            </w:pPr>
            <w:r>
              <w:rPr>
                <w:sz w:val="20"/>
                <w:szCs w:val="20"/>
              </w:rPr>
              <w:t>.163</w:t>
            </w:r>
          </w:p>
        </w:tc>
        <w:tc>
          <w:tcPr>
            <w:tcW w:w="1181" w:type="dxa"/>
          </w:tcPr>
          <w:p w:rsidR="0015445D" w:rsidRPr="002B7887" w:rsidRDefault="0015445D" w:rsidP="0085587A">
            <w:pPr>
              <w:jc w:val="center"/>
              <w:rPr>
                <w:sz w:val="20"/>
                <w:szCs w:val="20"/>
              </w:rPr>
            </w:pPr>
            <w:r>
              <w:rPr>
                <w:sz w:val="20"/>
                <w:szCs w:val="20"/>
              </w:rPr>
              <w:t>1.373**</w:t>
            </w:r>
          </w:p>
        </w:tc>
        <w:tc>
          <w:tcPr>
            <w:tcW w:w="1133" w:type="dxa"/>
          </w:tcPr>
          <w:p w:rsidR="0015445D" w:rsidRPr="002B7887" w:rsidRDefault="0015445D" w:rsidP="0085587A">
            <w:pPr>
              <w:jc w:val="center"/>
              <w:rPr>
                <w:sz w:val="20"/>
                <w:szCs w:val="20"/>
              </w:rPr>
            </w:pPr>
            <w:r>
              <w:rPr>
                <w:sz w:val="20"/>
                <w:szCs w:val="20"/>
              </w:rPr>
              <w:t>.486</w:t>
            </w:r>
          </w:p>
        </w:tc>
      </w:tr>
      <w:tr w:rsidR="0015445D" w:rsidTr="0085587A">
        <w:trPr>
          <w:trHeight w:val="214"/>
          <w:jc w:val="center"/>
        </w:trPr>
        <w:tc>
          <w:tcPr>
            <w:tcW w:w="1541" w:type="dxa"/>
          </w:tcPr>
          <w:p w:rsidR="0015445D" w:rsidRPr="002B7887" w:rsidRDefault="0015445D" w:rsidP="0085587A">
            <w:pPr>
              <w:rPr>
                <w:sz w:val="20"/>
                <w:szCs w:val="20"/>
              </w:rPr>
            </w:pPr>
          </w:p>
        </w:tc>
        <w:tc>
          <w:tcPr>
            <w:tcW w:w="1151" w:type="dxa"/>
          </w:tcPr>
          <w:p w:rsidR="0015445D" w:rsidRPr="002B7887" w:rsidRDefault="0015445D" w:rsidP="0085587A">
            <w:pPr>
              <w:jc w:val="center"/>
              <w:rPr>
                <w:sz w:val="20"/>
                <w:szCs w:val="20"/>
              </w:rPr>
            </w:pPr>
            <w:r>
              <w:rPr>
                <w:sz w:val="20"/>
                <w:szCs w:val="20"/>
              </w:rPr>
              <w:t>(.479)</w:t>
            </w:r>
          </w:p>
        </w:tc>
        <w:tc>
          <w:tcPr>
            <w:tcW w:w="1141" w:type="dxa"/>
          </w:tcPr>
          <w:p w:rsidR="0015445D" w:rsidRPr="002B7887" w:rsidRDefault="0015445D" w:rsidP="0085587A">
            <w:pPr>
              <w:jc w:val="center"/>
              <w:rPr>
                <w:sz w:val="20"/>
                <w:szCs w:val="20"/>
              </w:rPr>
            </w:pPr>
            <w:r>
              <w:rPr>
                <w:sz w:val="20"/>
                <w:szCs w:val="20"/>
              </w:rPr>
              <w:t>(.191)</w:t>
            </w:r>
          </w:p>
        </w:tc>
        <w:tc>
          <w:tcPr>
            <w:tcW w:w="1311" w:type="dxa"/>
          </w:tcPr>
          <w:p w:rsidR="0015445D" w:rsidRPr="002B7887" w:rsidRDefault="0015445D" w:rsidP="0085587A">
            <w:pPr>
              <w:jc w:val="center"/>
              <w:rPr>
                <w:sz w:val="20"/>
                <w:szCs w:val="20"/>
              </w:rPr>
            </w:pPr>
            <w:r>
              <w:rPr>
                <w:sz w:val="20"/>
                <w:szCs w:val="20"/>
              </w:rPr>
              <w:t>(.522)</w:t>
            </w:r>
          </w:p>
        </w:tc>
        <w:tc>
          <w:tcPr>
            <w:tcW w:w="1147" w:type="dxa"/>
          </w:tcPr>
          <w:p w:rsidR="0015445D" w:rsidRPr="002B7887" w:rsidRDefault="0015445D" w:rsidP="0085587A">
            <w:pPr>
              <w:jc w:val="center"/>
              <w:rPr>
                <w:sz w:val="20"/>
                <w:szCs w:val="20"/>
              </w:rPr>
            </w:pPr>
            <w:r>
              <w:rPr>
                <w:sz w:val="20"/>
                <w:szCs w:val="20"/>
              </w:rPr>
              <w:t>(.155)</w:t>
            </w:r>
          </w:p>
        </w:tc>
        <w:tc>
          <w:tcPr>
            <w:tcW w:w="1181" w:type="dxa"/>
          </w:tcPr>
          <w:p w:rsidR="0015445D" w:rsidRPr="002B7887" w:rsidRDefault="0015445D" w:rsidP="0085587A">
            <w:pPr>
              <w:jc w:val="center"/>
              <w:rPr>
                <w:sz w:val="20"/>
                <w:szCs w:val="20"/>
              </w:rPr>
            </w:pPr>
            <w:r>
              <w:rPr>
                <w:sz w:val="20"/>
                <w:szCs w:val="20"/>
              </w:rPr>
              <w:t>(.571)</w:t>
            </w:r>
          </w:p>
        </w:tc>
        <w:tc>
          <w:tcPr>
            <w:tcW w:w="1133" w:type="dxa"/>
          </w:tcPr>
          <w:p w:rsidR="0015445D" w:rsidRPr="002B7887" w:rsidRDefault="0015445D" w:rsidP="0085587A">
            <w:pPr>
              <w:jc w:val="center"/>
              <w:rPr>
                <w:sz w:val="20"/>
                <w:szCs w:val="20"/>
              </w:rPr>
            </w:pPr>
            <w:r>
              <w:rPr>
                <w:sz w:val="20"/>
                <w:szCs w:val="20"/>
              </w:rPr>
              <w:t>(.335)</w:t>
            </w:r>
          </w:p>
        </w:tc>
      </w:tr>
      <w:tr w:rsidR="0015445D" w:rsidTr="0085587A">
        <w:trPr>
          <w:trHeight w:val="228"/>
          <w:jc w:val="center"/>
        </w:trPr>
        <w:tc>
          <w:tcPr>
            <w:tcW w:w="1541" w:type="dxa"/>
          </w:tcPr>
          <w:p w:rsidR="0015445D" w:rsidRPr="002B7887" w:rsidRDefault="0015445D" w:rsidP="0085587A">
            <w:pPr>
              <w:rPr>
                <w:sz w:val="20"/>
                <w:szCs w:val="20"/>
              </w:rPr>
            </w:pPr>
            <w:r w:rsidRPr="002B7887">
              <w:rPr>
                <w:sz w:val="20"/>
                <w:szCs w:val="20"/>
              </w:rPr>
              <w:t>Age</w:t>
            </w:r>
          </w:p>
        </w:tc>
        <w:tc>
          <w:tcPr>
            <w:tcW w:w="1151" w:type="dxa"/>
          </w:tcPr>
          <w:p w:rsidR="0015445D" w:rsidRPr="002B7887" w:rsidRDefault="0015445D" w:rsidP="0085587A">
            <w:pPr>
              <w:jc w:val="center"/>
              <w:rPr>
                <w:sz w:val="20"/>
                <w:szCs w:val="20"/>
              </w:rPr>
            </w:pPr>
            <w:r>
              <w:rPr>
                <w:sz w:val="20"/>
                <w:szCs w:val="20"/>
              </w:rPr>
              <w:t>-.343</w:t>
            </w:r>
          </w:p>
        </w:tc>
        <w:tc>
          <w:tcPr>
            <w:tcW w:w="1141" w:type="dxa"/>
          </w:tcPr>
          <w:p w:rsidR="0015445D" w:rsidRPr="002B7887" w:rsidRDefault="0015445D" w:rsidP="0085587A">
            <w:pPr>
              <w:jc w:val="center"/>
              <w:rPr>
                <w:sz w:val="20"/>
                <w:szCs w:val="20"/>
              </w:rPr>
            </w:pPr>
            <w:r>
              <w:rPr>
                <w:sz w:val="20"/>
                <w:szCs w:val="20"/>
              </w:rPr>
              <w:t>-.023</w:t>
            </w:r>
          </w:p>
        </w:tc>
        <w:tc>
          <w:tcPr>
            <w:tcW w:w="1311" w:type="dxa"/>
          </w:tcPr>
          <w:p w:rsidR="0015445D" w:rsidRPr="002B7887" w:rsidRDefault="0015445D" w:rsidP="0085587A">
            <w:pPr>
              <w:jc w:val="center"/>
              <w:rPr>
                <w:sz w:val="20"/>
                <w:szCs w:val="20"/>
              </w:rPr>
            </w:pPr>
            <w:r>
              <w:rPr>
                <w:sz w:val="20"/>
                <w:szCs w:val="20"/>
              </w:rPr>
              <w:t>-.410</w:t>
            </w:r>
          </w:p>
        </w:tc>
        <w:tc>
          <w:tcPr>
            <w:tcW w:w="1147" w:type="dxa"/>
          </w:tcPr>
          <w:p w:rsidR="0015445D" w:rsidRPr="002B7887" w:rsidRDefault="0015445D" w:rsidP="0085587A">
            <w:pPr>
              <w:jc w:val="center"/>
              <w:rPr>
                <w:sz w:val="20"/>
                <w:szCs w:val="20"/>
              </w:rPr>
            </w:pPr>
            <w:r>
              <w:rPr>
                <w:sz w:val="20"/>
                <w:szCs w:val="20"/>
              </w:rPr>
              <w:t>.116</w:t>
            </w:r>
          </w:p>
        </w:tc>
        <w:tc>
          <w:tcPr>
            <w:tcW w:w="1181" w:type="dxa"/>
          </w:tcPr>
          <w:p w:rsidR="0015445D" w:rsidRPr="002B7887" w:rsidRDefault="0015445D" w:rsidP="0085587A">
            <w:pPr>
              <w:jc w:val="center"/>
              <w:rPr>
                <w:sz w:val="20"/>
                <w:szCs w:val="20"/>
              </w:rPr>
            </w:pPr>
            <w:r>
              <w:rPr>
                <w:sz w:val="20"/>
                <w:szCs w:val="20"/>
              </w:rPr>
              <w:t>-.610</w:t>
            </w:r>
          </w:p>
        </w:tc>
        <w:tc>
          <w:tcPr>
            <w:tcW w:w="1133" w:type="dxa"/>
          </w:tcPr>
          <w:p w:rsidR="0015445D" w:rsidRPr="002B7887" w:rsidRDefault="0015445D" w:rsidP="0085587A">
            <w:pPr>
              <w:jc w:val="center"/>
              <w:rPr>
                <w:sz w:val="20"/>
                <w:szCs w:val="20"/>
              </w:rPr>
            </w:pPr>
            <w:r>
              <w:rPr>
                <w:sz w:val="20"/>
                <w:szCs w:val="20"/>
              </w:rPr>
              <w:t>-.489</w:t>
            </w:r>
          </w:p>
        </w:tc>
      </w:tr>
      <w:tr w:rsidR="0015445D" w:rsidTr="0085587A">
        <w:trPr>
          <w:trHeight w:val="228"/>
          <w:jc w:val="center"/>
        </w:trPr>
        <w:tc>
          <w:tcPr>
            <w:tcW w:w="1541" w:type="dxa"/>
          </w:tcPr>
          <w:p w:rsidR="0015445D" w:rsidRPr="002B7887" w:rsidRDefault="0015445D" w:rsidP="0085587A">
            <w:pPr>
              <w:rPr>
                <w:sz w:val="20"/>
                <w:szCs w:val="20"/>
              </w:rPr>
            </w:pPr>
          </w:p>
        </w:tc>
        <w:tc>
          <w:tcPr>
            <w:tcW w:w="1151" w:type="dxa"/>
          </w:tcPr>
          <w:p w:rsidR="0015445D" w:rsidRPr="002B7887" w:rsidRDefault="0015445D" w:rsidP="0085587A">
            <w:pPr>
              <w:jc w:val="center"/>
              <w:rPr>
                <w:sz w:val="20"/>
                <w:szCs w:val="20"/>
              </w:rPr>
            </w:pPr>
            <w:r>
              <w:rPr>
                <w:sz w:val="20"/>
                <w:szCs w:val="20"/>
              </w:rPr>
              <w:t>(.390)</w:t>
            </w:r>
          </w:p>
        </w:tc>
        <w:tc>
          <w:tcPr>
            <w:tcW w:w="1141" w:type="dxa"/>
          </w:tcPr>
          <w:p w:rsidR="0015445D" w:rsidRPr="002B7887" w:rsidRDefault="0015445D" w:rsidP="0085587A">
            <w:pPr>
              <w:jc w:val="center"/>
              <w:rPr>
                <w:sz w:val="20"/>
                <w:szCs w:val="20"/>
              </w:rPr>
            </w:pPr>
            <w:r>
              <w:rPr>
                <w:sz w:val="20"/>
                <w:szCs w:val="20"/>
              </w:rPr>
              <w:t>(.234)</w:t>
            </w:r>
          </w:p>
        </w:tc>
        <w:tc>
          <w:tcPr>
            <w:tcW w:w="1311" w:type="dxa"/>
          </w:tcPr>
          <w:p w:rsidR="0015445D" w:rsidRPr="002B7887" w:rsidRDefault="0015445D" w:rsidP="0085587A">
            <w:pPr>
              <w:jc w:val="center"/>
              <w:rPr>
                <w:sz w:val="20"/>
                <w:szCs w:val="20"/>
              </w:rPr>
            </w:pPr>
            <w:r>
              <w:rPr>
                <w:sz w:val="20"/>
                <w:szCs w:val="20"/>
              </w:rPr>
              <w:t>(.321)</w:t>
            </w:r>
          </w:p>
        </w:tc>
        <w:tc>
          <w:tcPr>
            <w:tcW w:w="1147" w:type="dxa"/>
          </w:tcPr>
          <w:p w:rsidR="0015445D" w:rsidRPr="002B7887" w:rsidRDefault="0015445D" w:rsidP="0085587A">
            <w:pPr>
              <w:jc w:val="center"/>
              <w:rPr>
                <w:sz w:val="20"/>
                <w:szCs w:val="20"/>
              </w:rPr>
            </w:pPr>
            <w:r>
              <w:rPr>
                <w:sz w:val="20"/>
                <w:szCs w:val="20"/>
              </w:rPr>
              <w:t>(.198)</w:t>
            </w:r>
          </w:p>
        </w:tc>
        <w:tc>
          <w:tcPr>
            <w:tcW w:w="1181" w:type="dxa"/>
          </w:tcPr>
          <w:p w:rsidR="0015445D" w:rsidRPr="002B7887" w:rsidRDefault="0015445D" w:rsidP="0085587A">
            <w:pPr>
              <w:jc w:val="center"/>
              <w:rPr>
                <w:sz w:val="20"/>
                <w:szCs w:val="20"/>
              </w:rPr>
            </w:pPr>
            <w:r>
              <w:rPr>
                <w:sz w:val="20"/>
                <w:szCs w:val="20"/>
              </w:rPr>
              <w:t>(.550)</w:t>
            </w:r>
          </w:p>
        </w:tc>
        <w:tc>
          <w:tcPr>
            <w:tcW w:w="1133" w:type="dxa"/>
          </w:tcPr>
          <w:p w:rsidR="0015445D" w:rsidRPr="002B7887" w:rsidRDefault="0015445D" w:rsidP="0085587A">
            <w:pPr>
              <w:jc w:val="center"/>
              <w:rPr>
                <w:sz w:val="20"/>
                <w:szCs w:val="20"/>
              </w:rPr>
            </w:pPr>
            <w:r>
              <w:rPr>
                <w:sz w:val="20"/>
                <w:szCs w:val="20"/>
              </w:rPr>
              <w:t>(.641)</w:t>
            </w:r>
          </w:p>
        </w:tc>
      </w:tr>
      <w:tr w:rsidR="0015445D" w:rsidTr="0085587A">
        <w:trPr>
          <w:trHeight w:val="228"/>
          <w:jc w:val="center"/>
        </w:trPr>
        <w:tc>
          <w:tcPr>
            <w:tcW w:w="1541" w:type="dxa"/>
          </w:tcPr>
          <w:p w:rsidR="0015445D" w:rsidRPr="002B7887" w:rsidRDefault="0015445D" w:rsidP="0085587A">
            <w:pPr>
              <w:rPr>
                <w:sz w:val="20"/>
                <w:szCs w:val="20"/>
              </w:rPr>
            </w:pPr>
            <w:r w:rsidRPr="002B7887">
              <w:rPr>
                <w:sz w:val="20"/>
                <w:szCs w:val="20"/>
              </w:rPr>
              <w:t>Age</w:t>
            </w:r>
            <w:r w:rsidRPr="006B2C98">
              <w:rPr>
                <w:sz w:val="20"/>
                <w:szCs w:val="20"/>
                <w:vertAlign w:val="superscript"/>
              </w:rPr>
              <w:t>2</w:t>
            </w:r>
          </w:p>
        </w:tc>
        <w:tc>
          <w:tcPr>
            <w:tcW w:w="1151" w:type="dxa"/>
          </w:tcPr>
          <w:p w:rsidR="0015445D" w:rsidRPr="002B7887" w:rsidRDefault="0015445D" w:rsidP="0085587A">
            <w:pPr>
              <w:jc w:val="center"/>
              <w:rPr>
                <w:sz w:val="20"/>
                <w:szCs w:val="20"/>
              </w:rPr>
            </w:pPr>
            <w:r>
              <w:rPr>
                <w:sz w:val="20"/>
                <w:szCs w:val="20"/>
              </w:rPr>
              <w:t>-.297</w:t>
            </w:r>
          </w:p>
        </w:tc>
        <w:tc>
          <w:tcPr>
            <w:tcW w:w="1141" w:type="dxa"/>
          </w:tcPr>
          <w:p w:rsidR="0015445D" w:rsidRPr="002B7887" w:rsidRDefault="0015445D" w:rsidP="0085587A">
            <w:pPr>
              <w:jc w:val="center"/>
              <w:rPr>
                <w:sz w:val="20"/>
                <w:szCs w:val="20"/>
              </w:rPr>
            </w:pPr>
            <w:r>
              <w:rPr>
                <w:sz w:val="20"/>
                <w:szCs w:val="20"/>
              </w:rPr>
              <w:t>.222</w:t>
            </w:r>
          </w:p>
        </w:tc>
        <w:tc>
          <w:tcPr>
            <w:tcW w:w="1311" w:type="dxa"/>
          </w:tcPr>
          <w:p w:rsidR="0015445D" w:rsidRPr="002B7887" w:rsidRDefault="0015445D" w:rsidP="0085587A">
            <w:pPr>
              <w:jc w:val="center"/>
              <w:rPr>
                <w:sz w:val="20"/>
                <w:szCs w:val="20"/>
              </w:rPr>
            </w:pPr>
            <w:r>
              <w:rPr>
                <w:sz w:val="20"/>
                <w:szCs w:val="20"/>
              </w:rPr>
              <w:t>-.061</w:t>
            </w:r>
          </w:p>
        </w:tc>
        <w:tc>
          <w:tcPr>
            <w:tcW w:w="1147" w:type="dxa"/>
          </w:tcPr>
          <w:p w:rsidR="0015445D" w:rsidRPr="002B7887" w:rsidRDefault="0015445D" w:rsidP="0085587A">
            <w:pPr>
              <w:jc w:val="center"/>
              <w:rPr>
                <w:sz w:val="20"/>
                <w:szCs w:val="20"/>
              </w:rPr>
            </w:pPr>
            <w:r>
              <w:rPr>
                <w:sz w:val="20"/>
                <w:szCs w:val="20"/>
              </w:rPr>
              <w:t>.409***</w:t>
            </w:r>
          </w:p>
        </w:tc>
        <w:tc>
          <w:tcPr>
            <w:tcW w:w="1181" w:type="dxa"/>
          </w:tcPr>
          <w:p w:rsidR="0015445D" w:rsidRPr="002B7887" w:rsidRDefault="0015445D" w:rsidP="0085587A">
            <w:pPr>
              <w:jc w:val="center"/>
              <w:rPr>
                <w:sz w:val="20"/>
                <w:szCs w:val="20"/>
              </w:rPr>
            </w:pPr>
            <w:r>
              <w:rPr>
                <w:sz w:val="20"/>
                <w:szCs w:val="20"/>
              </w:rPr>
              <w:t>-.322</w:t>
            </w:r>
          </w:p>
        </w:tc>
        <w:tc>
          <w:tcPr>
            <w:tcW w:w="1133" w:type="dxa"/>
          </w:tcPr>
          <w:p w:rsidR="0015445D" w:rsidRPr="002B7887" w:rsidRDefault="0015445D" w:rsidP="0085587A">
            <w:pPr>
              <w:jc w:val="center"/>
              <w:rPr>
                <w:sz w:val="20"/>
                <w:szCs w:val="20"/>
              </w:rPr>
            </w:pPr>
            <w:r>
              <w:rPr>
                <w:sz w:val="20"/>
                <w:szCs w:val="20"/>
              </w:rPr>
              <w:t>-.043</w:t>
            </w:r>
          </w:p>
        </w:tc>
      </w:tr>
      <w:tr w:rsidR="0015445D" w:rsidTr="0085587A">
        <w:trPr>
          <w:trHeight w:val="228"/>
          <w:jc w:val="center"/>
        </w:trPr>
        <w:tc>
          <w:tcPr>
            <w:tcW w:w="1541" w:type="dxa"/>
          </w:tcPr>
          <w:p w:rsidR="0015445D" w:rsidRPr="002B7887" w:rsidRDefault="0015445D" w:rsidP="0085587A">
            <w:pPr>
              <w:rPr>
                <w:sz w:val="20"/>
                <w:szCs w:val="20"/>
              </w:rPr>
            </w:pPr>
          </w:p>
        </w:tc>
        <w:tc>
          <w:tcPr>
            <w:tcW w:w="1151" w:type="dxa"/>
          </w:tcPr>
          <w:p w:rsidR="0015445D" w:rsidRPr="002B7887" w:rsidRDefault="0015445D" w:rsidP="0085587A">
            <w:pPr>
              <w:jc w:val="center"/>
              <w:rPr>
                <w:sz w:val="20"/>
                <w:szCs w:val="20"/>
              </w:rPr>
            </w:pPr>
            <w:r>
              <w:rPr>
                <w:sz w:val="20"/>
                <w:szCs w:val="20"/>
              </w:rPr>
              <w:t>(.288)</w:t>
            </w:r>
          </w:p>
        </w:tc>
        <w:tc>
          <w:tcPr>
            <w:tcW w:w="1141" w:type="dxa"/>
          </w:tcPr>
          <w:p w:rsidR="0015445D" w:rsidRPr="002B7887" w:rsidRDefault="0015445D" w:rsidP="0085587A">
            <w:pPr>
              <w:jc w:val="center"/>
              <w:rPr>
                <w:sz w:val="20"/>
                <w:szCs w:val="20"/>
              </w:rPr>
            </w:pPr>
            <w:r>
              <w:rPr>
                <w:sz w:val="20"/>
                <w:szCs w:val="20"/>
              </w:rPr>
              <w:t>(.197)</w:t>
            </w:r>
          </w:p>
        </w:tc>
        <w:tc>
          <w:tcPr>
            <w:tcW w:w="1311" w:type="dxa"/>
          </w:tcPr>
          <w:p w:rsidR="0015445D" w:rsidRPr="002B7887" w:rsidRDefault="0015445D" w:rsidP="0085587A">
            <w:pPr>
              <w:jc w:val="center"/>
              <w:rPr>
                <w:sz w:val="20"/>
                <w:szCs w:val="20"/>
              </w:rPr>
            </w:pPr>
            <w:r>
              <w:rPr>
                <w:sz w:val="20"/>
                <w:szCs w:val="20"/>
              </w:rPr>
              <w:t>(.310)</w:t>
            </w:r>
          </w:p>
        </w:tc>
        <w:tc>
          <w:tcPr>
            <w:tcW w:w="1147" w:type="dxa"/>
          </w:tcPr>
          <w:p w:rsidR="0015445D" w:rsidRPr="002B7887" w:rsidRDefault="0015445D" w:rsidP="0085587A">
            <w:pPr>
              <w:jc w:val="center"/>
              <w:rPr>
                <w:sz w:val="20"/>
                <w:szCs w:val="20"/>
              </w:rPr>
            </w:pPr>
            <w:r>
              <w:rPr>
                <w:sz w:val="20"/>
                <w:szCs w:val="20"/>
              </w:rPr>
              <w:t>(.151)</w:t>
            </w:r>
          </w:p>
        </w:tc>
        <w:tc>
          <w:tcPr>
            <w:tcW w:w="1181" w:type="dxa"/>
          </w:tcPr>
          <w:p w:rsidR="0015445D" w:rsidRPr="002B7887" w:rsidRDefault="0015445D" w:rsidP="0085587A">
            <w:pPr>
              <w:jc w:val="center"/>
              <w:rPr>
                <w:sz w:val="20"/>
                <w:szCs w:val="20"/>
              </w:rPr>
            </w:pPr>
            <w:r>
              <w:rPr>
                <w:sz w:val="20"/>
                <w:szCs w:val="20"/>
              </w:rPr>
              <w:t>(.378)</w:t>
            </w:r>
          </w:p>
        </w:tc>
        <w:tc>
          <w:tcPr>
            <w:tcW w:w="1133" w:type="dxa"/>
          </w:tcPr>
          <w:p w:rsidR="0015445D" w:rsidRPr="002B7887" w:rsidRDefault="0015445D" w:rsidP="0085587A">
            <w:pPr>
              <w:jc w:val="center"/>
              <w:rPr>
                <w:sz w:val="20"/>
                <w:szCs w:val="20"/>
              </w:rPr>
            </w:pPr>
            <w:r>
              <w:rPr>
                <w:sz w:val="20"/>
                <w:szCs w:val="20"/>
              </w:rPr>
              <w:t>(.395)</w:t>
            </w:r>
          </w:p>
        </w:tc>
      </w:tr>
      <w:tr w:rsidR="0015445D" w:rsidTr="0085587A">
        <w:trPr>
          <w:trHeight w:val="228"/>
          <w:jc w:val="center"/>
        </w:trPr>
        <w:tc>
          <w:tcPr>
            <w:tcW w:w="1541" w:type="dxa"/>
          </w:tcPr>
          <w:p w:rsidR="0015445D" w:rsidRPr="002B7887" w:rsidRDefault="0015445D" w:rsidP="0085587A">
            <w:pPr>
              <w:rPr>
                <w:sz w:val="20"/>
                <w:szCs w:val="20"/>
              </w:rPr>
            </w:pPr>
            <w:r w:rsidRPr="002B7887">
              <w:rPr>
                <w:sz w:val="20"/>
                <w:szCs w:val="20"/>
              </w:rPr>
              <w:t>LNG</w:t>
            </w:r>
          </w:p>
        </w:tc>
        <w:tc>
          <w:tcPr>
            <w:tcW w:w="1151" w:type="dxa"/>
          </w:tcPr>
          <w:p w:rsidR="0015445D" w:rsidRPr="002B7887" w:rsidRDefault="0015445D" w:rsidP="0085587A">
            <w:pPr>
              <w:jc w:val="center"/>
              <w:rPr>
                <w:sz w:val="20"/>
                <w:szCs w:val="20"/>
              </w:rPr>
            </w:pPr>
            <w:r>
              <w:rPr>
                <w:sz w:val="20"/>
                <w:szCs w:val="20"/>
              </w:rPr>
              <w:t>-.083**</w:t>
            </w:r>
          </w:p>
        </w:tc>
        <w:tc>
          <w:tcPr>
            <w:tcW w:w="1141" w:type="dxa"/>
          </w:tcPr>
          <w:p w:rsidR="0015445D" w:rsidRPr="002B7887" w:rsidRDefault="0015445D" w:rsidP="0085587A">
            <w:pPr>
              <w:jc w:val="center"/>
              <w:rPr>
                <w:sz w:val="20"/>
                <w:szCs w:val="20"/>
              </w:rPr>
            </w:pPr>
            <w:r>
              <w:rPr>
                <w:sz w:val="20"/>
                <w:szCs w:val="20"/>
              </w:rPr>
              <w:t>.021</w:t>
            </w:r>
          </w:p>
        </w:tc>
        <w:tc>
          <w:tcPr>
            <w:tcW w:w="1311" w:type="dxa"/>
          </w:tcPr>
          <w:p w:rsidR="0015445D" w:rsidRPr="002B7887" w:rsidRDefault="0015445D" w:rsidP="0085587A">
            <w:pPr>
              <w:jc w:val="center"/>
              <w:rPr>
                <w:sz w:val="20"/>
                <w:szCs w:val="20"/>
              </w:rPr>
            </w:pPr>
            <w:r>
              <w:rPr>
                <w:sz w:val="20"/>
                <w:szCs w:val="20"/>
              </w:rPr>
              <w:t>-.105***</w:t>
            </w:r>
          </w:p>
        </w:tc>
        <w:tc>
          <w:tcPr>
            <w:tcW w:w="1147" w:type="dxa"/>
          </w:tcPr>
          <w:p w:rsidR="0015445D" w:rsidRPr="002B7887" w:rsidRDefault="0015445D" w:rsidP="0085587A">
            <w:pPr>
              <w:jc w:val="center"/>
              <w:rPr>
                <w:sz w:val="20"/>
                <w:szCs w:val="20"/>
              </w:rPr>
            </w:pPr>
            <w:r>
              <w:rPr>
                <w:sz w:val="20"/>
                <w:szCs w:val="20"/>
              </w:rPr>
              <w:t>.023</w:t>
            </w:r>
          </w:p>
        </w:tc>
        <w:tc>
          <w:tcPr>
            <w:tcW w:w="1181" w:type="dxa"/>
          </w:tcPr>
          <w:p w:rsidR="0015445D" w:rsidRPr="002B7887" w:rsidRDefault="0015445D" w:rsidP="0085587A">
            <w:pPr>
              <w:jc w:val="center"/>
              <w:rPr>
                <w:sz w:val="20"/>
                <w:szCs w:val="20"/>
              </w:rPr>
            </w:pPr>
            <w:r>
              <w:rPr>
                <w:sz w:val="20"/>
                <w:szCs w:val="20"/>
              </w:rPr>
              <w:t>-.107**</w:t>
            </w:r>
          </w:p>
        </w:tc>
        <w:tc>
          <w:tcPr>
            <w:tcW w:w="1133" w:type="dxa"/>
          </w:tcPr>
          <w:p w:rsidR="0015445D" w:rsidRPr="002B7887" w:rsidRDefault="0015445D" w:rsidP="0085587A">
            <w:pPr>
              <w:jc w:val="center"/>
              <w:rPr>
                <w:sz w:val="20"/>
                <w:szCs w:val="20"/>
              </w:rPr>
            </w:pPr>
            <w:r>
              <w:rPr>
                <w:sz w:val="20"/>
                <w:szCs w:val="20"/>
              </w:rPr>
              <w:t>.026</w:t>
            </w:r>
          </w:p>
        </w:tc>
      </w:tr>
      <w:tr w:rsidR="0015445D" w:rsidTr="0085587A">
        <w:trPr>
          <w:trHeight w:val="228"/>
          <w:jc w:val="center"/>
        </w:trPr>
        <w:tc>
          <w:tcPr>
            <w:tcW w:w="1541" w:type="dxa"/>
          </w:tcPr>
          <w:p w:rsidR="0015445D" w:rsidRPr="002B7887" w:rsidRDefault="0015445D" w:rsidP="0085587A">
            <w:pPr>
              <w:rPr>
                <w:sz w:val="20"/>
                <w:szCs w:val="20"/>
              </w:rPr>
            </w:pPr>
            <w:r w:rsidRPr="002B7887">
              <w:rPr>
                <w:sz w:val="20"/>
                <w:szCs w:val="20"/>
              </w:rPr>
              <w:t xml:space="preserve">   Tankers</w:t>
            </w:r>
          </w:p>
        </w:tc>
        <w:tc>
          <w:tcPr>
            <w:tcW w:w="1151" w:type="dxa"/>
          </w:tcPr>
          <w:p w:rsidR="0015445D" w:rsidRPr="002B7887" w:rsidRDefault="0015445D" w:rsidP="0085587A">
            <w:pPr>
              <w:jc w:val="center"/>
              <w:rPr>
                <w:sz w:val="20"/>
                <w:szCs w:val="20"/>
              </w:rPr>
            </w:pPr>
            <w:r>
              <w:rPr>
                <w:sz w:val="20"/>
                <w:szCs w:val="20"/>
              </w:rPr>
              <w:t>(.042)</w:t>
            </w:r>
          </w:p>
        </w:tc>
        <w:tc>
          <w:tcPr>
            <w:tcW w:w="1141" w:type="dxa"/>
          </w:tcPr>
          <w:p w:rsidR="0015445D" w:rsidRPr="002B7887" w:rsidRDefault="0015445D" w:rsidP="0085587A">
            <w:pPr>
              <w:jc w:val="center"/>
              <w:rPr>
                <w:sz w:val="20"/>
                <w:szCs w:val="20"/>
              </w:rPr>
            </w:pPr>
            <w:r>
              <w:rPr>
                <w:sz w:val="20"/>
                <w:szCs w:val="20"/>
              </w:rPr>
              <w:t>(.018)</w:t>
            </w:r>
          </w:p>
        </w:tc>
        <w:tc>
          <w:tcPr>
            <w:tcW w:w="1311" w:type="dxa"/>
          </w:tcPr>
          <w:p w:rsidR="0015445D" w:rsidRPr="002B7887" w:rsidRDefault="0015445D" w:rsidP="0085587A">
            <w:pPr>
              <w:jc w:val="center"/>
              <w:rPr>
                <w:sz w:val="20"/>
                <w:szCs w:val="20"/>
              </w:rPr>
            </w:pPr>
            <w:r>
              <w:rPr>
                <w:sz w:val="20"/>
                <w:szCs w:val="20"/>
              </w:rPr>
              <w:t>(.036)</w:t>
            </w:r>
          </w:p>
        </w:tc>
        <w:tc>
          <w:tcPr>
            <w:tcW w:w="1147" w:type="dxa"/>
          </w:tcPr>
          <w:p w:rsidR="0015445D" w:rsidRPr="002B7887" w:rsidRDefault="0015445D" w:rsidP="0085587A">
            <w:pPr>
              <w:jc w:val="center"/>
              <w:rPr>
                <w:sz w:val="20"/>
                <w:szCs w:val="20"/>
              </w:rPr>
            </w:pPr>
            <w:r>
              <w:rPr>
                <w:sz w:val="20"/>
                <w:szCs w:val="20"/>
              </w:rPr>
              <w:t>(.019)</w:t>
            </w:r>
          </w:p>
        </w:tc>
        <w:tc>
          <w:tcPr>
            <w:tcW w:w="1181" w:type="dxa"/>
          </w:tcPr>
          <w:p w:rsidR="0015445D" w:rsidRPr="002B7887" w:rsidRDefault="0015445D" w:rsidP="0085587A">
            <w:pPr>
              <w:jc w:val="center"/>
              <w:rPr>
                <w:sz w:val="20"/>
                <w:szCs w:val="20"/>
              </w:rPr>
            </w:pPr>
            <w:r>
              <w:rPr>
                <w:sz w:val="20"/>
                <w:szCs w:val="20"/>
              </w:rPr>
              <w:t>(.043)</w:t>
            </w:r>
          </w:p>
        </w:tc>
        <w:tc>
          <w:tcPr>
            <w:tcW w:w="1133" w:type="dxa"/>
          </w:tcPr>
          <w:p w:rsidR="0015445D" w:rsidRPr="002B7887" w:rsidRDefault="0015445D" w:rsidP="0085587A">
            <w:pPr>
              <w:jc w:val="center"/>
              <w:rPr>
                <w:sz w:val="20"/>
                <w:szCs w:val="20"/>
              </w:rPr>
            </w:pPr>
            <w:r>
              <w:rPr>
                <w:sz w:val="20"/>
                <w:szCs w:val="20"/>
              </w:rPr>
              <w:t>(.031)</w:t>
            </w:r>
          </w:p>
        </w:tc>
      </w:tr>
      <w:tr w:rsidR="0015445D" w:rsidTr="0085587A">
        <w:trPr>
          <w:trHeight w:val="228"/>
          <w:jc w:val="center"/>
        </w:trPr>
        <w:tc>
          <w:tcPr>
            <w:tcW w:w="1541" w:type="dxa"/>
          </w:tcPr>
          <w:p w:rsidR="0015445D" w:rsidRPr="002B7887" w:rsidRDefault="0015445D" w:rsidP="0085587A">
            <w:pPr>
              <w:rPr>
                <w:sz w:val="20"/>
                <w:szCs w:val="20"/>
              </w:rPr>
            </w:pPr>
            <w:r w:rsidRPr="002B7887">
              <w:rPr>
                <w:sz w:val="20"/>
                <w:szCs w:val="20"/>
              </w:rPr>
              <w:t>Oil &amp; Gas</w:t>
            </w:r>
          </w:p>
        </w:tc>
        <w:tc>
          <w:tcPr>
            <w:tcW w:w="1151" w:type="dxa"/>
          </w:tcPr>
          <w:p w:rsidR="0015445D" w:rsidRPr="002B7887" w:rsidRDefault="0015445D" w:rsidP="0085587A">
            <w:pPr>
              <w:jc w:val="center"/>
              <w:rPr>
                <w:sz w:val="20"/>
                <w:szCs w:val="20"/>
              </w:rPr>
            </w:pPr>
            <w:r>
              <w:rPr>
                <w:sz w:val="20"/>
                <w:szCs w:val="20"/>
              </w:rPr>
              <w:t>.003</w:t>
            </w:r>
          </w:p>
        </w:tc>
        <w:tc>
          <w:tcPr>
            <w:tcW w:w="1141" w:type="dxa"/>
          </w:tcPr>
          <w:p w:rsidR="0015445D" w:rsidRPr="002B7887" w:rsidRDefault="0015445D" w:rsidP="0085587A">
            <w:pPr>
              <w:jc w:val="center"/>
              <w:rPr>
                <w:sz w:val="20"/>
                <w:szCs w:val="20"/>
              </w:rPr>
            </w:pPr>
            <w:r>
              <w:rPr>
                <w:sz w:val="20"/>
                <w:szCs w:val="20"/>
              </w:rPr>
              <w:t>.052</w:t>
            </w:r>
          </w:p>
        </w:tc>
        <w:tc>
          <w:tcPr>
            <w:tcW w:w="1311" w:type="dxa"/>
          </w:tcPr>
          <w:p w:rsidR="0015445D" w:rsidRPr="002B7887" w:rsidRDefault="0015445D" w:rsidP="0085587A">
            <w:pPr>
              <w:jc w:val="center"/>
              <w:rPr>
                <w:sz w:val="20"/>
                <w:szCs w:val="20"/>
              </w:rPr>
            </w:pPr>
            <w:r>
              <w:rPr>
                <w:sz w:val="20"/>
                <w:szCs w:val="20"/>
              </w:rPr>
              <w:t>.230</w:t>
            </w:r>
          </w:p>
        </w:tc>
        <w:tc>
          <w:tcPr>
            <w:tcW w:w="1147" w:type="dxa"/>
          </w:tcPr>
          <w:p w:rsidR="0015445D" w:rsidRPr="002B7887" w:rsidRDefault="0015445D" w:rsidP="0085587A">
            <w:pPr>
              <w:jc w:val="center"/>
              <w:rPr>
                <w:sz w:val="20"/>
                <w:szCs w:val="20"/>
              </w:rPr>
            </w:pPr>
            <w:r>
              <w:rPr>
                <w:sz w:val="20"/>
                <w:szCs w:val="20"/>
              </w:rPr>
              <w:t>.094</w:t>
            </w:r>
          </w:p>
        </w:tc>
        <w:tc>
          <w:tcPr>
            <w:tcW w:w="1181" w:type="dxa"/>
          </w:tcPr>
          <w:p w:rsidR="0015445D" w:rsidRPr="002B7887" w:rsidRDefault="0015445D" w:rsidP="0085587A">
            <w:pPr>
              <w:jc w:val="center"/>
              <w:rPr>
                <w:sz w:val="20"/>
                <w:szCs w:val="20"/>
              </w:rPr>
            </w:pPr>
            <w:r>
              <w:rPr>
                <w:sz w:val="20"/>
                <w:szCs w:val="20"/>
              </w:rPr>
              <w:t>.892</w:t>
            </w:r>
          </w:p>
        </w:tc>
        <w:tc>
          <w:tcPr>
            <w:tcW w:w="1133" w:type="dxa"/>
          </w:tcPr>
          <w:p w:rsidR="0015445D" w:rsidRPr="002B7887" w:rsidRDefault="0015445D" w:rsidP="0085587A">
            <w:pPr>
              <w:jc w:val="center"/>
              <w:rPr>
                <w:sz w:val="20"/>
                <w:szCs w:val="20"/>
              </w:rPr>
            </w:pPr>
            <w:r>
              <w:rPr>
                <w:sz w:val="20"/>
                <w:szCs w:val="20"/>
              </w:rPr>
              <w:t>-.265</w:t>
            </w:r>
          </w:p>
        </w:tc>
      </w:tr>
      <w:tr w:rsidR="0015445D" w:rsidTr="0085587A">
        <w:trPr>
          <w:trHeight w:val="228"/>
          <w:jc w:val="center"/>
        </w:trPr>
        <w:tc>
          <w:tcPr>
            <w:tcW w:w="1541" w:type="dxa"/>
          </w:tcPr>
          <w:p w:rsidR="0015445D" w:rsidRPr="002B7887" w:rsidRDefault="0015445D" w:rsidP="0085587A">
            <w:pPr>
              <w:rPr>
                <w:sz w:val="20"/>
                <w:szCs w:val="20"/>
              </w:rPr>
            </w:pPr>
            <w:r w:rsidRPr="002B7887">
              <w:rPr>
                <w:sz w:val="20"/>
                <w:szCs w:val="20"/>
              </w:rPr>
              <w:t xml:space="preserve">   Production</w:t>
            </w:r>
          </w:p>
        </w:tc>
        <w:tc>
          <w:tcPr>
            <w:tcW w:w="1151" w:type="dxa"/>
          </w:tcPr>
          <w:p w:rsidR="0015445D" w:rsidRPr="002B7887" w:rsidRDefault="0015445D" w:rsidP="0085587A">
            <w:pPr>
              <w:jc w:val="center"/>
              <w:rPr>
                <w:sz w:val="20"/>
                <w:szCs w:val="20"/>
              </w:rPr>
            </w:pPr>
            <w:r>
              <w:rPr>
                <w:sz w:val="20"/>
                <w:szCs w:val="20"/>
              </w:rPr>
              <w:t>(.317)</w:t>
            </w:r>
          </w:p>
        </w:tc>
        <w:tc>
          <w:tcPr>
            <w:tcW w:w="1141" w:type="dxa"/>
          </w:tcPr>
          <w:p w:rsidR="0015445D" w:rsidRPr="002B7887" w:rsidRDefault="0015445D" w:rsidP="0085587A">
            <w:pPr>
              <w:jc w:val="center"/>
              <w:rPr>
                <w:sz w:val="20"/>
                <w:szCs w:val="20"/>
              </w:rPr>
            </w:pPr>
            <w:r>
              <w:rPr>
                <w:sz w:val="20"/>
                <w:szCs w:val="20"/>
              </w:rPr>
              <w:t>(.098)</w:t>
            </w:r>
          </w:p>
        </w:tc>
        <w:tc>
          <w:tcPr>
            <w:tcW w:w="1311" w:type="dxa"/>
          </w:tcPr>
          <w:p w:rsidR="0015445D" w:rsidRPr="002B7887" w:rsidRDefault="0015445D" w:rsidP="0085587A">
            <w:pPr>
              <w:jc w:val="center"/>
              <w:rPr>
                <w:sz w:val="20"/>
                <w:szCs w:val="20"/>
              </w:rPr>
            </w:pPr>
            <w:r>
              <w:rPr>
                <w:sz w:val="20"/>
                <w:szCs w:val="20"/>
              </w:rPr>
              <w:t>(.183)</w:t>
            </w:r>
          </w:p>
        </w:tc>
        <w:tc>
          <w:tcPr>
            <w:tcW w:w="1147" w:type="dxa"/>
          </w:tcPr>
          <w:p w:rsidR="0015445D" w:rsidRPr="002B7887" w:rsidRDefault="0015445D" w:rsidP="0085587A">
            <w:pPr>
              <w:jc w:val="center"/>
              <w:rPr>
                <w:sz w:val="20"/>
                <w:szCs w:val="20"/>
              </w:rPr>
            </w:pPr>
            <w:r>
              <w:rPr>
                <w:sz w:val="20"/>
                <w:szCs w:val="20"/>
              </w:rPr>
              <w:t>(.087)</w:t>
            </w:r>
          </w:p>
        </w:tc>
        <w:tc>
          <w:tcPr>
            <w:tcW w:w="1181" w:type="dxa"/>
          </w:tcPr>
          <w:p w:rsidR="0015445D" w:rsidRPr="002B7887" w:rsidRDefault="0015445D" w:rsidP="0085587A">
            <w:pPr>
              <w:jc w:val="center"/>
              <w:rPr>
                <w:sz w:val="20"/>
                <w:szCs w:val="20"/>
              </w:rPr>
            </w:pPr>
            <w:r>
              <w:rPr>
                <w:sz w:val="20"/>
                <w:szCs w:val="20"/>
              </w:rPr>
              <w:t>(.519)</w:t>
            </w:r>
          </w:p>
        </w:tc>
        <w:tc>
          <w:tcPr>
            <w:tcW w:w="1133" w:type="dxa"/>
          </w:tcPr>
          <w:p w:rsidR="0015445D" w:rsidRPr="002B7887" w:rsidRDefault="0015445D" w:rsidP="0085587A">
            <w:pPr>
              <w:jc w:val="center"/>
              <w:rPr>
                <w:sz w:val="20"/>
                <w:szCs w:val="20"/>
              </w:rPr>
            </w:pPr>
            <w:r>
              <w:rPr>
                <w:sz w:val="20"/>
                <w:szCs w:val="20"/>
              </w:rPr>
              <w:t>(.166)</w:t>
            </w:r>
          </w:p>
        </w:tc>
      </w:tr>
      <w:tr w:rsidR="0015445D" w:rsidTr="0085587A">
        <w:trPr>
          <w:trHeight w:val="228"/>
          <w:jc w:val="center"/>
        </w:trPr>
        <w:tc>
          <w:tcPr>
            <w:tcW w:w="1541" w:type="dxa"/>
          </w:tcPr>
          <w:p w:rsidR="0015445D" w:rsidRPr="002B7887" w:rsidRDefault="0015445D" w:rsidP="0085587A">
            <w:pPr>
              <w:rPr>
                <w:sz w:val="20"/>
                <w:szCs w:val="20"/>
              </w:rPr>
            </w:pPr>
            <w:r w:rsidRPr="002B7887">
              <w:rPr>
                <w:sz w:val="20"/>
                <w:szCs w:val="20"/>
              </w:rPr>
              <w:t>Oil &amp; Gas</w:t>
            </w:r>
          </w:p>
        </w:tc>
        <w:tc>
          <w:tcPr>
            <w:tcW w:w="1151" w:type="dxa"/>
          </w:tcPr>
          <w:p w:rsidR="0015445D" w:rsidRPr="002B7887" w:rsidRDefault="0015445D" w:rsidP="0085587A">
            <w:pPr>
              <w:jc w:val="center"/>
              <w:rPr>
                <w:sz w:val="20"/>
                <w:szCs w:val="20"/>
              </w:rPr>
            </w:pPr>
            <w:r>
              <w:rPr>
                <w:sz w:val="20"/>
                <w:szCs w:val="20"/>
              </w:rPr>
              <w:t>.060</w:t>
            </w:r>
          </w:p>
        </w:tc>
        <w:tc>
          <w:tcPr>
            <w:tcW w:w="1141" w:type="dxa"/>
          </w:tcPr>
          <w:p w:rsidR="0015445D" w:rsidRPr="002B7887" w:rsidRDefault="0015445D" w:rsidP="0085587A">
            <w:pPr>
              <w:jc w:val="center"/>
              <w:rPr>
                <w:sz w:val="20"/>
                <w:szCs w:val="20"/>
              </w:rPr>
            </w:pPr>
            <w:r>
              <w:rPr>
                <w:sz w:val="20"/>
                <w:szCs w:val="20"/>
              </w:rPr>
              <w:t>-.242</w:t>
            </w:r>
          </w:p>
        </w:tc>
        <w:tc>
          <w:tcPr>
            <w:tcW w:w="1311" w:type="dxa"/>
          </w:tcPr>
          <w:p w:rsidR="0015445D" w:rsidRPr="002B7887" w:rsidRDefault="0015445D" w:rsidP="0085587A">
            <w:pPr>
              <w:jc w:val="center"/>
              <w:rPr>
                <w:sz w:val="20"/>
                <w:szCs w:val="20"/>
              </w:rPr>
            </w:pPr>
            <w:r>
              <w:rPr>
                <w:sz w:val="20"/>
                <w:szCs w:val="20"/>
              </w:rPr>
              <w:t>-.907**</w:t>
            </w:r>
          </w:p>
        </w:tc>
        <w:tc>
          <w:tcPr>
            <w:tcW w:w="1147" w:type="dxa"/>
          </w:tcPr>
          <w:p w:rsidR="0015445D" w:rsidRPr="002B7887" w:rsidRDefault="0015445D" w:rsidP="0085587A">
            <w:pPr>
              <w:jc w:val="center"/>
              <w:rPr>
                <w:sz w:val="20"/>
                <w:szCs w:val="20"/>
              </w:rPr>
            </w:pPr>
            <w:r>
              <w:rPr>
                <w:sz w:val="20"/>
                <w:szCs w:val="20"/>
              </w:rPr>
              <w:t>-.237</w:t>
            </w:r>
          </w:p>
        </w:tc>
        <w:tc>
          <w:tcPr>
            <w:tcW w:w="1181" w:type="dxa"/>
          </w:tcPr>
          <w:p w:rsidR="0015445D" w:rsidRPr="002B7887" w:rsidRDefault="0015445D" w:rsidP="0085587A">
            <w:pPr>
              <w:jc w:val="center"/>
              <w:rPr>
                <w:sz w:val="20"/>
                <w:szCs w:val="20"/>
              </w:rPr>
            </w:pPr>
            <w:r>
              <w:rPr>
                <w:sz w:val="20"/>
                <w:szCs w:val="20"/>
              </w:rPr>
              <w:t>1.102</w:t>
            </w:r>
          </w:p>
        </w:tc>
        <w:tc>
          <w:tcPr>
            <w:tcW w:w="1133" w:type="dxa"/>
          </w:tcPr>
          <w:p w:rsidR="0015445D" w:rsidRPr="002B7887" w:rsidRDefault="0015445D" w:rsidP="0085587A">
            <w:pPr>
              <w:jc w:val="center"/>
              <w:rPr>
                <w:sz w:val="20"/>
                <w:szCs w:val="20"/>
              </w:rPr>
            </w:pPr>
            <w:r>
              <w:rPr>
                <w:sz w:val="20"/>
                <w:szCs w:val="20"/>
              </w:rPr>
              <w:t>.087</w:t>
            </w:r>
          </w:p>
        </w:tc>
      </w:tr>
      <w:tr w:rsidR="0015445D" w:rsidTr="0085587A">
        <w:trPr>
          <w:trHeight w:val="228"/>
          <w:jc w:val="center"/>
        </w:trPr>
        <w:tc>
          <w:tcPr>
            <w:tcW w:w="1541" w:type="dxa"/>
          </w:tcPr>
          <w:p w:rsidR="0015445D" w:rsidRPr="002B7887" w:rsidRDefault="0015445D" w:rsidP="0085587A">
            <w:pPr>
              <w:rPr>
                <w:sz w:val="20"/>
                <w:szCs w:val="20"/>
              </w:rPr>
            </w:pPr>
            <w:r w:rsidRPr="002B7887">
              <w:rPr>
                <w:sz w:val="20"/>
                <w:szCs w:val="20"/>
              </w:rPr>
              <w:t xml:space="preserve">   Reserves</w:t>
            </w:r>
          </w:p>
        </w:tc>
        <w:tc>
          <w:tcPr>
            <w:tcW w:w="1151" w:type="dxa"/>
          </w:tcPr>
          <w:p w:rsidR="0015445D" w:rsidRPr="002B7887" w:rsidRDefault="0015445D" w:rsidP="0085587A">
            <w:pPr>
              <w:jc w:val="center"/>
              <w:rPr>
                <w:sz w:val="20"/>
                <w:szCs w:val="20"/>
              </w:rPr>
            </w:pPr>
            <w:r>
              <w:rPr>
                <w:sz w:val="20"/>
                <w:szCs w:val="20"/>
              </w:rPr>
              <w:t>(.354)</w:t>
            </w:r>
          </w:p>
        </w:tc>
        <w:tc>
          <w:tcPr>
            <w:tcW w:w="1141" w:type="dxa"/>
          </w:tcPr>
          <w:p w:rsidR="0015445D" w:rsidRPr="002B7887" w:rsidRDefault="0015445D" w:rsidP="0085587A">
            <w:pPr>
              <w:jc w:val="center"/>
              <w:rPr>
                <w:sz w:val="20"/>
                <w:szCs w:val="20"/>
              </w:rPr>
            </w:pPr>
            <w:r>
              <w:rPr>
                <w:sz w:val="20"/>
                <w:szCs w:val="20"/>
              </w:rPr>
              <w:t>(.168)</w:t>
            </w:r>
          </w:p>
        </w:tc>
        <w:tc>
          <w:tcPr>
            <w:tcW w:w="1311" w:type="dxa"/>
          </w:tcPr>
          <w:p w:rsidR="0015445D" w:rsidRPr="002B7887" w:rsidRDefault="0015445D" w:rsidP="0085587A">
            <w:pPr>
              <w:jc w:val="center"/>
              <w:rPr>
                <w:sz w:val="20"/>
                <w:szCs w:val="20"/>
              </w:rPr>
            </w:pPr>
            <w:r>
              <w:rPr>
                <w:sz w:val="20"/>
                <w:szCs w:val="20"/>
              </w:rPr>
              <w:t>(.381)</w:t>
            </w:r>
          </w:p>
        </w:tc>
        <w:tc>
          <w:tcPr>
            <w:tcW w:w="1147" w:type="dxa"/>
          </w:tcPr>
          <w:p w:rsidR="0015445D" w:rsidRPr="002B7887" w:rsidRDefault="0015445D" w:rsidP="0085587A">
            <w:pPr>
              <w:jc w:val="center"/>
              <w:rPr>
                <w:sz w:val="20"/>
                <w:szCs w:val="20"/>
              </w:rPr>
            </w:pPr>
            <w:r>
              <w:rPr>
                <w:sz w:val="20"/>
                <w:szCs w:val="20"/>
              </w:rPr>
              <w:t>(.149)</w:t>
            </w:r>
          </w:p>
        </w:tc>
        <w:tc>
          <w:tcPr>
            <w:tcW w:w="1181" w:type="dxa"/>
          </w:tcPr>
          <w:p w:rsidR="0015445D" w:rsidRPr="002B7887" w:rsidRDefault="0015445D" w:rsidP="0085587A">
            <w:pPr>
              <w:jc w:val="center"/>
              <w:rPr>
                <w:sz w:val="20"/>
                <w:szCs w:val="20"/>
              </w:rPr>
            </w:pPr>
            <w:r>
              <w:rPr>
                <w:sz w:val="20"/>
                <w:szCs w:val="20"/>
              </w:rPr>
              <w:t>(.672)</w:t>
            </w:r>
          </w:p>
        </w:tc>
        <w:tc>
          <w:tcPr>
            <w:tcW w:w="1133" w:type="dxa"/>
          </w:tcPr>
          <w:p w:rsidR="0015445D" w:rsidRPr="002B7887" w:rsidRDefault="0015445D" w:rsidP="0085587A">
            <w:pPr>
              <w:jc w:val="center"/>
              <w:rPr>
                <w:sz w:val="20"/>
                <w:szCs w:val="20"/>
              </w:rPr>
            </w:pPr>
            <w:r>
              <w:rPr>
                <w:sz w:val="20"/>
                <w:szCs w:val="20"/>
              </w:rPr>
              <w:t>(.317)</w:t>
            </w:r>
          </w:p>
        </w:tc>
      </w:tr>
      <w:tr w:rsidR="0015445D" w:rsidTr="0085587A">
        <w:trPr>
          <w:trHeight w:val="228"/>
          <w:jc w:val="center"/>
        </w:trPr>
        <w:tc>
          <w:tcPr>
            <w:tcW w:w="1541" w:type="dxa"/>
          </w:tcPr>
          <w:p w:rsidR="0015445D" w:rsidRPr="002B7887" w:rsidRDefault="0015445D" w:rsidP="0085587A">
            <w:pPr>
              <w:rPr>
                <w:sz w:val="20"/>
                <w:szCs w:val="20"/>
              </w:rPr>
            </w:pPr>
            <w:r w:rsidRPr="002B7887">
              <w:rPr>
                <w:sz w:val="20"/>
                <w:szCs w:val="20"/>
              </w:rPr>
              <w:t>LNG</w:t>
            </w:r>
          </w:p>
        </w:tc>
        <w:tc>
          <w:tcPr>
            <w:tcW w:w="1151" w:type="dxa"/>
          </w:tcPr>
          <w:p w:rsidR="0015445D" w:rsidRPr="002B7887" w:rsidRDefault="0015445D" w:rsidP="0085587A">
            <w:pPr>
              <w:jc w:val="center"/>
              <w:rPr>
                <w:sz w:val="20"/>
                <w:szCs w:val="20"/>
              </w:rPr>
            </w:pPr>
            <w:r>
              <w:rPr>
                <w:sz w:val="20"/>
                <w:szCs w:val="20"/>
              </w:rPr>
              <w:t>.048</w:t>
            </w:r>
          </w:p>
        </w:tc>
        <w:tc>
          <w:tcPr>
            <w:tcW w:w="1141" w:type="dxa"/>
          </w:tcPr>
          <w:p w:rsidR="0015445D" w:rsidRPr="002B7887" w:rsidRDefault="0015445D" w:rsidP="0085587A">
            <w:pPr>
              <w:jc w:val="center"/>
              <w:rPr>
                <w:sz w:val="20"/>
                <w:szCs w:val="20"/>
              </w:rPr>
            </w:pPr>
            <w:r>
              <w:rPr>
                <w:sz w:val="20"/>
                <w:szCs w:val="20"/>
              </w:rPr>
              <w:t>.093**</w:t>
            </w:r>
          </w:p>
        </w:tc>
        <w:tc>
          <w:tcPr>
            <w:tcW w:w="1311" w:type="dxa"/>
          </w:tcPr>
          <w:p w:rsidR="0015445D" w:rsidRPr="002B7887" w:rsidRDefault="0015445D" w:rsidP="0085587A">
            <w:pPr>
              <w:jc w:val="center"/>
              <w:rPr>
                <w:sz w:val="20"/>
                <w:szCs w:val="20"/>
              </w:rPr>
            </w:pPr>
            <w:r>
              <w:rPr>
                <w:sz w:val="20"/>
                <w:szCs w:val="20"/>
              </w:rPr>
              <w:t>-.127</w:t>
            </w:r>
          </w:p>
        </w:tc>
        <w:tc>
          <w:tcPr>
            <w:tcW w:w="1147" w:type="dxa"/>
          </w:tcPr>
          <w:p w:rsidR="0015445D" w:rsidRPr="002B7887" w:rsidRDefault="0015445D" w:rsidP="0085587A">
            <w:pPr>
              <w:jc w:val="center"/>
              <w:rPr>
                <w:sz w:val="20"/>
                <w:szCs w:val="20"/>
              </w:rPr>
            </w:pPr>
            <w:r>
              <w:rPr>
                <w:sz w:val="20"/>
                <w:szCs w:val="20"/>
              </w:rPr>
              <w:t>.056</w:t>
            </w:r>
          </w:p>
        </w:tc>
        <w:tc>
          <w:tcPr>
            <w:tcW w:w="1181" w:type="dxa"/>
          </w:tcPr>
          <w:p w:rsidR="0015445D" w:rsidRPr="002B7887" w:rsidRDefault="0015445D" w:rsidP="0085587A">
            <w:pPr>
              <w:jc w:val="center"/>
              <w:rPr>
                <w:sz w:val="20"/>
                <w:szCs w:val="20"/>
              </w:rPr>
            </w:pPr>
            <w:r>
              <w:rPr>
                <w:sz w:val="20"/>
                <w:szCs w:val="20"/>
              </w:rPr>
              <w:t>.233</w:t>
            </w:r>
          </w:p>
        </w:tc>
        <w:tc>
          <w:tcPr>
            <w:tcW w:w="1133" w:type="dxa"/>
          </w:tcPr>
          <w:p w:rsidR="0015445D" w:rsidRPr="002B7887" w:rsidRDefault="0015445D" w:rsidP="0085587A">
            <w:pPr>
              <w:jc w:val="center"/>
              <w:rPr>
                <w:sz w:val="20"/>
                <w:szCs w:val="20"/>
              </w:rPr>
            </w:pPr>
            <w:r>
              <w:rPr>
                <w:sz w:val="20"/>
                <w:szCs w:val="20"/>
              </w:rPr>
              <w:t>.102</w:t>
            </w:r>
          </w:p>
        </w:tc>
      </w:tr>
      <w:tr w:rsidR="0015445D" w:rsidTr="0085587A">
        <w:trPr>
          <w:trHeight w:val="228"/>
          <w:jc w:val="center"/>
        </w:trPr>
        <w:tc>
          <w:tcPr>
            <w:tcW w:w="1541" w:type="dxa"/>
          </w:tcPr>
          <w:p w:rsidR="0015445D" w:rsidRPr="002B7887" w:rsidRDefault="0015445D" w:rsidP="0085587A">
            <w:pPr>
              <w:rPr>
                <w:sz w:val="20"/>
                <w:szCs w:val="20"/>
              </w:rPr>
            </w:pPr>
            <w:r w:rsidRPr="002B7887">
              <w:rPr>
                <w:sz w:val="20"/>
                <w:szCs w:val="20"/>
              </w:rPr>
              <w:t xml:space="preserve">   Experience</w:t>
            </w:r>
          </w:p>
        </w:tc>
        <w:tc>
          <w:tcPr>
            <w:tcW w:w="1151" w:type="dxa"/>
          </w:tcPr>
          <w:p w:rsidR="0015445D" w:rsidRPr="002B7887" w:rsidRDefault="0015445D" w:rsidP="0085587A">
            <w:pPr>
              <w:jc w:val="center"/>
              <w:rPr>
                <w:sz w:val="20"/>
                <w:szCs w:val="20"/>
              </w:rPr>
            </w:pPr>
            <w:r>
              <w:rPr>
                <w:sz w:val="20"/>
                <w:szCs w:val="20"/>
              </w:rPr>
              <w:t>(.103)</w:t>
            </w:r>
          </w:p>
        </w:tc>
        <w:tc>
          <w:tcPr>
            <w:tcW w:w="1141" w:type="dxa"/>
          </w:tcPr>
          <w:p w:rsidR="0015445D" w:rsidRPr="002B7887" w:rsidRDefault="0015445D" w:rsidP="0085587A">
            <w:pPr>
              <w:jc w:val="center"/>
              <w:rPr>
                <w:sz w:val="20"/>
                <w:szCs w:val="20"/>
              </w:rPr>
            </w:pPr>
            <w:r>
              <w:rPr>
                <w:sz w:val="20"/>
                <w:szCs w:val="20"/>
              </w:rPr>
              <w:t>(.041)</w:t>
            </w:r>
          </w:p>
        </w:tc>
        <w:tc>
          <w:tcPr>
            <w:tcW w:w="1311" w:type="dxa"/>
          </w:tcPr>
          <w:p w:rsidR="0015445D" w:rsidRPr="002B7887" w:rsidRDefault="0015445D" w:rsidP="0085587A">
            <w:pPr>
              <w:jc w:val="center"/>
              <w:rPr>
                <w:sz w:val="20"/>
                <w:szCs w:val="20"/>
              </w:rPr>
            </w:pPr>
            <w:r>
              <w:rPr>
                <w:sz w:val="20"/>
                <w:szCs w:val="20"/>
              </w:rPr>
              <w:t>(.094)</w:t>
            </w:r>
          </w:p>
        </w:tc>
        <w:tc>
          <w:tcPr>
            <w:tcW w:w="1147" w:type="dxa"/>
          </w:tcPr>
          <w:p w:rsidR="0015445D" w:rsidRPr="002B7887" w:rsidRDefault="0015445D" w:rsidP="0085587A">
            <w:pPr>
              <w:jc w:val="center"/>
              <w:rPr>
                <w:sz w:val="20"/>
                <w:szCs w:val="20"/>
              </w:rPr>
            </w:pPr>
            <w:r>
              <w:rPr>
                <w:sz w:val="20"/>
                <w:szCs w:val="20"/>
              </w:rPr>
              <w:t>(.035)</w:t>
            </w:r>
          </w:p>
        </w:tc>
        <w:tc>
          <w:tcPr>
            <w:tcW w:w="1181" w:type="dxa"/>
          </w:tcPr>
          <w:p w:rsidR="0015445D" w:rsidRPr="002B7887" w:rsidRDefault="0015445D" w:rsidP="0085587A">
            <w:pPr>
              <w:jc w:val="center"/>
              <w:rPr>
                <w:sz w:val="20"/>
                <w:szCs w:val="20"/>
              </w:rPr>
            </w:pPr>
            <w:r>
              <w:rPr>
                <w:sz w:val="20"/>
                <w:szCs w:val="20"/>
              </w:rPr>
              <w:t>(.151)</w:t>
            </w:r>
          </w:p>
        </w:tc>
        <w:tc>
          <w:tcPr>
            <w:tcW w:w="1133" w:type="dxa"/>
          </w:tcPr>
          <w:p w:rsidR="0015445D" w:rsidRPr="002B7887" w:rsidRDefault="0015445D" w:rsidP="0085587A">
            <w:pPr>
              <w:jc w:val="center"/>
              <w:rPr>
                <w:sz w:val="20"/>
                <w:szCs w:val="20"/>
              </w:rPr>
            </w:pPr>
            <w:r>
              <w:rPr>
                <w:sz w:val="20"/>
                <w:szCs w:val="20"/>
              </w:rPr>
              <w:t>(.063)</w:t>
            </w:r>
          </w:p>
        </w:tc>
      </w:tr>
      <w:tr w:rsidR="0015445D" w:rsidTr="0085587A">
        <w:trPr>
          <w:trHeight w:val="228"/>
          <w:jc w:val="center"/>
        </w:trPr>
        <w:tc>
          <w:tcPr>
            <w:tcW w:w="1541" w:type="dxa"/>
          </w:tcPr>
          <w:p w:rsidR="0015445D" w:rsidRPr="002B7887" w:rsidRDefault="0015445D" w:rsidP="0085587A">
            <w:pPr>
              <w:rPr>
                <w:sz w:val="20"/>
                <w:szCs w:val="20"/>
              </w:rPr>
            </w:pPr>
            <w:r w:rsidRPr="002B7887">
              <w:rPr>
                <w:sz w:val="20"/>
                <w:szCs w:val="20"/>
              </w:rPr>
              <w:t>LNG</w:t>
            </w:r>
            <w:r>
              <w:rPr>
                <w:sz w:val="20"/>
                <w:szCs w:val="20"/>
              </w:rPr>
              <w:t xml:space="preserve"> Import</w:t>
            </w:r>
          </w:p>
        </w:tc>
        <w:tc>
          <w:tcPr>
            <w:tcW w:w="1151" w:type="dxa"/>
          </w:tcPr>
          <w:p w:rsidR="0015445D" w:rsidRPr="002B7887" w:rsidRDefault="0015445D" w:rsidP="0085587A">
            <w:pPr>
              <w:jc w:val="center"/>
              <w:rPr>
                <w:sz w:val="20"/>
                <w:szCs w:val="20"/>
              </w:rPr>
            </w:pPr>
            <w:r>
              <w:rPr>
                <w:sz w:val="20"/>
                <w:szCs w:val="20"/>
              </w:rPr>
              <w:t>.318</w:t>
            </w:r>
          </w:p>
        </w:tc>
        <w:tc>
          <w:tcPr>
            <w:tcW w:w="1141" w:type="dxa"/>
          </w:tcPr>
          <w:p w:rsidR="0015445D" w:rsidRPr="002B7887" w:rsidRDefault="0015445D" w:rsidP="0085587A">
            <w:pPr>
              <w:jc w:val="center"/>
              <w:rPr>
                <w:sz w:val="20"/>
                <w:szCs w:val="20"/>
              </w:rPr>
            </w:pPr>
            <w:r>
              <w:rPr>
                <w:sz w:val="20"/>
                <w:szCs w:val="20"/>
              </w:rPr>
              <w:t>-.095</w:t>
            </w:r>
          </w:p>
        </w:tc>
        <w:tc>
          <w:tcPr>
            <w:tcW w:w="1311" w:type="dxa"/>
          </w:tcPr>
          <w:p w:rsidR="0015445D" w:rsidRPr="002B7887" w:rsidRDefault="0015445D" w:rsidP="0085587A">
            <w:pPr>
              <w:jc w:val="center"/>
              <w:rPr>
                <w:sz w:val="20"/>
                <w:szCs w:val="20"/>
              </w:rPr>
            </w:pPr>
            <w:r>
              <w:rPr>
                <w:sz w:val="20"/>
                <w:szCs w:val="20"/>
              </w:rPr>
              <w:t>.097</w:t>
            </w:r>
          </w:p>
        </w:tc>
        <w:tc>
          <w:tcPr>
            <w:tcW w:w="1147" w:type="dxa"/>
          </w:tcPr>
          <w:p w:rsidR="0015445D" w:rsidRPr="002B7887" w:rsidRDefault="0015445D" w:rsidP="0085587A">
            <w:pPr>
              <w:jc w:val="center"/>
              <w:rPr>
                <w:sz w:val="20"/>
                <w:szCs w:val="20"/>
              </w:rPr>
            </w:pPr>
            <w:r>
              <w:rPr>
                <w:sz w:val="20"/>
                <w:szCs w:val="20"/>
              </w:rPr>
              <w:t>.029</w:t>
            </w:r>
          </w:p>
        </w:tc>
        <w:tc>
          <w:tcPr>
            <w:tcW w:w="1181" w:type="dxa"/>
          </w:tcPr>
          <w:p w:rsidR="0015445D" w:rsidRPr="002B7887" w:rsidRDefault="0015445D" w:rsidP="0085587A">
            <w:pPr>
              <w:jc w:val="center"/>
              <w:rPr>
                <w:sz w:val="20"/>
                <w:szCs w:val="20"/>
              </w:rPr>
            </w:pPr>
            <w:r>
              <w:rPr>
                <w:sz w:val="20"/>
                <w:szCs w:val="20"/>
              </w:rPr>
              <w:t>.995**</w:t>
            </w:r>
          </w:p>
        </w:tc>
        <w:tc>
          <w:tcPr>
            <w:tcW w:w="1133" w:type="dxa"/>
          </w:tcPr>
          <w:p w:rsidR="0015445D" w:rsidRPr="002B7887" w:rsidRDefault="0015445D" w:rsidP="0085587A">
            <w:pPr>
              <w:jc w:val="center"/>
              <w:rPr>
                <w:sz w:val="20"/>
                <w:szCs w:val="20"/>
              </w:rPr>
            </w:pPr>
            <w:r>
              <w:rPr>
                <w:sz w:val="20"/>
                <w:szCs w:val="20"/>
              </w:rPr>
              <w:t>-.203</w:t>
            </w:r>
          </w:p>
        </w:tc>
      </w:tr>
      <w:tr w:rsidR="0015445D" w:rsidTr="0085587A">
        <w:trPr>
          <w:trHeight w:val="214"/>
          <w:jc w:val="center"/>
        </w:trPr>
        <w:tc>
          <w:tcPr>
            <w:tcW w:w="1541" w:type="dxa"/>
          </w:tcPr>
          <w:p w:rsidR="0015445D" w:rsidRPr="002B7887" w:rsidRDefault="0015445D" w:rsidP="0085587A">
            <w:pPr>
              <w:rPr>
                <w:sz w:val="20"/>
                <w:szCs w:val="20"/>
              </w:rPr>
            </w:pPr>
            <w:r w:rsidRPr="002B7887">
              <w:rPr>
                <w:sz w:val="20"/>
                <w:szCs w:val="20"/>
              </w:rPr>
              <w:t xml:space="preserve">   Market Share</w:t>
            </w:r>
          </w:p>
        </w:tc>
        <w:tc>
          <w:tcPr>
            <w:tcW w:w="1151" w:type="dxa"/>
          </w:tcPr>
          <w:p w:rsidR="0015445D" w:rsidRPr="002B7887" w:rsidRDefault="0015445D" w:rsidP="0085587A">
            <w:pPr>
              <w:jc w:val="center"/>
              <w:rPr>
                <w:sz w:val="20"/>
                <w:szCs w:val="20"/>
              </w:rPr>
            </w:pPr>
            <w:r>
              <w:rPr>
                <w:sz w:val="20"/>
                <w:szCs w:val="20"/>
              </w:rPr>
              <w:t>(.300)</w:t>
            </w:r>
          </w:p>
        </w:tc>
        <w:tc>
          <w:tcPr>
            <w:tcW w:w="1141" w:type="dxa"/>
          </w:tcPr>
          <w:p w:rsidR="0015445D" w:rsidRPr="002B7887" w:rsidRDefault="0015445D" w:rsidP="0085587A">
            <w:pPr>
              <w:jc w:val="center"/>
              <w:rPr>
                <w:sz w:val="20"/>
                <w:szCs w:val="20"/>
              </w:rPr>
            </w:pPr>
            <w:r>
              <w:rPr>
                <w:sz w:val="20"/>
                <w:szCs w:val="20"/>
              </w:rPr>
              <w:t>(.202)</w:t>
            </w:r>
          </w:p>
        </w:tc>
        <w:tc>
          <w:tcPr>
            <w:tcW w:w="1311" w:type="dxa"/>
          </w:tcPr>
          <w:p w:rsidR="0015445D" w:rsidRPr="002B7887" w:rsidRDefault="0015445D" w:rsidP="0085587A">
            <w:pPr>
              <w:jc w:val="center"/>
              <w:rPr>
                <w:sz w:val="20"/>
                <w:szCs w:val="20"/>
              </w:rPr>
            </w:pPr>
            <w:r>
              <w:rPr>
                <w:sz w:val="20"/>
                <w:szCs w:val="20"/>
              </w:rPr>
              <w:t>(.242)</w:t>
            </w:r>
          </w:p>
        </w:tc>
        <w:tc>
          <w:tcPr>
            <w:tcW w:w="1147" w:type="dxa"/>
          </w:tcPr>
          <w:p w:rsidR="0015445D" w:rsidRPr="002B7887" w:rsidRDefault="0015445D" w:rsidP="0085587A">
            <w:pPr>
              <w:jc w:val="center"/>
              <w:rPr>
                <w:sz w:val="20"/>
                <w:szCs w:val="20"/>
              </w:rPr>
            </w:pPr>
            <w:r>
              <w:rPr>
                <w:sz w:val="20"/>
                <w:szCs w:val="20"/>
              </w:rPr>
              <w:t>(.197)</w:t>
            </w:r>
          </w:p>
        </w:tc>
        <w:tc>
          <w:tcPr>
            <w:tcW w:w="1181" w:type="dxa"/>
          </w:tcPr>
          <w:p w:rsidR="0015445D" w:rsidRPr="002B7887" w:rsidRDefault="0015445D" w:rsidP="0085587A">
            <w:pPr>
              <w:jc w:val="center"/>
              <w:rPr>
                <w:sz w:val="20"/>
                <w:szCs w:val="20"/>
              </w:rPr>
            </w:pPr>
            <w:r>
              <w:rPr>
                <w:sz w:val="20"/>
                <w:szCs w:val="20"/>
              </w:rPr>
              <w:t>(.466)</w:t>
            </w:r>
          </w:p>
        </w:tc>
        <w:tc>
          <w:tcPr>
            <w:tcW w:w="1133" w:type="dxa"/>
          </w:tcPr>
          <w:p w:rsidR="0015445D" w:rsidRPr="002B7887" w:rsidRDefault="0015445D" w:rsidP="0085587A">
            <w:pPr>
              <w:jc w:val="center"/>
              <w:rPr>
                <w:sz w:val="20"/>
                <w:szCs w:val="20"/>
              </w:rPr>
            </w:pPr>
            <w:r>
              <w:rPr>
                <w:sz w:val="20"/>
                <w:szCs w:val="20"/>
              </w:rPr>
              <w:t>(.247)</w:t>
            </w:r>
          </w:p>
        </w:tc>
      </w:tr>
      <w:tr w:rsidR="0015445D" w:rsidTr="0085587A">
        <w:trPr>
          <w:trHeight w:val="228"/>
          <w:jc w:val="center"/>
        </w:trPr>
        <w:tc>
          <w:tcPr>
            <w:tcW w:w="1541" w:type="dxa"/>
          </w:tcPr>
          <w:p w:rsidR="0015445D" w:rsidRPr="002B7887" w:rsidRDefault="0015445D" w:rsidP="0085587A">
            <w:pPr>
              <w:rPr>
                <w:sz w:val="20"/>
                <w:szCs w:val="20"/>
              </w:rPr>
            </w:pPr>
            <w:r>
              <w:rPr>
                <w:sz w:val="20"/>
                <w:szCs w:val="20"/>
              </w:rPr>
              <w:t>LNG Export</w:t>
            </w:r>
          </w:p>
        </w:tc>
        <w:tc>
          <w:tcPr>
            <w:tcW w:w="1151" w:type="dxa"/>
          </w:tcPr>
          <w:p w:rsidR="0015445D" w:rsidRPr="002B7887" w:rsidRDefault="0015445D" w:rsidP="0085587A">
            <w:pPr>
              <w:jc w:val="center"/>
              <w:rPr>
                <w:sz w:val="20"/>
                <w:szCs w:val="20"/>
              </w:rPr>
            </w:pPr>
            <w:r>
              <w:rPr>
                <w:sz w:val="20"/>
                <w:szCs w:val="20"/>
              </w:rPr>
              <w:t>.038</w:t>
            </w:r>
          </w:p>
        </w:tc>
        <w:tc>
          <w:tcPr>
            <w:tcW w:w="1141" w:type="dxa"/>
          </w:tcPr>
          <w:p w:rsidR="0015445D" w:rsidRPr="002B7887" w:rsidRDefault="0015445D" w:rsidP="0085587A">
            <w:pPr>
              <w:jc w:val="center"/>
              <w:rPr>
                <w:sz w:val="20"/>
                <w:szCs w:val="20"/>
              </w:rPr>
            </w:pPr>
            <w:r>
              <w:rPr>
                <w:sz w:val="20"/>
                <w:szCs w:val="20"/>
              </w:rPr>
              <w:t>.029</w:t>
            </w:r>
          </w:p>
        </w:tc>
        <w:tc>
          <w:tcPr>
            <w:tcW w:w="1311" w:type="dxa"/>
          </w:tcPr>
          <w:p w:rsidR="0015445D" w:rsidRPr="002B7887" w:rsidRDefault="0015445D" w:rsidP="0085587A">
            <w:pPr>
              <w:jc w:val="center"/>
              <w:rPr>
                <w:sz w:val="20"/>
                <w:szCs w:val="20"/>
              </w:rPr>
            </w:pPr>
            <w:r>
              <w:rPr>
                <w:sz w:val="20"/>
                <w:szCs w:val="20"/>
              </w:rPr>
              <w:t>.291**</w:t>
            </w:r>
          </w:p>
        </w:tc>
        <w:tc>
          <w:tcPr>
            <w:tcW w:w="1147" w:type="dxa"/>
          </w:tcPr>
          <w:p w:rsidR="0015445D" w:rsidRPr="002B7887" w:rsidRDefault="0015445D" w:rsidP="0085587A">
            <w:pPr>
              <w:jc w:val="center"/>
              <w:rPr>
                <w:sz w:val="20"/>
                <w:szCs w:val="20"/>
              </w:rPr>
            </w:pPr>
            <w:r>
              <w:rPr>
                <w:sz w:val="20"/>
                <w:szCs w:val="20"/>
              </w:rPr>
              <w:t>.058</w:t>
            </w:r>
          </w:p>
        </w:tc>
        <w:tc>
          <w:tcPr>
            <w:tcW w:w="1181" w:type="dxa"/>
          </w:tcPr>
          <w:p w:rsidR="0015445D" w:rsidRPr="002B7887" w:rsidRDefault="0015445D" w:rsidP="0085587A">
            <w:pPr>
              <w:jc w:val="center"/>
              <w:rPr>
                <w:sz w:val="20"/>
                <w:szCs w:val="20"/>
              </w:rPr>
            </w:pPr>
            <w:r>
              <w:rPr>
                <w:sz w:val="20"/>
                <w:szCs w:val="20"/>
              </w:rPr>
              <w:t>-.150</w:t>
            </w:r>
          </w:p>
        </w:tc>
        <w:tc>
          <w:tcPr>
            <w:tcW w:w="1133" w:type="dxa"/>
          </w:tcPr>
          <w:p w:rsidR="0015445D" w:rsidRPr="002B7887" w:rsidRDefault="0015445D" w:rsidP="0085587A">
            <w:pPr>
              <w:jc w:val="center"/>
              <w:rPr>
                <w:sz w:val="20"/>
                <w:szCs w:val="20"/>
              </w:rPr>
            </w:pPr>
            <w:r>
              <w:rPr>
                <w:sz w:val="20"/>
                <w:szCs w:val="20"/>
              </w:rPr>
              <w:t>-.019</w:t>
            </w:r>
          </w:p>
        </w:tc>
      </w:tr>
      <w:tr w:rsidR="0015445D" w:rsidTr="0085587A">
        <w:trPr>
          <w:trHeight w:val="228"/>
          <w:jc w:val="center"/>
        </w:trPr>
        <w:tc>
          <w:tcPr>
            <w:tcW w:w="1541" w:type="dxa"/>
          </w:tcPr>
          <w:p w:rsidR="0015445D" w:rsidRPr="002B7887" w:rsidRDefault="0015445D" w:rsidP="0085587A">
            <w:pPr>
              <w:rPr>
                <w:sz w:val="20"/>
                <w:szCs w:val="20"/>
              </w:rPr>
            </w:pPr>
            <w:r>
              <w:rPr>
                <w:sz w:val="20"/>
                <w:szCs w:val="20"/>
              </w:rPr>
              <w:t xml:space="preserve">   Market Share</w:t>
            </w:r>
          </w:p>
        </w:tc>
        <w:tc>
          <w:tcPr>
            <w:tcW w:w="1151" w:type="dxa"/>
          </w:tcPr>
          <w:p w:rsidR="0015445D" w:rsidRPr="002B7887" w:rsidRDefault="0015445D" w:rsidP="0085587A">
            <w:pPr>
              <w:jc w:val="center"/>
              <w:rPr>
                <w:sz w:val="20"/>
                <w:szCs w:val="20"/>
              </w:rPr>
            </w:pPr>
            <w:r>
              <w:rPr>
                <w:sz w:val="20"/>
                <w:szCs w:val="20"/>
              </w:rPr>
              <w:t>(.112)</w:t>
            </w:r>
          </w:p>
        </w:tc>
        <w:tc>
          <w:tcPr>
            <w:tcW w:w="1141" w:type="dxa"/>
          </w:tcPr>
          <w:p w:rsidR="0015445D" w:rsidRPr="002B7887" w:rsidRDefault="0015445D" w:rsidP="0085587A">
            <w:pPr>
              <w:jc w:val="center"/>
              <w:rPr>
                <w:sz w:val="20"/>
                <w:szCs w:val="20"/>
              </w:rPr>
            </w:pPr>
            <w:r>
              <w:rPr>
                <w:sz w:val="20"/>
                <w:szCs w:val="20"/>
              </w:rPr>
              <w:t>(.079)</w:t>
            </w:r>
          </w:p>
        </w:tc>
        <w:tc>
          <w:tcPr>
            <w:tcW w:w="1311" w:type="dxa"/>
          </w:tcPr>
          <w:p w:rsidR="0015445D" w:rsidRPr="002B7887" w:rsidRDefault="0015445D" w:rsidP="0085587A">
            <w:pPr>
              <w:jc w:val="center"/>
              <w:rPr>
                <w:sz w:val="20"/>
                <w:szCs w:val="20"/>
              </w:rPr>
            </w:pPr>
            <w:r>
              <w:rPr>
                <w:sz w:val="20"/>
                <w:szCs w:val="20"/>
              </w:rPr>
              <w:t>(.121)</w:t>
            </w:r>
          </w:p>
        </w:tc>
        <w:tc>
          <w:tcPr>
            <w:tcW w:w="1147" w:type="dxa"/>
          </w:tcPr>
          <w:p w:rsidR="0015445D" w:rsidRPr="002B7887" w:rsidRDefault="0015445D" w:rsidP="0085587A">
            <w:pPr>
              <w:jc w:val="center"/>
              <w:rPr>
                <w:sz w:val="20"/>
                <w:szCs w:val="20"/>
              </w:rPr>
            </w:pPr>
            <w:r>
              <w:rPr>
                <w:sz w:val="20"/>
                <w:szCs w:val="20"/>
              </w:rPr>
              <w:t>(.077)</w:t>
            </w:r>
          </w:p>
        </w:tc>
        <w:tc>
          <w:tcPr>
            <w:tcW w:w="1181" w:type="dxa"/>
          </w:tcPr>
          <w:p w:rsidR="0015445D" w:rsidRPr="002B7887" w:rsidRDefault="0015445D" w:rsidP="0085587A">
            <w:pPr>
              <w:jc w:val="center"/>
              <w:rPr>
                <w:sz w:val="20"/>
                <w:szCs w:val="20"/>
              </w:rPr>
            </w:pPr>
            <w:r>
              <w:rPr>
                <w:sz w:val="20"/>
                <w:szCs w:val="20"/>
              </w:rPr>
              <w:t>(.162)</w:t>
            </w:r>
          </w:p>
        </w:tc>
        <w:tc>
          <w:tcPr>
            <w:tcW w:w="1133" w:type="dxa"/>
          </w:tcPr>
          <w:p w:rsidR="0015445D" w:rsidRPr="002B7887" w:rsidRDefault="0015445D" w:rsidP="0085587A">
            <w:pPr>
              <w:jc w:val="center"/>
              <w:rPr>
                <w:sz w:val="20"/>
                <w:szCs w:val="20"/>
              </w:rPr>
            </w:pPr>
            <w:r>
              <w:rPr>
                <w:sz w:val="20"/>
                <w:szCs w:val="20"/>
              </w:rPr>
              <w:t>(.111)</w:t>
            </w:r>
          </w:p>
        </w:tc>
      </w:tr>
      <w:tr w:rsidR="0015445D" w:rsidTr="0085587A">
        <w:trPr>
          <w:trHeight w:val="228"/>
          <w:jc w:val="center"/>
        </w:trPr>
        <w:tc>
          <w:tcPr>
            <w:tcW w:w="1541" w:type="dxa"/>
          </w:tcPr>
          <w:p w:rsidR="0015445D" w:rsidRPr="002B7887" w:rsidRDefault="0015445D" w:rsidP="0085587A">
            <w:pPr>
              <w:rPr>
                <w:sz w:val="20"/>
                <w:szCs w:val="20"/>
              </w:rPr>
            </w:pPr>
            <w:r w:rsidRPr="002B7887">
              <w:rPr>
                <w:sz w:val="20"/>
                <w:szCs w:val="20"/>
              </w:rPr>
              <w:t>LNG</w:t>
            </w:r>
          </w:p>
        </w:tc>
        <w:tc>
          <w:tcPr>
            <w:tcW w:w="1151" w:type="dxa"/>
          </w:tcPr>
          <w:p w:rsidR="0015445D" w:rsidRPr="002B7887" w:rsidRDefault="0015445D" w:rsidP="0085587A">
            <w:pPr>
              <w:jc w:val="center"/>
              <w:rPr>
                <w:sz w:val="20"/>
                <w:szCs w:val="20"/>
              </w:rPr>
            </w:pPr>
            <w:r>
              <w:rPr>
                <w:sz w:val="20"/>
                <w:szCs w:val="20"/>
              </w:rPr>
              <w:t>.651</w:t>
            </w:r>
          </w:p>
        </w:tc>
        <w:tc>
          <w:tcPr>
            <w:tcW w:w="1141" w:type="dxa"/>
          </w:tcPr>
          <w:p w:rsidR="0015445D" w:rsidRPr="002B7887" w:rsidRDefault="0015445D" w:rsidP="0085587A">
            <w:pPr>
              <w:jc w:val="center"/>
              <w:rPr>
                <w:sz w:val="20"/>
                <w:szCs w:val="20"/>
              </w:rPr>
            </w:pPr>
            <w:r>
              <w:rPr>
                <w:sz w:val="20"/>
                <w:szCs w:val="20"/>
              </w:rPr>
              <w:t>-.605</w:t>
            </w:r>
          </w:p>
        </w:tc>
        <w:tc>
          <w:tcPr>
            <w:tcW w:w="1311" w:type="dxa"/>
          </w:tcPr>
          <w:p w:rsidR="0015445D" w:rsidRPr="002B7887" w:rsidRDefault="0015445D" w:rsidP="0085587A">
            <w:pPr>
              <w:jc w:val="center"/>
              <w:rPr>
                <w:sz w:val="20"/>
                <w:szCs w:val="20"/>
              </w:rPr>
            </w:pPr>
            <w:r>
              <w:rPr>
                <w:sz w:val="20"/>
                <w:szCs w:val="20"/>
              </w:rPr>
              <w:t>.365</w:t>
            </w:r>
          </w:p>
        </w:tc>
        <w:tc>
          <w:tcPr>
            <w:tcW w:w="1147" w:type="dxa"/>
          </w:tcPr>
          <w:p w:rsidR="0015445D" w:rsidRPr="002B7887" w:rsidRDefault="0015445D" w:rsidP="0085587A">
            <w:pPr>
              <w:jc w:val="center"/>
              <w:rPr>
                <w:sz w:val="20"/>
                <w:szCs w:val="20"/>
              </w:rPr>
            </w:pPr>
            <w:r>
              <w:rPr>
                <w:sz w:val="20"/>
                <w:szCs w:val="20"/>
              </w:rPr>
              <w:t>-.557</w:t>
            </w:r>
          </w:p>
        </w:tc>
        <w:tc>
          <w:tcPr>
            <w:tcW w:w="1181" w:type="dxa"/>
          </w:tcPr>
          <w:p w:rsidR="0015445D" w:rsidRPr="002B7887" w:rsidRDefault="0015445D" w:rsidP="0085587A">
            <w:pPr>
              <w:jc w:val="center"/>
              <w:rPr>
                <w:sz w:val="20"/>
                <w:szCs w:val="20"/>
              </w:rPr>
            </w:pPr>
            <w:r>
              <w:rPr>
                <w:sz w:val="20"/>
                <w:szCs w:val="20"/>
              </w:rPr>
              <w:t>3.045***</w:t>
            </w:r>
          </w:p>
        </w:tc>
        <w:tc>
          <w:tcPr>
            <w:tcW w:w="1133" w:type="dxa"/>
          </w:tcPr>
          <w:p w:rsidR="0015445D" w:rsidRPr="002B7887" w:rsidRDefault="0015445D" w:rsidP="0085587A">
            <w:pPr>
              <w:jc w:val="center"/>
              <w:rPr>
                <w:sz w:val="20"/>
                <w:szCs w:val="20"/>
              </w:rPr>
            </w:pPr>
            <w:r>
              <w:rPr>
                <w:sz w:val="20"/>
                <w:szCs w:val="20"/>
              </w:rPr>
              <w:t>-1.662**</w:t>
            </w:r>
          </w:p>
        </w:tc>
      </w:tr>
      <w:tr w:rsidR="0015445D" w:rsidTr="0085587A">
        <w:trPr>
          <w:trHeight w:val="228"/>
          <w:jc w:val="center"/>
        </w:trPr>
        <w:tc>
          <w:tcPr>
            <w:tcW w:w="1541" w:type="dxa"/>
          </w:tcPr>
          <w:p w:rsidR="0015445D" w:rsidRPr="002B7887" w:rsidRDefault="0015445D" w:rsidP="0085587A">
            <w:pPr>
              <w:rPr>
                <w:sz w:val="20"/>
                <w:szCs w:val="20"/>
              </w:rPr>
            </w:pPr>
            <w:r w:rsidRPr="002B7887">
              <w:rPr>
                <w:sz w:val="20"/>
                <w:szCs w:val="20"/>
              </w:rPr>
              <w:t xml:space="preserve">   Demand</w:t>
            </w:r>
          </w:p>
        </w:tc>
        <w:tc>
          <w:tcPr>
            <w:tcW w:w="1151" w:type="dxa"/>
          </w:tcPr>
          <w:p w:rsidR="0015445D" w:rsidRPr="002B7887" w:rsidRDefault="0015445D" w:rsidP="0085587A">
            <w:pPr>
              <w:jc w:val="center"/>
              <w:rPr>
                <w:sz w:val="20"/>
                <w:szCs w:val="20"/>
              </w:rPr>
            </w:pPr>
            <w:r>
              <w:rPr>
                <w:sz w:val="20"/>
                <w:szCs w:val="20"/>
              </w:rPr>
              <w:t>(.500)</w:t>
            </w:r>
          </w:p>
        </w:tc>
        <w:tc>
          <w:tcPr>
            <w:tcW w:w="1141" w:type="dxa"/>
          </w:tcPr>
          <w:p w:rsidR="0015445D" w:rsidRPr="002B7887" w:rsidRDefault="0015445D" w:rsidP="0085587A">
            <w:pPr>
              <w:jc w:val="center"/>
              <w:rPr>
                <w:sz w:val="20"/>
                <w:szCs w:val="20"/>
              </w:rPr>
            </w:pPr>
            <w:r>
              <w:rPr>
                <w:sz w:val="20"/>
                <w:szCs w:val="20"/>
              </w:rPr>
              <w:t>(.511)</w:t>
            </w:r>
          </w:p>
        </w:tc>
        <w:tc>
          <w:tcPr>
            <w:tcW w:w="1311" w:type="dxa"/>
          </w:tcPr>
          <w:p w:rsidR="0015445D" w:rsidRPr="002B7887" w:rsidRDefault="0015445D" w:rsidP="0085587A">
            <w:pPr>
              <w:jc w:val="center"/>
              <w:rPr>
                <w:sz w:val="20"/>
                <w:szCs w:val="20"/>
              </w:rPr>
            </w:pPr>
            <w:r>
              <w:rPr>
                <w:sz w:val="20"/>
                <w:szCs w:val="20"/>
              </w:rPr>
              <w:t>(.676)</w:t>
            </w:r>
          </w:p>
        </w:tc>
        <w:tc>
          <w:tcPr>
            <w:tcW w:w="1147" w:type="dxa"/>
          </w:tcPr>
          <w:p w:rsidR="0015445D" w:rsidRPr="002B7887" w:rsidRDefault="0015445D" w:rsidP="0085587A">
            <w:pPr>
              <w:jc w:val="center"/>
              <w:rPr>
                <w:sz w:val="20"/>
                <w:szCs w:val="20"/>
              </w:rPr>
            </w:pPr>
            <w:r>
              <w:rPr>
                <w:sz w:val="20"/>
                <w:szCs w:val="20"/>
              </w:rPr>
              <w:t>(.608)</w:t>
            </w:r>
          </w:p>
        </w:tc>
        <w:tc>
          <w:tcPr>
            <w:tcW w:w="1181" w:type="dxa"/>
          </w:tcPr>
          <w:p w:rsidR="0015445D" w:rsidRPr="002B7887" w:rsidRDefault="0015445D" w:rsidP="0085587A">
            <w:pPr>
              <w:jc w:val="center"/>
              <w:rPr>
                <w:sz w:val="20"/>
                <w:szCs w:val="20"/>
              </w:rPr>
            </w:pPr>
            <w:r>
              <w:rPr>
                <w:sz w:val="20"/>
                <w:szCs w:val="20"/>
              </w:rPr>
              <w:t>(.568)</w:t>
            </w:r>
          </w:p>
        </w:tc>
        <w:tc>
          <w:tcPr>
            <w:tcW w:w="1133" w:type="dxa"/>
          </w:tcPr>
          <w:p w:rsidR="0015445D" w:rsidRPr="002B7887" w:rsidRDefault="0015445D" w:rsidP="0085587A">
            <w:pPr>
              <w:jc w:val="center"/>
              <w:rPr>
                <w:sz w:val="20"/>
                <w:szCs w:val="20"/>
              </w:rPr>
            </w:pPr>
            <w:r>
              <w:rPr>
                <w:sz w:val="20"/>
                <w:szCs w:val="20"/>
              </w:rPr>
              <w:t>(.739)</w:t>
            </w:r>
          </w:p>
        </w:tc>
      </w:tr>
      <w:tr w:rsidR="0015445D" w:rsidTr="0085587A">
        <w:trPr>
          <w:trHeight w:val="228"/>
          <w:jc w:val="center"/>
        </w:trPr>
        <w:tc>
          <w:tcPr>
            <w:tcW w:w="1541" w:type="dxa"/>
          </w:tcPr>
          <w:p w:rsidR="0015445D" w:rsidRPr="002B7887" w:rsidRDefault="0015445D" w:rsidP="0085587A">
            <w:pPr>
              <w:rPr>
                <w:sz w:val="20"/>
                <w:szCs w:val="20"/>
              </w:rPr>
            </w:pPr>
            <w:r w:rsidRPr="002B7887">
              <w:rPr>
                <w:sz w:val="20"/>
                <w:szCs w:val="20"/>
              </w:rPr>
              <w:t>Capacity</w:t>
            </w:r>
          </w:p>
        </w:tc>
        <w:tc>
          <w:tcPr>
            <w:tcW w:w="1151" w:type="dxa"/>
          </w:tcPr>
          <w:p w:rsidR="0015445D" w:rsidRPr="002B7887" w:rsidRDefault="0015445D" w:rsidP="0085587A">
            <w:pPr>
              <w:jc w:val="center"/>
              <w:rPr>
                <w:sz w:val="20"/>
                <w:szCs w:val="20"/>
              </w:rPr>
            </w:pPr>
            <w:r>
              <w:rPr>
                <w:sz w:val="20"/>
                <w:szCs w:val="20"/>
              </w:rPr>
              <w:t>8.341***</w:t>
            </w:r>
          </w:p>
        </w:tc>
        <w:tc>
          <w:tcPr>
            <w:tcW w:w="1141" w:type="dxa"/>
          </w:tcPr>
          <w:p w:rsidR="0015445D" w:rsidRPr="002B7887" w:rsidRDefault="0015445D" w:rsidP="0085587A">
            <w:pPr>
              <w:jc w:val="center"/>
              <w:rPr>
                <w:sz w:val="20"/>
                <w:szCs w:val="20"/>
              </w:rPr>
            </w:pPr>
            <w:r>
              <w:rPr>
                <w:sz w:val="20"/>
                <w:szCs w:val="20"/>
              </w:rPr>
              <w:t>-.489</w:t>
            </w:r>
          </w:p>
        </w:tc>
        <w:tc>
          <w:tcPr>
            <w:tcW w:w="1311" w:type="dxa"/>
          </w:tcPr>
          <w:p w:rsidR="0015445D" w:rsidRPr="002B7887" w:rsidRDefault="0015445D" w:rsidP="0085587A">
            <w:pPr>
              <w:jc w:val="center"/>
              <w:rPr>
                <w:sz w:val="20"/>
                <w:szCs w:val="20"/>
              </w:rPr>
            </w:pPr>
            <w:r>
              <w:rPr>
                <w:sz w:val="20"/>
                <w:szCs w:val="20"/>
              </w:rPr>
              <w:t>7.336***</w:t>
            </w:r>
          </w:p>
        </w:tc>
        <w:tc>
          <w:tcPr>
            <w:tcW w:w="1147" w:type="dxa"/>
          </w:tcPr>
          <w:p w:rsidR="0015445D" w:rsidRPr="002B7887" w:rsidRDefault="0015445D" w:rsidP="0085587A">
            <w:pPr>
              <w:jc w:val="center"/>
              <w:rPr>
                <w:sz w:val="20"/>
                <w:szCs w:val="20"/>
              </w:rPr>
            </w:pPr>
            <w:r>
              <w:rPr>
                <w:sz w:val="20"/>
                <w:szCs w:val="20"/>
              </w:rPr>
              <w:t>-.915*</w:t>
            </w:r>
          </w:p>
        </w:tc>
        <w:tc>
          <w:tcPr>
            <w:tcW w:w="1181" w:type="dxa"/>
          </w:tcPr>
          <w:p w:rsidR="0015445D" w:rsidRPr="002B7887" w:rsidRDefault="0015445D" w:rsidP="0085587A">
            <w:pPr>
              <w:jc w:val="center"/>
              <w:rPr>
                <w:sz w:val="20"/>
                <w:szCs w:val="20"/>
              </w:rPr>
            </w:pPr>
            <w:r>
              <w:rPr>
                <w:sz w:val="20"/>
                <w:szCs w:val="20"/>
              </w:rPr>
              <w:t>9.268***</w:t>
            </w:r>
          </w:p>
        </w:tc>
        <w:tc>
          <w:tcPr>
            <w:tcW w:w="1133" w:type="dxa"/>
          </w:tcPr>
          <w:p w:rsidR="0015445D" w:rsidRPr="002B7887" w:rsidRDefault="0015445D" w:rsidP="0085587A">
            <w:pPr>
              <w:jc w:val="center"/>
              <w:rPr>
                <w:sz w:val="20"/>
                <w:szCs w:val="20"/>
              </w:rPr>
            </w:pPr>
            <w:r>
              <w:rPr>
                <w:sz w:val="20"/>
                <w:szCs w:val="20"/>
              </w:rPr>
              <w:t>.292</w:t>
            </w:r>
          </w:p>
        </w:tc>
      </w:tr>
      <w:tr w:rsidR="0015445D" w:rsidTr="0085587A">
        <w:trPr>
          <w:trHeight w:val="228"/>
          <w:jc w:val="center"/>
        </w:trPr>
        <w:tc>
          <w:tcPr>
            <w:tcW w:w="1541" w:type="dxa"/>
          </w:tcPr>
          <w:p w:rsidR="0015445D" w:rsidRPr="002B7887" w:rsidRDefault="0015445D" w:rsidP="0085587A">
            <w:pPr>
              <w:rPr>
                <w:sz w:val="20"/>
                <w:szCs w:val="20"/>
              </w:rPr>
            </w:pPr>
            <w:r w:rsidRPr="002B7887">
              <w:rPr>
                <w:sz w:val="20"/>
                <w:szCs w:val="20"/>
              </w:rPr>
              <w:t xml:space="preserve">   Utilization</w:t>
            </w:r>
          </w:p>
        </w:tc>
        <w:tc>
          <w:tcPr>
            <w:tcW w:w="1151" w:type="dxa"/>
          </w:tcPr>
          <w:p w:rsidR="0015445D" w:rsidRPr="002B7887" w:rsidRDefault="0015445D" w:rsidP="0085587A">
            <w:pPr>
              <w:jc w:val="center"/>
              <w:rPr>
                <w:sz w:val="20"/>
                <w:szCs w:val="20"/>
              </w:rPr>
            </w:pPr>
            <w:r>
              <w:rPr>
                <w:sz w:val="20"/>
                <w:szCs w:val="20"/>
              </w:rPr>
              <w:t>(1.500)</w:t>
            </w:r>
          </w:p>
        </w:tc>
        <w:tc>
          <w:tcPr>
            <w:tcW w:w="1141" w:type="dxa"/>
          </w:tcPr>
          <w:p w:rsidR="0015445D" w:rsidRPr="002B7887" w:rsidRDefault="0015445D" w:rsidP="0085587A">
            <w:pPr>
              <w:jc w:val="center"/>
              <w:rPr>
                <w:sz w:val="20"/>
                <w:szCs w:val="20"/>
              </w:rPr>
            </w:pPr>
            <w:r>
              <w:rPr>
                <w:sz w:val="20"/>
                <w:szCs w:val="20"/>
              </w:rPr>
              <w:t>(.339)</w:t>
            </w:r>
          </w:p>
        </w:tc>
        <w:tc>
          <w:tcPr>
            <w:tcW w:w="1311" w:type="dxa"/>
          </w:tcPr>
          <w:p w:rsidR="0015445D" w:rsidRPr="002B7887" w:rsidRDefault="0015445D" w:rsidP="0085587A">
            <w:pPr>
              <w:jc w:val="center"/>
              <w:rPr>
                <w:sz w:val="20"/>
                <w:szCs w:val="20"/>
              </w:rPr>
            </w:pPr>
            <w:r>
              <w:rPr>
                <w:sz w:val="20"/>
                <w:szCs w:val="20"/>
              </w:rPr>
              <w:t>(2.592)</w:t>
            </w:r>
          </w:p>
        </w:tc>
        <w:tc>
          <w:tcPr>
            <w:tcW w:w="1147" w:type="dxa"/>
          </w:tcPr>
          <w:p w:rsidR="0015445D" w:rsidRPr="002B7887" w:rsidRDefault="0015445D" w:rsidP="0085587A">
            <w:pPr>
              <w:jc w:val="center"/>
              <w:rPr>
                <w:sz w:val="20"/>
                <w:szCs w:val="20"/>
              </w:rPr>
            </w:pPr>
            <w:r>
              <w:rPr>
                <w:sz w:val="20"/>
                <w:szCs w:val="20"/>
              </w:rPr>
              <w:t>(.488)</w:t>
            </w:r>
          </w:p>
        </w:tc>
        <w:tc>
          <w:tcPr>
            <w:tcW w:w="1181" w:type="dxa"/>
          </w:tcPr>
          <w:p w:rsidR="0015445D" w:rsidRPr="002B7887" w:rsidRDefault="0015445D" w:rsidP="0085587A">
            <w:pPr>
              <w:jc w:val="center"/>
              <w:rPr>
                <w:sz w:val="20"/>
                <w:szCs w:val="20"/>
              </w:rPr>
            </w:pPr>
            <w:r>
              <w:rPr>
                <w:sz w:val="20"/>
                <w:szCs w:val="20"/>
              </w:rPr>
              <w:t>(1.104)</w:t>
            </w:r>
          </w:p>
        </w:tc>
        <w:tc>
          <w:tcPr>
            <w:tcW w:w="1133" w:type="dxa"/>
          </w:tcPr>
          <w:p w:rsidR="0015445D" w:rsidRPr="002B7887" w:rsidRDefault="0015445D" w:rsidP="0085587A">
            <w:pPr>
              <w:jc w:val="center"/>
              <w:rPr>
                <w:sz w:val="20"/>
                <w:szCs w:val="20"/>
              </w:rPr>
            </w:pPr>
            <w:r>
              <w:rPr>
                <w:sz w:val="20"/>
                <w:szCs w:val="20"/>
              </w:rPr>
              <w:t>(.558)</w:t>
            </w:r>
          </w:p>
        </w:tc>
      </w:tr>
      <w:tr w:rsidR="0015445D" w:rsidTr="0085587A">
        <w:trPr>
          <w:trHeight w:val="228"/>
          <w:jc w:val="center"/>
        </w:trPr>
        <w:tc>
          <w:tcPr>
            <w:tcW w:w="1541" w:type="dxa"/>
          </w:tcPr>
          <w:p w:rsidR="0015445D" w:rsidRPr="002B7887" w:rsidRDefault="0015445D" w:rsidP="0085587A">
            <w:pPr>
              <w:rPr>
                <w:sz w:val="20"/>
                <w:szCs w:val="20"/>
              </w:rPr>
            </w:pPr>
            <w:r w:rsidRPr="002B7887">
              <w:rPr>
                <w:sz w:val="20"/>
                <w:szCs w:val="20"/>
              </w:rPr>
              <w:t>Investment</w:t>
            </w:r>
          </w:p>
        </w:tc>
        <w:tc>
          <w:tcPr>
            <w:tcW w:w="1151" w:type="dxa"/>
          </w:tcPr>
          <w:p w:rsidR="0015445D" w:rsidRPr="002B7887" w:rsidRDefault="0015445D" w:rsidP="0085587A">
            <w:pPr>
              <w:jc w:val="center"/>
              <w:rPr>
                <w:sz w:val="20"/>
                <w:szCs w:val="20"/>
              </w:rPr>
            </w:pPr>
            <w:r>
              <w:rPr>
                <w:sz w:val="20"/>
                <w:szCs w:val="20"/>
              </w:rPr>
              <w:t>1.520***</w:t>
            </w:r>
          </w:p>
        </w:tc>
        <w:tc>
          <w:tcPr>
            <w:tcW w:w="1141" w:type="dxa"/>
          </w:tcPr>
          <w:p w:rsidR="0015445D" w:rsidRPr="002B7887" w:rsidRDefault="0015445D" w:rsidP="0085587A">
            <w:pPr>
              <w:jc w:val="center"/>
              <w:rPr>
                <w:sz w:val="20"/>
                <w:szCs w:val="20"/>
              </w:rPr>
            </w:pPr>
            <w:r>
              <w:rPr>
                <w:sz w:val="20"/>
                <w:szCs w:val="20"/>
              </w:rPr>
              <w:t>-.094</w:t>
            </w:r>
          </w:p>
        </w:tc>
        <w:tc>
          <w:tcPr>
            <w:tcW w:w="1311" w:type="dxa"/>
          </w:tcPr>
          <w:p w:rsidR="0015445D" w:rsidRPr="002B7887" w:rsidRDefault="0015445D" w:rsidP="0085587A">
            <w:pPr>
              <w:jc w:val="center"/>
              <w:rPr>
                <w:sz w:val="20"/>
                <w:szCs w:val="20"/>
              </w:rPr>
            </w:pPr>
            <w:r>
              <w:rPr>
                <w:sz w:val="20"/>
                <w:szCs w:val="20"/>
              </w:rPr>
              <w:t>1.247**</w:t>
            </w:r>
          </w:p>
        </w:tc>
        <w:tc>
          <w:tcPr>
            <w:tcW w:w="1147" w:type="dxa"/>
          </w:tcPr>
          <w:p w:rsidR="0015445D" w:rsidRPr="002B7887" w:rsidRDefault="0015445D" w:rsidP="0085587A">
            <w:pPr>
              <w:jc w:val="center"/>
              <w:rPr>
                <w:sz w:val="20"/>
                <w:szCs w:val="20"/>
              </w:rPr>
            </w:pPr>
            <w:r>
              <w:rPr>
                <w:sz w:val="20"/>
                <w:szCs w:val="20"/>
              </w:rPr>
              <w:t>-.278</w:t>
            </w:r>
          </w:p>
        </w:tc>
        <w:tc>
          <w:tcPr>
            <w:tcW w:w="1181" w:type="dxa"/>
          </w:tcPr>
          <w:p w:rsidR="0015445D" w:rsidRPr="002B7887" w:rsidRDefault="0015445D" w:rsidP="0085587A">
            <w:pPr>
              <w:jc w:val="center"/>
              <w:rPr>
                <w:sz w:val="20"/>
                <w:szCs w:val="20"/>
              </w:rPr>
            </w:pPr>
            <w:r>
              <w:rPr>
                <w:sz w:val="20"/>
                <w:szCs w:val="20"/>
              </w:rPr>
              <w:t>1.878***</w:t>
            </w:r>
          </w:p>
        </w:tc>
        <w:tc>
          <w:tcPr>
            <w:tcW w:w="1133" w:type="dxa"/>
          </w:tcPr>
          <w:p w:rsidR="0015445D" w:rsidRPr="002B7887" w:rsidRDefault="0015445D" w:rsidP="0085587A">
            <w:pPr>
              <w:jc w:val="center"/>
              <w:rPr>
                <w:sz w:val="20"/>
                <w:szCs w:val="20"/>
              </w:rPr>
            </w:pPr>
            <w:r>
              <w:rPr>
                <w:sz w:val="20"/>
                <w:szCs w:val="20"/>
              </w:rPr>
              <w:t>.159</w:t>
            </w:r>
          </w:p>
        </w:tc>
      </w:tr>
      <w:tr w:rsidR="0015445D" w:rsidTr="0085587A">
        <w:trPr>
          <w:trHeight w:val="228"/>
          <w:jc w:val="center"/>
        </w:trPr>
        <w:tc>
          <w:tcPr>
            <w:tcW w:w="1541" w:type="dxa"/>
          </w:tcPr>
          <w:p w:rsidR="0015445D" w:rsidRPr="002B7887" w:rsidRDefault="0015445D" w:rsidP="0085587A">
            <w:pPr>
              <w:rPr>
                <w:sz w:val="20"/>
                <w:szCs w:val="20"/>
              </w:rPr>
            </w:pPr>
            <w:r w:rsidRPr="002B7887">
              <w:rPr>
                <w:sz w:val="20"/>
                <w:szCs w:val="20"/>
              </w:rPr>
              <w:t xml:space="preserve">   Lumpiness</w:t>
            </w:r>
          </w:p>
        </w:tc>
        <w:tc>
          <w:tcPr>
            <w:tcW w:w="1151" w:type="dxa"/>
          </w:tcPr>
          <w:p w:rsidR="0015445D" w:rsidRPr="002B7887" w:rsidRDefault="0015445D" w:rsidP="0085587A">
            <w:pPr>
              <w:jc w:val="center"/>
              <w:rPr>
                <w:sz w:val="20"/>
                <w:szCs w:val="20"/>
              </w:rPr>
            </w:pPr>
            <w:r>
              <w:rPr>
                <w:sz w:val="20"/>
                <w:szCs w:val="20"/>
              </w:rPr>
              <w:t>(.308)</w:t>
            </w:r>
          </w:p>
        </w:tc>
        <w:tc>
          <w:tcPr>
            <w:tcW w:w="1141" w:type="dxa"/>
          </w:tcPr>
          <w:p w:rsidR="0015445D" w:rsidRPr="002B7887" w:rsidRDefault="0015445D" w:rsidP="0085587A">
            <w:pPr>
              <w:jc w:val="center"/>
              <w:rPr>
                <w:sz w:val="20"/>
                <w:szCs w:val="20"/>
              </w:rPr>
            </w:pPr>
            <w:r>
              <w:rPr>
                <w:sz w:val="20"/>
                <w:szCs w:val="20"/>
              </w:rPr>
              <w:t>(.114)</w:t>
            </w:r>
          </w:p>
        </w:tc>
        <w:tc>
          <w:tcPr>
            <w:tcW w:w="1311" w:type="dxa"/>
          </w:tcPr>
          <w:p w:rsidR="0015445D" w:rsidRPr="002B7887" w:rsidRDefault="0015445D" w:rsidP="0085587A">
            <w:pPr>
              <w:jc w:val="center"/>
              <w:rPr>
                <w:sz w:val="20"/>
                <w:szCs w:val="20"/>
              </w:rPr>
            </w:pPr>
            <w:r>
              <w:rPr>
                <w:sz w:val="20"/>
                <w:szCs w:val="20"/>
              </w:rPr>
              <w:t>(.549)</w:t>
            </w:r>
          </w:p>
        </w:tc>
        <w:tc>
          <w:tcPr>
            <w:tcW w:w="1147" w:type="dxa"/>
          </w:tcPr>
          <w:p w:rsidR="0015445D" w:rsidRPr="002B7887" w:rsidRDefault="0015445D" w:rsidP="0085587A">
            <w:pPr>
              <w:jc w:val="center"/>
              <w:rPr>
                <w:sz w:val="20"/>
                <w:szCs w:val="20"/>
              </w:rPr>
            </w:pPr>
            <w:r>
              <w:rPr>
                <w:sz w:val="20"/>
                <w:szCs w:val="20"/>
              </w:rPr>
              <w:t>(.171)</w:t>
            </w:r>
          </w:p>
        </w:tc>
        <w:tc>
          <w:tcPr>
            <w:tcW w:w="1181" w:type="dxa"/>
          </w:tcPr>
          <w:p w:rsidR="0015445D" w:rsidRPr="002B7887" w:rsidRDefault="0015445D" w:rsidP="0085587A">
            <w:pPr>
              <w:jc w:val="center"/>
              <w:rPr>
                <w:sz w:val="20"/>
                <w:szCs w:val="20"/>
              </w:rPr>
            </w:pPr>
            <w:r>
              <w:rPr>
                <w:sz w:val="20"/>
                <w:szCs w:val="20"/>
              </w:rPr>
              <w:t>(.226)</w:t>
            </w:r>
          </w:p>
        </w:tc>
        <w:tc>
          <w:tcPr>
            <w:tcW w:w="1133" w:type="dxa"/>
          </w:tcPr>
          <w:p w:rsidR="0015445D" w:rsidRPr="002B7887" w:rsidRDefault="0015445D" w:rsidP="0085587A">
            <w:pPr>
              <w:jc w:val="center"/>
              <w:rPr>
                <w:sz w:val="20"/>
                <w:szCs w:val="20"/>
              </w:rPr>
            </w:pPr>
            <w:r>
              <w:rPr>
                <w:sz w:val="20"/>
                <w:szCs w:val="20"/>
              </w:rPr>
              <w:t>(.191)</w:t>
            </w:r>
          </w:p>
        </w:tc>
      </w:tr>
      <w:tr w:rsidR="0015445D" w:rsidTr="0085587A">
        <w:trPr>
          <w:trHeight w:val="228"/>
          <w:jc w:val="center"/>
        </w:trPr>
        <w:tc>
          <w:tcPr>
            <w:tcW w:w="1541" w:type="dxa"/>
          </w:tcPr>
          <w:p w:rsidR="0015445D" w:rsidRPr="002B7887" w:rsidRDefault="0015445D" w:rsidP="0085587A">
            <w:pPr>
              <w:rPr>
                <w:sz w:val="20"/>
                <w:szCs w:val="20"/>
              </w:rPr>
            </w:pPr>
            <w:r w:rsidRPr="002B7887">
              <w:rPr>
                <w:sz w:val="20"/>
                <w:szCs w:val="20"/>
              </w:rPr>
              <w:t>Announced</w:t>
            </w:r>
          </w:p>
        </w:tc>
        <w:tc>
          <w:tcPr>
            <w:tcW w:w="1151" w:type="dxa"/>
          </w:tcPr>
          <w:p w:rsidR="0015445D" w:rsidRPr="002B7887" w:rsidRDefault="0015445D" w:rsidP="0085587A">
            <w:pPr>
              <w:jc w:val="center"/>
              <w:rPr>
                <w:sz w:val="20"/>
                <w:szCs w:val="20"/>
              </w:rPr>
            </w:pPr>
            <w:r>
              <w:rPr>
                <w:sz w:val="20"/>
                <w:szCs w:val="20"/>
              </w:rPr>
              <w:t>.104</w:t>
            </w:r>
          </w:p>
        </w:tc>
        <w:tc>
          <w:tcPr>
            <w:tcW w:w="1141" w:type="dxa"/>
          </w:tcPr>
          <w:p w:rsidR="0015445D" w:rsidRPr="002B7887" w:rsidRDefault="0015445D" w:rsidP="0085587A">
            <w:pPr>
              <w:jc w:val="center"/>
              <w:rPr>
                <w:sz w:val="20"/>
                <w:szCs w:val="20"/>
              </w:rPr>
            </w:pPr>
            <w:r>
              <w:rPr>
                <w:sz w:val="20"/>
                <w:szCs w:val="20"/>
              </w:rPr>
              <w:t>-.001</w:t>
            </w:r>
          </w:p>
        </w:tc>
        <w:tc>
          <w:tcPr>
            <w:tcW w:w="1311" w:type="dxa"/>
          </w:tcPr>
          <w:p w:rsidR="0015445D" w:rsidRPr="002B7887" w:rsidRDefault="0015445D" w:rsidP="0085587A">
            <w:pPr>
              <w:jc w:val="center"/>
              <w:rPr>
                <w:sz w:val="20"/>
                <w:szCs w:val="20"/>
              </w:rPr>
            </w:pPr>
            <w:r>
              <w:rPr>
                <w:sz w:val="20"/>
                <w:szCs w:val="20"/>
              </w:rPr>
              <w:t>-.047</w:t>
            </w:r>
          </w:p>
        </w:tc>
        <w:tc>
          <w:tcPr>
            <w:tcW w:w="1147" w:type="dxa"/>
          </w:tcPr>
          <w:p w:rsidR="0015445D" w:rsidRPr="002B7887" w:rsidRDefault="0015445D" w:rsidP="0085587A">
            <w:pPr>
              <w:jc w:val="center"/>
              <w:rPr>
                <w:sz w:val="20"/>
                <w:szCs w:val="20"/>
              </w:rPr>
            </w:pPr>
            <w:r>
              <w:rPr>
                <w:sz w:val="20"/>
                <w:szCs w:val="20"/>
              </w:rPr>
              <w:t>-.003</w:t>
            </w:r>
          </w:p>
        </w:tc>
        <w:tc>
          <w:tcPr>
            <w:tcW w:w="1181" w:type="dxa"/>
          </w:tcPr>
          <w:p w:rsidR="0015445D" w:rsidRPr="002B7887" w:rsidRDefault="0015445D" w:rsidP="0085587A">
            <w:pPr>
              <w:jc w:val="center"/>
              <w:rPr>
                <w:sz w:val="20"/>
                <w:szCs w:val="20"/>
              </w:rPr>
            </w:pPr>
            <w:r>
              <w:rPr>
                <w:sz w:val="20"/>
                <w:szCs w:val="20"/>
              </w:rPr>
              <w:t>.248***</w:t>
            </w:r>
          </w:p>
        </w:tc>
        <w:tc>
          <w:tcPr>
            <w:tcW w:w="1133" w:type="dxa"/>
          </w:tcPr>
          <w:p w:rsidR="0015445D" w:rsidRPr="002B7887" w:rsidRDefault="0015445D" w:rsidP="0085587A">
            <w:pPr>
              <w:jc w:val="center"/>
              <w:rPr>
                <w:sz w:val="20"/>
                <w:szCs w:val="20"/>
              </w:rPr>
            </w:pPr>
            <w:r>
              <w:rPr>
                <w:sz w:val="20"/>
                <w:szCs w:val="20"/>
              </w:rPr>
              <w:t>-.025</w:t>
            </w:r>
          </w:p>
        </w:tc>
      </w:tr>
      <w:tr w:rsidR="0015445D" w:rsidTr="0085587A">
        <w:trPr>
          <w:trHeight w:val="214"/>
          <w:jc w:val="center"/>
        </w:trPr>
        <w:tc>
          <w:tcPr>
            <w:tcW w:w="1541" w:type="dxa"/>
          </w:tcPr>
          <w:p w:rsidR="0015445D" w:rsidRPr="002B7887" w:rsidRDefault="0015445D" w:rsidP="0085587A">
            <w:pPr>
              <w:rPr>
                <w:sz w:val="20"/>
                <w:szCs w:val="20"/>
              </w:rPr>
            </w:pPr>
            <w:r w:rsidRPr="002B7887">
              <w:rPr>
                <w:sz w:val="20"/>
                <w:szCs w:val="20"/>
              </w:rPr>
              <w:t xml:space="preserve">   Rival Entry</w:t>
            </w:r>
          </w:p>
        </w:tc>
        <w:tc>
          <w:tcPr>
            <w:tcW w:w="1151" w:type="dxa"/>
          </w:tcPr>
          <w:p w:rsidR="0015445D" w:rsidRPr="002B7887" w:rsidRDefault="0015445D" w:rsidP="0085587A">
            <w:pPr>
              <w:jc w:val="center"/>
              <w:rPr>
                <w:sz w:val="20"/>
                <w:szCs w:val="20"/>
              </w:rPr>
            </w:pPr>
            <w:r>
              <w:rPr>
                <w:sz w:val="20"/>
                <w:szCs w:val="20"/>
              </w:rPr>
              <w:t>(.071)</w:t>
            </w:r>
          </w:p>
        </w:tc>
        <w:tc>
          <w:tcPr>
            <w:tcW w:w="1141" w:type="dxa"/>
          </w:tcPr>
          <w:p w:rsidR="0015445D" w:rsidRPr="002B7887" w:rsidRDefault="0015445D" w:rsidP="0085587A">
            <w:pPr>
              <w:jc w:val="center"/>
              <w:rPr>
                <w:sz w:val="20"/>
                <w:szCs w:val="20"/>
              </w:rPr>
            </w:pPr>
            <w:r>
              <w:rPr>
                <w:sz w:val="20"/>
                <w:szCs w:val="20"/>
              </w:rPr>
              <w:t>(.023)</w:t>
            </w:r>
          </w:p>
        </w:tc>
        <w:tc>
          <w:tcPr>
            <w:tcW w:w="1311" w:type="dxa"/>
          </w:tcPr>
          <w:p w:rsidR="0015445D" w:rsidRPr="002B7887" w:rsidRDefault="0015445D" w:rsidP="0085587A">
            <w:pPr>
              <w:jc w:val="center"/>
              <w:rPr>
                <w:sz w:val="20"/>
                <w:szCs w:val="20"/>
              </w:rPr>
            </w:pPr>
            <w:r>
              <w:rPr>
                <w:sz w:val="20"/>
                <w:szCs w:val="20"/>
              </w:rPr>
              <w:t>(.119)</w:t>
            </w:r>
          </w:p>
        </w:tc>
        <w:tc>
          <w:tcPr>
            <w:tcW w:w="1147" w:type="dxa"/>
          </w:tcPr>
          <w:p w:rsidR="0015445D" w:rsidRPr="002B7887" w:rsidRDefault="0015445D" w:rsidP="0085587A">
            <w:pPr>
              <w:jc w:val="center"/>
              <w:rPr>
                <w:sz w:val="20"/>
                <w:szCs w:val="20"/>
              </w:rPr>
            </w:pPr>
            <w:r>
              <w:rPr>
                <w:sz w:val="20"/>
                <w:szCs w:val="20"/>
              </w:rPr>
              <w:t>(.027)</w:t>
            </w:r>
          </w:p>
        </w:tc>
        <w:tc>
          <w:tcPr>
            <w:tcW w:w="1181" w:type="dxa"/>
          </w:tcPr>
          <w:p w:rsidR="0015445D" w:rsidRPr="002B7887" w:rsidRDefault="0015445D" w:rsidP="0085587A">
            <w:pPr>
              <w:jc w:val="center"/>
              <w:rPr>
                <w:sz w:val="20"/>
                <w:szCs w:val="20"/>
              </w:rPr>
            </w:pPr>
            <w:r>
              <w:rPr>
                <w:sz w:val="20"/>
                <w:szCs w:val="20"/>
              </w:rPr>
              <w:t>(.083)</w:t>
            </w:r>
          </w:p>
        </w:tc>
        <w:tc>
          <w:tcPr>
            <w:tcW w:w="1133" w:type="dxa"/>
          </w:tcPr>
          <w:p w:rsidR="0015445D" w:rsidRPr="002B7887" w:rsidRDefault="0015445D" w:rsidP="0085587A">
            <w:pPr>
              <w:jc w:val="center"/>
              <w:rPr>
                <w:sz w:val="20"/>
                <w:szCs w:val="20"/>
              </w:rPr>
            </w:pPr>
            <w:r>
              <w:rPr>
                <w:sz w:val="20"/>
                <w:szCs w:val="20"/>
              </w:rPr>
              <w:t>(.038)</w:t>
            </w:r>
          </w:p>
        </w:tc>
      </w:tr>
      <w:tr w:rsidR="0015445D" w:rsidTr="0085587A">
        <w:trPr>
          <w:trHeight w:val="228"/>
          <w:jc w:val="center"/>
        </w:trPr>
        <w:tc>
          <w:tcPr>
            <w:tcW w:w="1541" w:type="dxa"/>
          </w:tcPr>
          <w:p w:rsidR="0015445D" w:rsidRPr="002B7887" w:rsidRDefault="0015445D" w:rsidP="0085587A">
            <w:pPr>
              <w:rPr>
                <w:sz w:val="20"/>
                <w:szCs w:val="20"/>
              </w:rPr>
            </w:pPr>
            <w:r w:rsidRPr="002B7887">
              <w:rPr>
                <w:sz w:val="20"/>
                <w:szCs w:val="20"/>
              </w:rPr>
              <w:t>Industry</w:t>
            </w:r>
          </w:p>
        </w:tc>
        <w:tc>
          <w:tcPr>
            <w:tcW w:w="1151" w:type="dxa"/>
          </w:tcPr>
          <w:p w:rsidR="0015445D" w:rsidRPr="002B7887" w:rsidRDefault="0015445D" w:rsidP="0085587A">
            <w:pPr>
              <w:jc w:val="center"/>
              <w:rPr>
                <w:sz w:val="20"/>
                <w:szCs w:val="20"/>
              </w:rPr>
            </w:pPr>
            <w:r w:rsidRPr="002B7887">
              <w:rPr>
                <w:sz w:val="20"/>
                <w:szCs w:val="20"/>
              </w:rPr>
              <w:t>Y</w:t>
            </w:r>
          </w:p>
        </w:tc>
        <w:tc>
          <w:tcPr>
            <w:tcW w:w="1141" w:type="dxa"/>
          </w:tcPr>
          <w:p w:rsidR="0015445D" w:rsidRPr="002B7887" w:rsidRDefault="0015445D" w:rsidP="0085587A">
            <w:pPr>
              <w:jc w:val="center"/>
              <w:rPr>
                <w:sz w:val="20"/>
                <w:szCs w:val="20"/>
              </w:rPr>
            </w:pPr>
            <w:r w:rsidRPr="002B7887">
              <w:rPr>
                <w:sz w:val="20"/>
                <w:szCs w:val="20"/>
              </w:rPr>
              <w:t>Y</w:t>
            </w:r>
          </w:p>
        </w:tc>
        <w:tc>
          <w:tcPr>
            <w:tcW w:w="1311" w:type="dxa"/>
          </w:tcPr>
          <w:p w:rsidR="0015445D" w:rsidRPr="002B7887" w:rsidRDefault="0015445D" w:rsidP="0085587A">
            <w:pPr>
              <w:jc w:val="center"/>
              <w:rPr>
                <w:sz w:val="20"/>
                <w:szCs w:val="20"/>
              </w:rPr>
            </w:pPr>
            <w:r w:rsidRPr="002B7887">
              <w:rPr>
                <w:sz w:val="20"/>
                <w:szCs w:val="20"/>
              </w:rPr>
              <w:t>Y</w:t>
            </w:r>
          </w:p>
        </w:tc>
        <w:tc>
          <w:tcPr>
            <w:tcW w:w="1147" w:type="dxa"/>
          </w:tcPr>
          <w:p w:rsidR="0015445D" w:rsidRPr="002B7887" w:rsidRDefault="0015445D" w:rsidP="0085587A">
            <w:pPr>
              <w:jc w:val="center"/>
              <w:rPr>
                <w:sz w:val="20"/>
                <w:szCs w:val="20"/>
              </w:rPr>
            </w:pPr>
            <w:r w:rsidRPr="002B7887">
              <w:rPr>
                <w:sz w:val="20"/>
                <w:szCs w:val="20"/>
              </w:rPr>
              <w:t>Y</w:t>
            </w:r>
          </w:p>
        </w:tc>
        <w:tc>
          <w:tcPr>
            <w:tcW w:w="1181" w:type="dxa"/>
          </w:tcPr>
          <w:p w:rsidR="0015445D" w:rsidRPr="002B7887" w:rsidRDefault="0015445D" w:rsidP="0085587A">
            <w:pPr>
              <w:jc w:val="center"/>
              <w:rPr>
                <w:sz w:val="20"/>
                <w:szCs w:val="20"/>
              </w:rPr>
            </w:pPr>
            <w:r w:rsidRPr="002B7887">
              <w:rPr>
                <w:sz w:val="20"/>
                <w:szCs w:val="20"/>
              </w:rPr>
              <w:t>Y</w:t>
            </w:r>
          </w:p>
        </w:tc>
        <w:tc>
          <w:tcPr>
            <w:tcW w:w="1133" w:type="dxa"/>
          </w:tcPr>
          <w:p w:rsidR="0015445D" w:rsidRPr="002B7887" w:rsidRDefault="0015445D" w:rsidP="0085587A">
            <w:pPr>
              <w:jc w:val="center"/>
              <w:rPr>
                <w:sz w:val="20"/>
                <w:szCs w:val="20"/>
              </w:rPr>
            </w:pPr>
            <w:r w:rsidRPr="002B7887">
              <w:rPr>
                <w:sz w:val="20"/>
                <w:szCs w:val="20"/>
              </w:rPr>
              <w:t>Y</w:t>
            </w:r>
          </w:p>
        </w:tc>
      </w:tr>
      <w:tr w:rsidR="0015445D" w:rsidTr="0085587A">
        <w:trPr>
          <w:trHeight w:val="228"/>
          <w:jc w:val="center"/>
        </w:trPr>
        <w:tc>
          <w:tcPr>
            <w:tcW w:w="1541" w:type="dxa"/>
          </w:tcPr>
          <w:p w:rsidR="0015445D" w:rsidRPr="002B7887" w:rsidRDefault="0015445D" w:rsidP="0085587A">
            <w:pPr>
              <w:rPr>
                <w:sz w:val="20"/>
                <w:szCs w:val="20"/>
              </w:rPr>
            </w:pPr>
            <w:r w:rsidRPr="002B7887">
              <w:rPr>
                <w:sz w:val="20"/>
                <w:szCs w:val="20"/>
              </w:rPr>
              <w:t xml:space="preserve">   Dummies</w:t>
            </w:r>
          </w:p>
        </w:tc>
        <w:tc>
          <w:tcPr>
            <w:tcW w:w="1151" w:type="dxa"/>
          </w:tcPr>
          <w:p w:rsidR="0015445D" w:rsidRPr="002B7887" w:rsidRDefault="0015445D" w:rsidP="0085587A">
            <w:pPr>
              <w:jc w:val="center"/>
              <w:rPr>
                <w:sz w:val="20"/>
                <w:szCs w:val="20"/>
              </w:rPr>
            </w:pPr>
          </w:p>
        </w:tc>
        <w:tc>
          <w:tcPr>
            <w:tcW w:w="1141" w:type="dxa"/>
          </w:tcPr>
          <w:p w:rsidR="0015445D" w:rsidRPr="002B7887" w:rsidRDefault="0015445D" w:rsidP="0085587A">
            <w:pPr>
              <w:jc w:val="center"/>
              <w:rPr>
                <w:sz w:val="20"/>
                <w:szCs w:val="20"/>
              </w:rPr>
            </w:pPr>
          </w:p>
        </w:tc>
        <w:tc>
          <w:tcPr>
            <w:tcW w:w="1311" w:type="dxa"/>
          </w:tcPr>
          <w:p w:rsidR="0015445D" w:rsidRPr="002B7887" w:rsidRDefault="0015445D" w:rsidP="0085587A">
            <w:pPr>
              <w:jc w:val="center"/>
              <w:rPr>
                <w:sz w:val="20"/>
                <w:szCs w:val="20"/>
              </w:rPr>
            </w:pPr>
          </w:p>
        </w:tc>
        <w:tc>
          <w:tcPr>
            <w:tcW w:w="1147" w:type="dxa"/>
          </w:tcPr>
          <w:p w:rsidR="0015445D" w:rsidRPr="002B7887" w:rsidRDefault="0015445D" w:rsidP="0085587A">
            <w:pPr>
              <w:jc w:val="center"/>
              <w:rPr>
                <w:sz w:val="20"/>
                <w:szCs w:val="20"/>
              </w:rPr>
            </w:pPr>
          </w:p>
        </w:tc>
        <w:tc>
          <w:tcPr>
            <w:tcW w:w="1181" w:type="dxa"/>
          </w:tcPr>
          <w:p w:rsidR="0015445D" w:rsidRPr="002B7887" w:rsidRDefault="0015445D" w:rsidP="0085587A">
            <w:pPr>
              <w:jc w:val="center"/>
              <w:rPr>
                <w:sz w:val="20"/>
                <w:szCs w:val="20"/>
              </w:rPr>
            </w:pPr>
          </w:p>
        </w:tc>
        <w:tc>
          <w:tcPr>
            <w:tcW w:w="1133" w:type="dxa"/>
          </w:tcPr>
          <w:p w:rsidR="0015445D" w:rsidRPr="002B7887" w:rsidRDefault="0015445D" w:rsidP="0085587A">
            <w:pPr>
              <w:jc w:val="center"/>
              <w:rPr>
                <w:sz w:val="20"/>
                <w:szCs w:val="20"/>
              </w:rPr>
            </w:pPr>
          </w:p>
        </w:tc>
      </w:tr>
      <w:tr w:rsidR="0015445D" w:rsidTr="0085587A">
        <w:trPr>
          <w:trHeight w:val="228"/>
          <w:jc w:val="center"/>
        </w:trPr>
        <w:tc>
          <w:tcPr>
            <w:tcW w:w="1541" w:type="dxa"/>
            <w:tcBorders>
              <w:top w:val="single" w:sz="12" w:space="0" w:color="auto"/>
            </w:tcBorders>
          </w:tcPr>
          <w:p w:rsidR="0015445D" w:rsidRPr="002B7887" w:rsidRDefault="0015445D" w:rsidP="0085587A">
            <w:pPr>
              <w:rPr>
                <w:sz w:val="20"/>
                <w:szCs w:val="20"/>
              </w:rPr>
            </w:pPr>
            <w:r w:rsidRPr="002B7887">
              <w:rPr>
                <w:sz w:val="20"/>
                <w:szCs w:val="20"/>
              </w:rPr>
              <w:t>N</w:t>
            </w:r>
          </w:p>
        </w:tc>
        <w:tc>
          <w:tcPr>
            <w:tcW w:w="1151" w:type="dxa"/>
            <w:tcBorders>
              <w:top w:val="single" w:sz="12" w:space="0" w:color="auto"/>
            </w:tcBorders>
          </w:tcPr>
          <w:p w:rsidR="0015445D" w:rsidRPr="002B7887" w:rsidRDefault="0015445D" w:rsidP="0085587A">
            <w:pPr>
              <w:jc w:val="center"/>
              <w:rPr>
                <w:sz w:val="20"/>
                <w:szCs w:val="20"/>
              </w:rPr>
            </w:pPr>
            <w:r>
              <w:rPr>
                <w:sz w:val="20"/>
                <w:szCs w:val="20"/>
              </w:rPr>
              <w:t>242</w:t>
            </w:r>
          </w:p>
        </w:tc>
        <w:tc>
          <w:tcPr>
            <w:tcW w:w="1141" w:type="dxa"/>
            <w:tcBorders>
              <w:top w:val="single" w:sz="12" w:space="0" w:color="auto"/>
            </w:tcBorders>
          </w:tcPr>
          <w:p w:rsidR="0015445D" w:rsidRPr="002B7887" w:rsidRDefault="0015445D" w:rsidP="0085587A">
            <w:pPr>
              <w:jc w:val="center"/>
              <w:rPr>
                <w:sz w:val="20"/>
                <w:szCs w:val="20"/>
              </w:rPr>
            </w:pPr>
            <w:r>
              <w:rPr>
                <w:sz w:val="20"/>
                <w:szCs w:val="20"/>
              </w:rPr>
              <w:t>343</w:t>
            </w:r>
          </w:p>
        </w:tc>
        <w:tc>
          <w:tcPr>
            <w:tcW w:w="1311" w:type="dxa"/>
            <w:tcBorders>
              <w:top w:val="single" w:sz="12" w:space="0" w:color="auto"/>
            </w:tcBorders>
          </w:tcPr>
          <w:p w:rsidR="0015445D" w:rsidRPr="002B7887" w:rsidRDefault="0015445D" w:rsidP="0085587A">
            <w:pPr>
              <w:jc w:val="center"/>
              <w:rPr>
                <w:sz w:val="20"/>
                <w:szCs w:val="20"/>
              </w:rPr>
            </w:pPr>
            <w:r>
              <w:rPr>
                <w:sz w:val="20"/>
                <w:szCs w:val="20"/>
              </w:rPr>
              <w:t>242</w:t>
            </w:r>
          </w:p>
        </w:tc>
        <w:tc>
          <w:tcPr>
            <w:tcW w:w="1147" w:type="dxa"/>
            <w:tcBorders>
              <w:top w:val="single" w:sz="12" w:space="0" w:color="auto"/>
            </w:tcBorders>
          </w:tcPr>
          <w:p w:rsidR="0015445D" w:rsidRPr="002B7887" w:rsidRDefault="0015445D" w:rsidP="0085587A">
            <w:pPr>
              <w:jc w:val="center"/>
              <w:rPr>
                <w:sz w:val="20"/>
                <w:szCs w:val="20"/>
              </w:rPr>
            </w:pPr>
            <w:r>
              <w:rPr>
                <w:sz w:val="20"/>
                <w:szCs w:val="20"/>
              </w:rPr>
              <w:t>343</w:t>
            </w:r>
          </w:p>
        </w:tc>
        <w:tc>
          <w:tcPr>
            <w:tcW w:w="1181" w:type="dxa"/>
            <w:tcBorders>
              <w:top w:val="single" w:sz="12" w:space="0" w:color="auto"/>
            </w:tcBorders>
          </w:tcPr>
          <w:p w:rsidR="0015445D" w:rsidRPr="002B7887" w:rsidRDefault="0015445D" w:rsidP="0085587A">
            <w:pPr>
              <w:jc w:val="center"/>
              <w:rPr>
                <w:sz w:val="20"/>
                <w:szCs w:val="20"/>
              </w:rPr>
            </w:pPr>
            <w:r>
              <w:rPr>
                <w:sz w:val="20"/>
                <w:szCs w:val="20"/>
              </w:rPr>
              <w:t>242</w:t>
            </w:r>
          </w:p>
        </w:tc>
        <w:tc>
          <w:tcPr>
            <w:tcW w:w="1133" w:type="dxa"/>
            <w:tcBorders>
              <w:top w:val="single" w:sz="12" w:space="0" w:color="auto"/>
            </w:tcBorders>
          </w:tcPr>
          <w:p w:rsidR="0015445D" w:rsidRPr="002B7887" w:rsidRDefault="0015445D" w:rsidP="0085587A">
            <w:pPr>
              <w:jc w:val="center"/>
              <w:rPr>
                <w:sz w:val="20"/>
                <w:szCs w:val="20"/>
              </w:rPr>
            </w:pPr>
            <w:r>
              <w:rPr>
                <w:sz w:val="20"/>
                <w:szCs w:val="20"/>
              </w:rPr>
              <w:t>343</w:t>
            </w:r>
          </w:p>
        </w:tc>
      </w:tr>
      <w:tr w:rsidR="0015445D" w:rsidTr="0085587A">
        <w:trPr>
          <w:trHeight w:val="228"/>
          <w:jc w:val="center"/>
        </w:trPr>
        <w:tc>
          <w:tcPr>
            <w:tcW w:w="1541" w:type="dxa"/>
          </w:tcPr>
          <w:p w:rsidR="0015445D" w:rsidRPr="002B7887" w:rsidRDefault="0015445D" w:rsidP="0085587A">
            <w:pPr>
              <w:rPr>
                <w:sz w:val="20"/>
                <w:szCs w:val="20"/>
              </w:rPr>
            </w:pPr>
            <w:r w:rsidRPr="002B7887">
              <w:rPr>
                <w:sz w:val="20"/>
                <w:szCs w:val="20"/>
              </w:rPr>
              <w:t>Log-L</w:t>
            </w:r>
          </w:p>
        </w:tc>
        <w:tc>
          <w:tcPr>
            <w:tcW w:w="1151" w:type="dxa"/>
          </w:tcPr>
          <w:p w:rsidR="0015445D" w:rsidRPr="002B7887" w:rsidRDefault="0015445D" w:rsidP="0085587A">
            <w:pPr>
              <w:jc w:val="center"/>
              <w:rPr>
                <w:sz w:val="20"/>
                <w:szCs w:val="20"/>
              </w:rPr>
            </w:pPr>
            <w:r>
              <w:rPr>
                <w:sz w:val="20"/>
                <w:szCs w:val="20"/>
              </w:rPr>
              <w:t>-63.969</w:t>
            </w:r>
          </w:p>
        </w:tc>
        <w:tc>
          <w:tcPr>
            <w:tcW w:w="1141" w:type="dxa"/>
          </w:tcPr>
          <w:p w:rsidR="0015445D" w:rsidRPr="002B7887" w:rsidRDefault="0015445D" w:rsidP="0085587A">
            <w:pPr>
              <w:jc w:val="center"/>
              <w:rPr>
                <w:sz w:val="20"/>
                <w:szCs w:val="20"/>
              </w:rPr>
            </w:pPr>
            <w:r>
              <w:rPr>
                <w:sz w:val="20"/>
                <w:szCs w:val="20"/>
              </w:rPr>
              <w:t>-163.859</w:t>
            </w:r>
          </w:p>
        </w:tc>
        <w:tc>
          <w:tcPr>
            <w:tcW w:w="1311" w:type="dxa"/>
          </w:tcPr>
          <w:p w:rsidR="0015445D" w:rsidRPr="002B7887" w:rsidRDefault="0015445D" w:rsidP="0085587A">
            <w:pPr>
              <w:jc w:val="center"/>
              <w:rPr>
                <w:sz w:val="20"/>
                <w:szCs w:val="20"/>
              </w:rPr>
            </w:pPr>
            <w:r>
              <w:rPr>
                <w:sz w:val="20"/>
                <w:szCs w:val="20"/>
              </w:rPr>
              <w:t>-38.981</w:t>
            </w:r>
          </w:p>
        </w:tc>
        <w:tc>
          <w:tcPr>
            <w:tcW w:w="1147" w:type="dxa"/>
          </w:tcPr>
          <w:p w:rsidR="0015445D" w:rsidRPr="002B7887" w:rsidRDefault="0015445D" w:rsidP="0085587A">
            <w:pPr>
              <w:jc w:val="center"/>
              <w:rPr>
                <w:sz w:val="20"/>
                <w:szCs w:val="20"/>
              </w:rPr>
            </w:pPr>
            <w:r>
              <w:rPr>
                <w:sz w:val="20"/>
                <w:szCs w:val="20"/>
              </w:rPr>
              <w:t>-140.005</w:t>
            </w:r>
          </w:p>
        </w:tc>
        <w:tc>
          <w:tcPr>
            <w:tcW w:w="1181" w:type="dxa"/>
          </w:tcPr>
          <w:p w:rsidR="0015445D" w:rsidRPr="002B7887" w:rsidRDefault="0015445D" w:rsidP="0085587A">
            <w:pPr>
              <w:jc w:val="center"/>
              <w:rPr>
                <w:sz w:val="20"/>
                <w:szCs w:val="20"/>
              </w:rPr>
            </w:pPr>
            <w:r>
              <w:rPr>
                <w:sz w:val="20"/>
                <w:szCs w:val="20"/>
              </w:rPr>
              <w:t>-38.941</w:t>
            </w:r>
          </w:p>
        </w:tc>
        <w:tc>
          <w:tcPr>
            <w:tcW w:w="1133" w:type="dxa"/>
          </w:tcPr>
          <w:p w:rsidR="0015445D" w:rsidRPr="002B7887" w:rsidRDefault="0015445D" w:rsidP="0085587A">
            <w:pPr>
              <w:jc w:val="center"/>
              <w:rPr>
                <w:sz w:val="20"/>
                <w:szCs w:val="20"/>
              </w:rPr>
            </w:pPr>
            <w:r>
              <w:rPr>
                <w:sz w:val="20"/>
                <w:szCs w:val="20"/>
              </w:rPr>
              <w:t>-89.236</w:t>
            </w:r>
          </w:p>
        </w:tc>
      </w:tr>
      <w:tr w:rsidR="0015445D" w:rsidTr="0085587A">
        <w:trPr>
          <w:trHeight w:val="228"/>
          <w:jc w:val="center"/>
        </w:trPr>
        <w:tc>
          <w:tcPr>
            <w:tcW w:w="1541" w:type="dxa"/>
          </w:tcPr>
          <w:p w:rsidR="0015445D" w:rsidRPr="002B7887" w:rsidRDefault="0015445D" w:rsidP="0085587A">
            <w:pPr>
              <w:rPr>
                <w:sz w:val="20"/>
                <w:szCs w:val="20"/>
              </w:rPr>
            </w:pPr>
            <w:proofErr w:type="spellStart"/>
            <w:r w:rsidRPr="002B7887">
              <w:rPr>
                <w:sz w:val="20"/>
                <w:szCs w:val="20"/>
              </w:rPr>
              <w:t>Prob</w:t>
            </w:r>
            <w:proofErr w:type="spellEnd"/>
            <w:r w:rsidRPr="002B7887">
              <w:rPr>
                <w:sz w:val="20"/>
                <w:szCs w:val="20"/>
              </w:rPr>
              <w:t xml:space="preserve"> &gt; chi2</w:t>
            </w:r>
          </w:p>
        </w:tc>
        <w:tc>
          <w:tcPr>
            <w:tcW w:w="1151" w:type="dxa"/>
          </w:tcPr>
          <w:p w:rsidR="0015445D" w:rsidRPr="002B7887" w:rsidRDefault="0015445D" w:rsidP="0085587A">
            <w:pPr>
              <w:jc w:val="center"/>
              <w:rPr>
                <w:sz w:val="20"/>
                <w:szCs w:val="20"/>
              </w:rPr>
            </w:pPr>
            <w:r>
              <w:rPr>
                <w:sz w:val="20"/>
                <w:szCs w:val="20"/>
              </w:rPr>
              <w:t>.000</w:t>
            </w:r>
          </w:p>
        </w:tc>
        <w:tc>
          <w:tcPr>
            <w:tcW w:w="1141" w:type="dxa"/>
          </w:tcPr>
          <w:p w:rsidR="0015445D" w:rsidRPr="002B7887" w:rsidRDefault="0015445D" w:rsidP="0085587A">
            <w:pPr>
              <w:jc w:val="center"/>
              <w:rPr>
                <w:sz w:val="20"/>
                <w:szCs w:val="20"/>
              </w:rPr>
            </w:pPr>
            <w:r>
              <w:rPr>
                <w:sz w:val="20"/>
                <w:szCs w:val="20"/>
              </w:rPr>
              <w:t>.000</w:t>
            </w:r>
          </w:p>
        </w:tc>
        <w:tc>
          <w:tcPr>
            <w:tcW w:w="1311" w:type="dxa"/>
          </w:tcPr>
          <w:p w:rsidR="0015445D" w:rsidRPr="002B7887" w:rsidRDefault="0015445D" w:rsidP="0085587A">
            <w:pPr>
              <w:jc w:val="center"/>
              <w:rPr>
                <w:sz w:val="20"/>
                <w:szCs w:val="20"/>
              </w:rPr>
            </w:pPr>
            <w:r>
              <w:rPr>
                <w:sz w:val="20"/>
                <w:szCs w:val="20"/>
              </w:rPr>
              <w:t>.000</w:t>
            </w:r>
          </w:p>
        </w:tc>
        <w:tc>
          <w:tcPr>
            <w:tcW w:w="1147" w:type="dxa"/>
          </w:tcPr>
          <w:p w:rsidR="0015445D" w:rsidRPr="002B7887" w:rsidRDefault="0015445D" w:rsidP="0085587A">
            <w:pPr>
              <w:jc w:val="center"/>
              <w:rPr>
                <w:sz w:val="20"/>
                <w:szCs w:val="20"/>
              </w:rPr>
            </w:pPr>
            <w:r>
              <w:rPr>
                <w:sz w:val="20"/>
                <w:szCs w:val="20"/>
              </w:rPr>
              <w:t>.000</w:t>
            </w:r>
          </w:p>
        </w:tc>
        <w:tc>
          <w:tcPr>
            <w:tcW w:w="1181" w:type="dxa"/>
          </w:tcPr>
          <w:p w:rsidR="0015445D" w:rsidRPr="002B7887" w:rsidRDefault="0015445D" w:rsidP="0085587A">
            <w:pPr>
              <w:jc w:val="center"/>
              <w:rPr>
                <w:sz w:val="20"/>
                <w:szCs w:val="20"/>
              </w:rPr>
            </w:pPr>
            <w:r>
              <w:rPr>
                <w:sz w:val="20"/>
                <w:szCs w:val="20"/>
              </w:rPr>
              <w:t>.000</w:t>
            </w:r>
          </w:p>
        </w:tc>
        <w:tc>
          <w:tcPr>
            <w:tcW w:w="1133" w:type="dxa"/>
          </w:tcPr>
          <w:p w:rsidR="0015445D" w:rsidRPr="002B7887" w:rsidRDefault="0015445D" w:rsidP="0085587A">
            <w:pPr>
              <w:jc w:val="center"/>
              <w:rPr>
                <w:sz w:val="20"/>
                <w:szCs w:val="20"/>
              </w:rPr>
            </w:pPr>
            <w:r>
              <w:rPr>
                <w:sz w:val="20"/>
                <w:szCs w:val="20"/>
              </w:rPr>
              <w:t>.000</w:t>
            </w:r>
          </w:p>
        </w:tc>
      </w:tr>
      <w:tr w:rsidR="0015445D" w:rsidTr="0085587A">
        <w:trPr>
          <w:trHeight w:val="228"/>
          <w:jc w:val="center"/>
        </w:trPr>
        <w:tc>
          <w:tcPr>
            <w:tcW w:w="1541" w:type="dxa"/>
            <w:tcBorders>
              <w:bottom w:val="single" w:sz="12" w:space="0" w:color="auto"/>
            </w:tcBorders>
          </w:tcPr>
          <w:p w:rsidR="0015445D" w:rsidRPr="002B7887" w:rsidRDefault="0015445D" w:rsidP="0085587A">
            <w:pPr>
              <w:rPr>
                <w:sz w:val="20"/>
                <w:szCs w:val="20"/>
              </w:rPr>
            </w:pPr>
            <w:r w:rsidRPr="002B7887">
              <w:rPr>
                <w:sz w:val="20"/>
                <w:szCs w:val="20"/>
              </w:rPr>
              <w:t>Pseudo R</w:t>
            </w:r>
            <w:r w:rsidRPr="002B7887">
              <w:rPr>
                <w:sz w:val="20"/>
                <w:szCs w:val="20"/>
                <w:vertAlign w:val="superscript"/>
              </w:rPr>
              <w:t>2</w:t>
            </w:r>
          </w:p>
        </w:tc>
        <w:tc>
          <w:tcPr>
            <w:tcW w:w="1151" w:type="dxa"/>
            <w:tcBorders>
              <w:bottom w:val="single" w:sz="12" w:space="0" w:color="auto"/>
            </w:tcBorders>
          </w:tcPr>
          <w:p w:rsidR="0015445D" w:rsidRPr="002B7887" w:rsidRDefault="0015445D" w:rsidP="0085587A">
            <w:pPr>
              <w:jc w:val="center"/>
              <w:rPr>
                <w:sz w:val="20"/>
                <w:szCs w:val="20"/>
              </w:rPr>
            </w:pPr>
            <w:r>
              <w:rPr>
                <w:sz w:val="20"/>
                <w:szCs w:val="20"/>
              </w:rPr>
              <w:t>.279</w:t>
            </w:r>
          </w:p>
        </w:tc>
        <w:tc>
          <w:tcPr>
            <w:tcW w:w="1141" w:type="dxa"/>
            <w:tcBorders>
              <w:bottom w:val="single" w:sz="12" w:space="0" w:color="auto"/>
            </w:tcBorders>
          </w:tcPr>
          <w:p w:rsidR="0015445D" w:rsidRPr="002B7887" w:rsidRDefault="0015445D" w:rsidP="0085587A">
            <w:pPr>
              <w:jc w:val="center"/>
              <w:rPr>
                <w:sz w:val="20"/>
                <w:szCs w:val="20"/>
              </w:rPr>
            </w:pPr>
            <w:r>
              <w:rPr>
                <w:sz w:val="20"/>
                <w:szCs w:val="20"/>
              </w:rPr>
              <w:t>.202</w:t>
            </w:r>
          </w:p>
        </w:tc>
        <w:tc>
          <w:tcPr>
            <w:tcW w:w="1311" w:type="dxa"/>
            <w:tcBorders>
              <w:bottom w:val="single" w:sz="12" w:space="0" w:color="auto"/>
            </w:tcBorders>
          </w:tcPr>
          <w:p w:rsidR="0015445D" w:rsidRPr="002B7887" w:rsidRDefault="0015445D" w:rsidP="0085587A">
            <w:pPr>
              <w:jc w:val="center"/>
              <w:rPr>
                <w:sz w:val="20"/>
                <w:szCs w:val="20"/>
              </w:rPr>
            </w:pPr>
            <w:r>
              <w:rPr>
                <w:sz w:val="20"/>
                <w:szCs w:val="20"/>
              </w:rPr>
              <w:t>.271</w:t>
            </w:r>
          </w:p>
        </w:tc>
        <w:tc>
          <w:tcPr>
            <w:tcW w:w="1147" w:type="dxa"/>
            <w:tcBorders>
              <w:bottom w:val="single" w:sz="12" w:space="0" w:color="auto"/>
            </w:tcBorders>
          </w:tcPr>
          <w:p w:rsidR="0015445D" w:rsidRPr="002B7887" w:rsidRDefault="0015445D" w:rsidP="0085587A">
            <w:pPr>
              <w:jc w:val="center"/>
              <w:rPr>
                <w:sz w:val="20"/>
                <w:szCs w:val="20"/>
              </w:rPr>
            </w:pPr>
            <w:r>
              <w:rPr>
                <w:sz w:val="20"/>
                <w:szCs w:val="20"/>
              </w:rPr>
              <w:t>.187</w:t>
            </w:r>
          </w:p>
        </w:tc>
        <w:tc>
          <w:tcPr>
            <w:tcW w:w="1181" w:type="dxa"/>
            <w:tcBorders>
              <w:bottom w:val="single" w:sz="12" w:space="0" w:color="auto"/>
            </w:tcBorders>
          </w:tcPr>
          <w:p w:rsidR="0015445D" w:rsidRPr="002B7887" w:rsidRDefault="0015445D" w:rsidP="0085587A">
            <w:pPr>
              <w:jc w:val="center"/>
              <w:rPr>
                <w:sz w:val="20"/>
                <w:szCs w:val="20"/>
              </w:rPr>
            </w:pPr>
            <w:r>
              <w:rPr>
                <w:sz w:val="20"/>
                <w:szCs w:val="20"/>
              </w:rPr>
              <w:t>.415</w:t>
            </w:r>
          </w:p>
        </w:tc>
        <w:tc>
          <w:tcPr>
            <w:tcW w:w="1133" w:type="dxa"/>
            <w:tcBorders>
              <w:bottom w:val="single" w:sz="12" w:space="0" w:color="auto"/>
            </w:tcBorders>
          </w:tcPr>
          <w:p w:rsidR="0015445D" w:rsidRPr="002B7887" w:rsidRDefault="0015445D" w:rsidP="0085587A">
            <w:pPr>
              <w:jc w:val="center"/>
              <w:rPr>
                <w:sz w:val="20"/>
                <w:szCs w:val="20"/>
              </w:rPr>
            </w:pPr>
            <w:r>
              <w:rPr>
                <w:sz w:val="20"/>
                <w:szCs w:val="20"/>
              </w:rPr>
              <w:t>.311</w:t>
            </w:r>
          </w:p>
        </w:tc>
      </w:tr>
    </w:tbl>
    <w:p w:rsidR="0015445D" w:rsidRDefault="0015445D" w:rsidP="0015445D">
      <w:pPr>
        <w:rPr>
          <w:sz w:val="22"/>
          <w:szCs w:val="22"/>
        </w:rPr>
      </w:pPr>
    </w:p>
    <w:p w:rsidR="0015445D" w:rsidRPr="001A1D56" w:rsidRDefault="0015445D" w:rsidP="0015445D">
      <w:r w:rsidRPr="001A1D56">
        <w:t xml:space="preserve">*** </w:t>
      </w:r>
      <w:proofErr w:type="gramStart"/>
      <w:r w:rsidRPr="001A1D56">
        <w:t>significant</w:t>
      </w:r>
      <w:proofErr w:type="gramEnd"/>
      <w:r w:rsidRPr="001A1D56">
        <w:t xml:space="preserve"> at 1%; ** significant at 5%; * significant at 10%</w:t>
      </w:r>
    </w:p>
    <w:p w:rsidR="0015445D" w:rsidRPr="001A1D56" w:rsidRDefault="0015445D" w:rsidP="0015445D">
      <w:r w:rsidRPr="001A1D56">
        <w:t xml:space="preserve">Results reported are from estimation of a </w:t>
      </w:r>
      <w:proofErr w:type="spellStart"/>
      <w:r w:rsidRPr="001A1D56">
        <w:t>logit</w:t>
      </w:r>
      <w:proofErr w:type="spellEnd"/>
      <w:r w:rsidRPr="001A1D56">
        <w:t xml:space="preserve"> model predicting entry into LNG in each year from 1996-2007. Standard errors robust to clustering by firm are reported in the parentheses. Industry dummies and a constant are included in the regressions, but results are not reported in the table.</w:t>
      </w:r>
    </w:p>
    <w:p w:rsidR="0015445D" w:rsidRPr="00BB5204" w:rsidRDefault="0015445D" w:rsidP="0015445D">
      <w:pPr>
        <w:rPr>
          <w:sz w:val="22"/>
          <w:szCs w:val="22"/>
        </w:rPr>
      </w:pPr>
    </w:p>
    <w:p w:rsidR="0015445D" w:rsidRPr="00410822" w:rsidRDefault="0015445D" w:rsidP="0015445D">
      <w:pPr>
        <w:spacing w:line="480" w:lineRule="auto"/>
        <w:ind w:firstLine="180"/>
        <w:jc w:val="both"/>
      </w:pPr>
    </w:p>
    <w:p w:rsidR="0015445D" w:rsidRDefault="0015445D" w:rsidP="0015445D">
      <w:pPr>
        <w:rPr>
          <w:b/>
        </w:rPr>
      </w:pPr>
    </w:p>
    <w:p w:rsidR="0015445D" w:rsidRDefault="0015445D" w:rsidP="0015445D">
      <w:pPr>
        <w:rPr>
          <w:b/>
        </w:rPr>
      </w:pPr>
    </w:p>
    <w:p w:rsidR="0015445D" w:rsidRPr="004F411D" w:rsidRDefault="0015445D" w:rsidP="0015445D">
      <w:pPr>
        <w:ind w:firstLine="720"/>
        <w:jc w:val="center"/>
        <w:rPr>
          <w:b/>
          <w:sz w:val="22"/>
          <w:szCs w:val="22"/>
        </w:rPr>
      </w:pPr>
    </w:p>
    <w:p w:rsidR="0015445D" w:rsidRPr="00CD2003" w:rsidRDefault="0015445D" w:rsidP="0015445D">
      <w:r>
        <w:lastRenderedPageBreak/>
        <w:t xml:space="preserve">Table </w:t>
      </w:r>
      <w:r w:rsidR="00CA163D">
        <w:t>3</w:t>
      </w:r>
      <w:r w:rsidRPr="00CD2003">
        <w:t>:</w:t>
      </w:r>
      <w:r>
        <w:t xml:space="preserve"> Cumulative abnormal returns and speed c</w:t>
      </w:r>
      <w:r w:rsidRPr="00CD2003">
        <w:t>apabilities in Atlantic Basin LNG</w:t>
      </w:r>
    </w:p>
    <w:p w:rsidR="0015445D" w:rsidRDefault="0015445D" w:rsidP="0015445D">
      <w:pPr>
        <w:jc w:val="both"/>
        <w:rPr>
          <w:sz w:val="22"/>
          <w:szCs w:val="22"/>
        </w:rPr>
      </w:pPr>
    </w:p>
    <w:tbl>
      <w:tblPr>
        <w:tblW w:w="0" w:type="auto"/>
        <w:jc w:val="center"/>
        <w:tblInd w:w="-300" w:type="dxa"/>
        <w:tblLook w:val="01E0" w:firstRow="1" w:lastRow="1" w:firstColumn="1" w:lastColumn="1" w:noHBand="0" w:noVBand="0"/>
      </w:tblPr>
      <w:tblGrid>
        <w:gridCol w:w="2100"/>
        <w:gridCol w:w="1230"/>
        <w:gridCol w:w="1230"/>
      </w:tblGrid>
      <w:tr w:rsidR="0015445D" w:rsidTr="0085587A">
        <w:trPr>
          <w:jc w:val="center"/>
        </w:trPr>
        <w:tc>
          <w:tcPr>
            <w:tcW w:w="2100" w:type="dxa"/>
            <w:tcBorders>
              <w:top w:val="single" w:sz="12" w:space="0" w:color="auto"/>
            </w:tcBorders>
          </w:tcPr>
          <w:p w:rsidR="0015445D" w:rsidRPr="00E05E84" w:rsidRDefault="0015445D" w:rsidP="0085587A">
            <w:pPr>
              <w:jc w:val="center"/>
            </w:pPr>
          </w:p>
        </w:tc>
        <w:tc>
          <w:tcPr>
            <w:tcW w:w="1230" w:type="dxa"/>
            <w:tcBorders>
              <w:top w:val="single" w:sz="12" w:space="0" w:color="auto"/>
              <w:bottom w:val="single" w:sz="12" w:space="0" w:color="auto"/>
            </w:tcBorders>
          </w:tcPr>
          <w:p w:rsidR="0015445D" w:rsidRDefault="0015445D" w:rsidP="0085587A">
            <w:pPr>
              <w:jc w:val="center"/>
            </w:pPr>
            <w:r>
              <w:t>I</w:t>
            </w:r>
          </w:p>
        </w:tc>
        <w:tc>
          <w:tcPr>
            <w:tcW w:w="1230" w:type="dxa"/>
            <w:tcBorders>
              <w:top w:val="single" w:sz="12" w:space="0" w:color="auto"/>
              <w:bottom w:val="single" w:sz="12" w:space="0" w:color="auto"/>
            </w:tcBorders>
          </w:tcPr>
          <w:p w:rsidR="0015445D" w:rsidRDefault="0015445D" w:rsidP="0085587A">
            <w:pPr>
              <w:jc w:val="center"/>
            </w:pPr>
            <w:r>
              <w:t>II</w:t>
            </w:r>
          </w:p>
        </w:tc>
      </w:tr>
      <w:tr w:rsidR="0015445D" w:rsidTr="0085587A">
        <w:trPr>
          <w:jc w:val="center"/>
        </w:trPr>
        <w:tc>
          <w:tcPr>
            <w:tcW w:w="2100" w:type="dxa"/>
          </w:tcPr>
          <w:p w:rsidR="0015445D" w:rsidRPr="00E05E84" w:rsidRDefault="0015445D" w:rsidP="0085587A">
            <w:pPr>
              <w:jc w:val="center"/>
            </w:pPr>
          </w:p>
        </w:tc>
        <w:tc>
          <w:tcPr>
            <w:tcW w:w="1230" w:type="dxa"/>
            <w:tcBorders>
              <w:top w:val="single" w:sz="12" w:space="0" w:color="auto"/>
              <w:bottom w:val="single" w:sz="12" w:space="0" w:color="auto"/>
            </w:tcBorders>
          </w:tcPr>
          <w:p w:rsidR="0015445D" w:rsidRDefault="0015445D" w:rsidP="0085587A">
            <w:pPr>
              <w:jc w:val="center"/>
            </w:pPr>
            <w:r>
              <w:t>CAR</w:t>
            </w:r>
          </w:p>
        </w:tc>
        <w:tc>
          <w:tcPr>
            <w:tcW w:w="1230" w:type="dxa"/>
            <w:tcBorders>
              <w:top w:val="single" w:sz="12" w:space="0" w:color="auto"/>
              <w:bottom w:val="single" w:sz="12" w:space="0" w:color="auto"/>
            </w:tcBorders>
          </w:tcPr>
          <w:p w:rsidR="0015445D" w:rsidRDefault="0015445D" w:rsidP="0085587A">
            <w:pPr>
              <w:jc w:val="center"/>
            </w:pPr>
            <w:r>
              <w:t>CAR</w:t>
            </w:r>
          </w:p>
        </w:tc>
      </w:tr>
      <w:tr w:rsidR="0015445D" w:rsidTr="0085587A">
        <w:trPr>
          <w:jc w:val="center"/>
        </w:trPr>
        <w:tc>
          <w:tcPr>
            <w:tcW w:w="2100" w:type="dxa"/>
          </w:tcPr>
          <w:p w:rsidR="0015445D" w:rsidRPr="008C6BA0" w:rsidRDefault="0015445D" w:rsidP="0085587A">
            <w:pPr>
              <w:rPr>
                <w:sz w:val="20"/>
                <w:szCs w:val="20"/>
              </w:rPr>
            </w:pPr>
            <w:r w:rsidRPr="008C6BA0">
              <w:rPr>
                <w:sz w:val="20"/>
                <w:szCs w:val="20"/>
              </w:rPr>
              <w:t>S</w:t>
            </w:r>
            <w:r>
              <w:rPr>
                <w:sz w:val="20"/>
                <w:szCs w:val="20"/>
              </w:rPr>
              <w:t>peed</w:t>
            </w:r>
            <w:r w:rsidRPr="008C6BA0">
              <w:rPr>
                <w:sz w:val="20"/>
                <w:szCs w:val="20"/>
              </w:rPr>
              <w:t xml:space="preserve"> </w:t>
            </w:r>
            <w:r>
              <w:rPr>
                <w:sz w:val="20"/>
                <w:szCs w:val="20"/>
              </w:rPr>
              <w:t xml:space="preserve">Capability </w:t>
            </w:r>
            <w:r w:rsidRPr="008C6BA0">
              <w:rPr>
                <w:position w:val="-4"/>
                <w:sz w:val="20"/>
                <w:szCs w:val="20"/>
              </w:rPr>
              <w:object w:dxaOrig="180" w:dyaOrig="200">
                <v:shape id="_x0000_i1026" type="#_x0000_t75" style="width:8.4pt;height:12pt" o:ole="">
                  <v:imagedata r:id="rId17" o:title=""/>
                </v:shape>
                <o:OLEObject Type="Embed" ProgID="Equation.DSMT4" ShapeID="_x0000_i1026" DrawAspect="Content" ObjectID="_1400390233" r:id="rId18"/>
              </w:object>
            </w:r>
          </w:p>
        </w:tc>
        <w:tc>
          <w:tcPr>
            <w:tcW w:w="1230" w:type="dxa"/>
          </w:tcPr>
          <w:p w:rsidR="0015445D" w:rsidRDefault="0015445D" w:rsidP="0085587A">
            <w:pPr>
              <w:jc w:val="center"/>
              <w:rPr>
                <w:sz w:val="20"/>
                <w:szCs w:val="20"/>
              </w:rPr>
            </w:pPr>
            <w:r>
              <w:rPr>
                <w:sz w:val="20"/>
                <w:szCs w:val="20"/>
              </w:rPr>
              <w:t>.008</w:t>
            </w:r>
          </w:p>
        </w:tc>
        <w:tc>
          <w:tcPr>
            <w:tcW w:w="1230" w:type="dxa"/>
          </w:tcPr>
          <w:p w:rsidR="0015445D" w:rsidRDefault="0015445D" w:rsidP="0085587A">
            <w:pPr>
              <w:jc w:val="center"/>
              <w:rPr>
                <w:sz w:val="20"/>
                <w:szCs w:val="20"/>
              </w:rPr>
            </w:pPr>
          </w:p>
        </w:tc>
      </w:tr>
      <w:tr w:rsidR="0015445D" w:rsidTr="0085587A">
        <w:trPr>
          <w:jc w:val="center"/>
        </w:trPr>
        <w:tc>
          <w:tcPr>
            <w:tcW w:w="2100" w:type="dxa"/>
          </w:tcPr>
          <w:p w:rsidR="0015445D" w:rsidRPr="008C6BA0" w:rsidRDefault="0015445D" w:rsidP="0085587A">
            <w:pPr>
              <w:rPr>
                <w:sz w:val="20"/>
                <w:szCs w:val="20"/>
              </w:rPr>
            </w:pPr>
            <w:r w:rsidRPr="008C6BA0">
              <w:rPr>
                <w:sz w:val="20"/>
                <w:szCs w:val="20"/>
              </w:rPr>
              <w:t xml:space="preserve">   </w:t>
            </w:r>
            <w:proofErr w:type="spellStart"/>
            <w:r>
              <w:rPr>
                <w:sz w:val="20"/>
                <w:szCs w:val="20"/>
              </w:rPr>
              <w:t>LNG|EarlyEntry</w:t>
            </w:r>
            <w:proofErr w:type="spellEnd"/>
          </w:p>
        </w:tc>
        <w:tc>
          <w:tcPr>
            <w:tcW w:w="1230" w:type="dxa"/>
          </w:tcPr>
          <w:p w:rsidR="0015445D" w:rsidRDefault="0015445D" w:rsidP="0085587A">
            <w:pPr>
              <w:jc w:val="center"/>
              <w:rPr>
                <w:sz w:val="20"/>
                <w:szCs w:val="20"/>
              </w:rPr>
            </w:pPr>
            <w:r>
              <w:rPr>
                <w:sz w:val="20"/>
                <w:szCs w:val="20"/>
              </w:rPr>
              <w:t>(.209)</w:t>
            </w:r>
          </w:p>
        </w:tc>
        <w:tc>
          <w:tcPr>
            <w:tcW w:w="1230" w:type="dxa"/>
          </w:tcPr>
          <w:p w:rsidR="0015445D" w:rsidRDefault="0015445D" w:rsidP="0085587A">
            <w:pPr>
              <w:jc w:val="center"/>
              <w:rPr>
                <w:sz w:val="20"/>
                <w:szCs w:val="20"/>
              </w:rPr>
            </w:pPr>
          </w:p>
        </w:tc>
      </w:tr>
      <w:tr w:rsidR="0015445D" w:rsidTr="0085587A">
        <w:trPr>
          <w:jc w:val="center"/>
        </w:trPr>
        <w:tc>
          <w:tcPr>
            <w:tcW w:w="2100" w:type="dxa"/>
          </w:tcPr>
          <w:p w:rsidR="0015445D" w:rsidRPr="008C6BA0" w:rsidRDefault="0015445D" w:rsidP="0085587A">
            <w:pPr>
              <w:rPr>
                <w:sz w:val="20"/>
                <w:szCs w:val="20"/>
              </w:rPr>
            </w:pPr>
            <w:r w:rsidRPr="008C6BA0">
              <w:rPr>
                <w:sz w:val="20"/>
                <w:szCs w:val="20"/>
              </w:rPr>
              <w:t>S</w:t>
            </w:r>
            <w:r>
              <w:rPr>
                <w:sz w:val="20"/>
                <w:szCs w:val="20"/>
              </w:rPr>
              <w:t>peed Capability</w:t>
            </w:r>
            <w:r w:rsidRPr="008C6BA0">
              <w:rPr>
                <w:sz w:val="20"/>
                <w:szCs w:val="20"/>
              </w:rPr>
              <w:t xml:space="preserve"> </w:t>
            </w:r>
            <w:r w:rsidRPr="008C6BA0">
              <w:rPr>
                <w:position w:val="-4"/>
                <w:sz w:val="20"/>
                <w:szCs w:val="20"/>
              </w:rPr>
              <w:object w:dxaOrig="180" w:dyaOrig="200">
                <v:shape id="_x0000_i1027" type="#_x0000_t75" style="width:8.4pt;height:12pt" o:ole="">
                  <v:imagedata r:id="rId17" o:title=""/>
                </v:shape>
                <o:OLEObject Type="Embed" ProgID="Equation.DSMT4" ShapeID="_x0000_i1027" DrawAspect="Content" ObjectID="_1400390234" r:id="rId19"/>
              </w:object>
            </w:r>
          </w:p>
        </w:tc>
        <w:tc>
          <w:tcPr>
            <w:tcW w:w="1230" w:type="dxa"/>
          </w:tcPr>
          <w:p w:rsidR="0015445D" w:rsidRDefault="0015445D" w:rsidP="0085587A">
            <w:pPr>
              <w:jc w:val="center"/>
              <w:rPr>
                <w:sz w:val="20"/>
                <w:szCs w:val="20"/>
              </w:rPr>
            </w:pPr>
            <w:r>
              <w:rPr>
                <w:sz w:val="20"/>
                <w:szCs w:val="20"/>
              </w:rPr>
              <w:t>.021**</w:t>
            </w:r>
          </w:p>
        </w:tc>
        <w:tc>
          <w:tcPr>
            <w:tcW w:w="1230" w:type="dxa"/>
          </w:tcPr>
          <w:p w:rsidR="0015445D" w:rsidRDefault="0015445D" w:rsidP="0085587A">
            <w:pPr>
              <w:jc w:val="center"/>
              <w:rPr>
                <w:sz w:val="20"/>
                <w:szCs w:val="20"/>
              </w:rPr>
            </w:pPr>
          </w:p>
        </w:tc>
      </w:tr>
      <w:tr w:rsidR="0015445D" w:rsidTr="0085587A">
        <w:trPr>
          <w:jc w:val="center"/>
        </w:trPr>
        <w:tc>
          <w:tcPr>
            <w:tcW w:w="2100" w:type="dxa"/>
          </w:tcPr>
          <w:p w:rsidR="0015445D" w:rsidRPr="008C6BA0" w:rsidRDefault="0015445D" w:rsidP="0085587A">
            <w:pPr>
              <w:rPr>
                <w:sz w:val="20"/>
                <w:szCs w:val="20"/>
              </w:rPr>
            </w:pPr>
            <w:r w:rsidRPr="008C6BA0">
              <w:rPr>
                <w:sz w:val="20"/>
                <w:szCs w:val="20"/>
              </w:rPr>
              <w:t xml:space="preserve">   </w:t>
            </w:r>
            <w:proofErr w:type="spellStart"/>
            <w:r>
              <w:rPr>
                <w:sz w:val="20"/>
                <w:szCs w:val="20"/>
              </w:rPr>
              <w:t>LNG|LateEntry</w:t>
            </w:r>
            <w:proofErr w:type="spellEnd"/>
          </w:p>
        </w:tc>
        <w:tc>
          <w:tcPr>
            <w:tcW w:w="1230" w:type="dxa"/>
          </w:tcPr>
          <w:p w:rsidR="0015445D" w:rsidRDefault="0015445D" w:rsidP="0085587A">
            <w:pPr>
              <w:jc w:val="center"/>
              <w:rPr>
                <w:sz w:val="20"/>
                <w:szCs w:val="20"/>
              </w:rPr>
            </w:pPr>
            <w:r>
              <w:rPr>
                <w:sz w:val="20"/>
                <w:szCs w:val="20"/>
              </w:rPr>
              <w:t>(.011)</w:t>
            </w:r>
          </w:p>
        </w:tc>
        <w:tc>
          <w:tcPr>
            <w:tcW w:w="1230" w:type="dxa"/>
          </w:tcPr>
          <w:p w:rsidR="0015445D" w:rsidRDefault="0015445D" w:rsidP="0085587A">
            <w:pPr>
              <w:jc w:val="center"/>
              <w:rPr>
                <w:sz w:val="20"/>
                <w:szCs w:val="20"/>
              </w:rPr>
            </w:pPr>
          </w:p>
        </w:tc>
      </w:tr>
      <w:tr w:rsidR="0015445D" w:rsidTr="0085587A">
        <w:trPr>
          <w:jc w:val="center"/>
        </w:trPr>
        <w:tc>
          <w:tcPr>
            <w:tcW w:w="2100" w:type="dxa"/>
          </w:tcPr>
          <w:p w:rsidR="0015445D" w:rsidRPr="008C6BA0" w:rsidRDefault="0015445D" w:rsidP="0085587A">
            <w:pPr>
              <w:rPr>
                <w:rFonts w:ascii="Courier New" w:hAnsi="Courier New" w:cs="Courier New"/>
                <w:sz w:val="20"/>
                <w:szCs w:val="20"/>
              </w:rPr>
            </w:pPr>
            <w:r>
              <w:rPr>
                <w:sz w:val="20"/>
                <w:szCs w:val="20"/>
              </w:rPr>
              <w:t>Speed Capability</w:t>
            </w:r>
            <w:r w:rsidRPr="008C6BA0">
              <w:rPr>
                <w:sz w:val="20"/>
                <w:szCs w:val="20"/>
              </w:rPr>
              <w:t xml:space="preserve"> </w:t>
            </w:r>
            <w:r w:rsidRPr="008C6BA0">
              <w:rPr>
                <w:position w:val="-4"/>
                <w:sz w:val="20"/>
                <w:szCs w:val="20"/>
              </w:rPr>
              <w:object w:dxaOrig="180" w:dyaOrig="200">
                <v:shape id="_x0000_i1028" type="#_x0000_t75" style="width:8.4pt;height:12pt" o:ole="">
                  <v:imagedata r:id="rId17" o:title=""/>
                </v:shape>
                <o:OLEObject Type="Embed" ProgID="Equation.DSMT4" ShapeID="_x0000_i1028" DrawAspect="Content" ObjectID="_1400390235" r:id="rId20"/>
              </w:object>
            </w:r>
          </w:p>
        </w:tc>
        <w:tc>
          <w:tcPr>
            <w:tcW w:w="1230" w:type="dxa"/>
          </w:tcPr>
          <w:p w:rsidR="0015445D" w:rsidRDefault="0015445D" w:rsidP="0085587A">
            <w:pPr>
              <w:jc w:val="center"/>
              <w:rPr>
                <w:sz w:val="20"/>
                <w:szCs w:val="20"/>
              </w:rPr>
            </w:pPr>
          </w:p>
        </w:tc>
        <w:tc>
          <w:tcPr>
            <w:tcW w:w="1230" w:type="dxa"/>
          </w:tcPr>
          <w:p w:rsidR="0015445D" w:rsidRPr="008C6BA0" w:rsidRDefault="0015445D" w:rsidP="0085587A">
            <w:pPr>
              <w:jc w:val="center"/>
              <w:rPr>
                <w:sz w:val="20"/>
                <w:szCs w:val="20"/>
              </w:rPr>
            </w:pPr>
            <w:r>
              <w:rPr>
                <w:sz w:val="20"/>
                <w:szCs w:val="20"/>
              </w:rPr>
              <w:t>.010</w:t>
            </w:r>
          </w:p>
        </w:tc>
      </w:tr>
      <w:tr w:rsidR="0015445D" w:rsidTr="0085587A">
        <w:trPr>
          <w:jc w:val="center"/>
        </w:trPr>
        <w:tc>
          <w:tcPr>
            <w:tcW w:w="2100" w:type="dxa"/>
          </w:tcPr>
          <w:p w:rsidR="0015445D" w:rsidRPr="008C6BA0" w:rsidRDefault="0015445D" w:rsidP="0085587A">
            <w:pPr>
              <w:rPr>
                <w:sz w:val="20"/>
                <w:szCs w:val="20"/>
              </w:rPr>
            </w:pPr>
            <w:r w:rsidRPr="008C6BA0">
              <w:rPr>
                <w:sz w:val="20"/>
                <w:szCs w:val="20"/>
              </w:rPr>
              <w:t xml:space="preserve">   </w:t>
            </w:r>
            <w:proofErr w:type="spellStart"/>
            <w:r>
              <w:rPr>
                <w:sz w:val="20"/>
                <w:szCs w:val="20"/>
              </w:rPr>
              <w:t>GAS|EarlyEntry</w:t>
            </w:r>
            <w:proofErr w:type="spellEnd"/>
          </w:p>
        </w:tc>
        <w:tc>
          <w:tcPr>
            <w:tcW w:w="1230" w:type="dxa"/>
          </w:tcPr>
          <w:p w:rsidR="0015445D" w:rsidRDefault="0015445D" w:rsidP="0085587A">
            <w:pPr>
              <w:jc w:val="center"/>
              <w:rPr>
                <w:sz w:val="20"/>
                <w:szCs w:val="20"/>
              </w:rPr>
            </w:pPr>
          </w:p>
        </w:tc>
        <w:tc>
          <w:tcPr>
            <w:tcW w:w="1230" w:type="dxa"/>
          </w:tcPr>
          <w:p w:rsidR="0015445D" w:rsidRPr="008C6BA0" w:rsidRDefault="0015445D" w:rsidP="0085587A">
            <w:pPr>
              <w:jc w:val="center"/>
              <w:rPr>
                <w:sz w:val="20"/>
                <w:szCs w:val="20"/>
              </w:rPr>
            </w:pPr>
            <w:r>
              <w:rPr>
                <w:sz w:val="20"/>
                <w:szCs w:val="20"/>
              </w:rPr>
              <w:t>(.033</w:t>
            </w:r>
            <w:r w:rsidRPr="008C6BA0">
              <w:rPr>
                <w:sz w:val="20"/>
                <w:szCs w:val="20"/>
              </w:rPr>
              <w:t>)</w:t>
            </w:r>
          </w:p>
        </w:tc>
      </w:tr>
      <w:tr w:rsidR="0015445D" w:rsidTr="0085587A">
        <w:trPr>
          <w:jc w:val="center"/>
        </w:trPr>
        <w:tc>
          <w:tcPr>
            <w:tcW w:w="2100" w:type="dxa"/>
          </w:tcPr>
          <w:p w:rsidR="0015445D" w:rsidRPr="008C6BA0" w:rsidRDefault="0015445D" w:rsidP="0085587A">
            <w:pPr>
              <w:rPr>
                <w:sz w:val="20"/>
                <w:szCs w:val="20"/>
              </w:rPr>
            </w:pPr>
            <w:r>
              <w:rPr>
                <w:sz w:val="20"/>
                <w:szCs w:val="20"/>
              </w:rPr>
              <w:t>Speed Capability</w:t>
            </w:r>
            <w:r w:rsidRPr="008C6BA0">
              <w:rPr>
                <w:sz w:val="20"/>
                <w:szCs w:val="20"/>
              </w:rPr>
              <w:t xml:space="preserve"> </w:t>
            </w:r>
            <w:r w:rsidRPr="008C6BA0">
              <w:rPr>
                <w:position w:val="-4"/>
                <w:sz w:val="20"/>
                <w:szCs w:val="20"/>
              </w:rPr>
              <w:object w:dxaOrig="180" w:dyaOrig="200">
                <v:shape id="_x0000_i1029" type="#_x0000_t75" style="width:8.4pt;height:12pt" o:ole="">
                  <v:imagedata r:id="rId17" o:title=""/>
                </v:shape>
                <o:OLEObject Type="Embed" ProgID="Equation.DSMT4" ShapeID="_x0000_i1029" DrawAspect="Content" ObjectID="_1400390236" r:id="rId21"/>
              </w:object>
            </w:r>
          </w:p>
        </w:tc>
        <w:tc>
          <w:tcPr>
            <w:tcW w:w="1230" w:type="dxa"/>
          </w:tcPr>
          <w:p w:rsidR="0015445D" w:rsidRDefault="0015445D" w:rsidP="0085587A">
            <w:pPr>
              <w:jc w:val="center"/>
              <w:rPr>
                <w:sz w:val="20"/>
                <w:szCs w:val="20"/>
              </w:rPr>
            </w:pPr>
          </w:p>
        </w:tc>
        <w:tc>
          <w:tcPr>
            <w:tcW w:w="1230" w:type="dxa"/>
          </w:tcPr>
          <w:p w:rsidR="0015445D" w:rsidRPr="008C6BA0" w:rsidRDefault="0015445D" w:rsidP="0085587A">
            <w:pPr>
              <w:jc w:val="center"/>
              <w:rPr>
                <w:sz w:val="20"/>
                <w:szCs w:val="20"/>
              </w:rPr>
            </w:pPr>
            <w:r>
              <w:rPr>
                <w:sz w:val="20"/>
                <w:szCs w:val="20"/>
              </w:rPr>
              <w:t>.025</w:t>
            </w:r>
            <w:r w:rsidRPr="008C6BA0">
              <w:rPr>
                <w:sz w:val="20"/>
                <w:szCs w:val="20"/>
              </w:rPr>
              <w:t>**</w:t>
            </w:r>
          </w:p>
        </w:tc>
      </w:tr>
      <w:tr w:rsidR="0015445D" w:rsidTr="0085587A">
        <w:trPr>
          <w:jc w:val="center"/>
        </w:trPr>
        <w:tc>
          <w:tcPr>
            <w:tcW w:w="2100" w:type="dxa"/>
          </w:tcPr>
          <w:p w:rsidR="0015445D" w:rsidRPr="008C6BA0" w:rsidRDefault="0015445D" w:rsidP="0085587A">
            <w:pPr>
              <w:rPr>
                <w:sz w:val="20"/>
                <w:szCs w:val="20"/>
              </w:rPr>
            </w:pPr>
            <w:r w:rsidRPr="008C6BA0">
              <w:rPr>
                <w:sz w:val="20"/>
                <w:szCs w:val="20"/>
              </w:rPr>
              <w:t xml:space="preserve">   </w:t>
            </w:r>
            <w:proofErr w:type="spellStart"/>
            <w:r>
              <w:rPr>
                <w:sz w:val="20"/>
                <w:szCs w:val="20"/>
              </w:rPr>
              <w:t>GAS|LateEntry</w:t>
            </w:r>
            <w:proofErr w:type="spellEnd"/>
          </w:p>
        </w:tc>
        <w:tc>
          <w:tcPr>
            <w:tcW w:w="1230" w:type="dxa"/>
          </w:tcPr>
          <w:p w:rsidR="0015445D" w:rsidRPr="008C6BA0" w:rsidRDefault="0015445D" w:rsidP="0085587A">
            <w:pPr>
              <w:jc w:val="center"/>
              <w:rPr>
                <w:sz w:val="20"/>
                <w:szCs w:val="20"/>
              </w:rPr>
            </w:pPr>
          </w:p>
        </w:tc>
        <w:tc>
          <w:tcPr>
            <w:tcW w:w="1230" w:type="dxa"/>
          </w:tcPr>
          <w:p w:rsidR="0015445D" w:rsidRPr="008C6BA0" w:rsidRDefault="0015445D" w:rsidP="0085587A">
            <w:pPr>
              <w:jc w:val="center"/>
              <w:rPr>
                <w:sz w:val="20"/>
                <w:szCs w:val="20"/>
              </w:rPr>
            </w:pPr>
            <w:r w:rsidRPr="008C6BA0">
              <w:rPr>
                <w:sz w:val="20"/>
                <w:szCs w:val="20"/>
              </w:rPr>
              <w:t>(.012)</w:t>
            </w:r>
          </w:p>
        </w:tc>
      </w:tr>
      <w:tr w:rsidR="0015445D" w:rsidTr="0085587A">
        <w:trPr>
          <w:jc w:val="center"/>
        </w:trPr>
        <w:tc>
          <w:tcPr>
            <w:tcW w:w="2100" w:type="dxa"/>
          </w:tcPr>
          <w:p w:rsidR="0015445D" w:rsidRPr="008C6BA0" w:rsidRDefault="0015445D" w:rsidP="0085587A">
            <w:pPr>
              <w:rPr>
                <w:sz w:val="20"/>
                <w:szCs w:val="20"/>
              </w:rPr>
            </w:pPr>
            <w:r>
              <w:rPr>
                <w:sz w:val="20"/>
                <w:szCs w:val="20"/>
              </w:rPr>
              <w:t>Speed Capability</w:t>
            </w:r>
            <w:r w:rsidRPr="008C6BA0">
              <w:rPr>
                <w:sz w:val="20"/>
                <w:szCs w:val="20"/>
              </w:rPr>
              <w:t xml:space="preserve"> </w:t>
            </w:r>
            <w:r w:rsidRPr="008C6BA0">
              <w:rPr>
                <w:position w:val="-4"/>
                <w:sz w:val="20"/>
                <w:szCs w:val="20"/>
              </w:rPr>
              <w:object w:dxaOrig="180" w:dyaOrig="200">
                <v:shape id="_x0000_i1030" type="#_x0000_t75" style="width:8.4pt;height:12pt" o:ole="">
                  <v:imagedata r:id="rId17" o:title=""/>
                </v:shape>
                <o:OLEObject Type="Embed" ProgID="Equation.DSMT4" ShapeID="_x0000_i1030" DrawAspect="Content" ObjectID="_1400390237" r:id="rId22"/>
              </w:object>
            </w:r>
          </w:p>
        </w:tc>
        <w:tc>
          <w:tcPr>
            <w:tcW w:w="1230" w:type="dxa"/>
          </w:tcPr>
          <w:p w:rsidR="0015445D" w:rsidRPr="008C6BA0" w:rsidRDefault="0015445D" w:rsidP="0085587A">
            <w:pPr>
              <w:jc w:val="center"/>
              <w:rPr>
                <w:sz w:val="20"/>
                <w:szCs w:val="20"/>
              </w:rPr>
            </w:pPr>
          </w:p>
        </w:tc>
        <w:tc>
          <w:tcPr>
            <w:tcW w:w="1230" w:type="dxa"/>
          </w:tcPr>
          <w:p w:rsidR="0015445D" w:rsidRPr="008C6BA0" w:rsidRDefault="0015445D" w:rsidP="0085587A">
            <w:pPr>
              <w:jc w:val="center"/>
              <w:rPr>
                <w:sz w:val="20"/>
                <w:szCs w:val="20"/>
              </w:rPr>
            </w:pPr>
            <w:r w:rsidRPr="008C6BA0">
              <w:rPr>
                <w:sz w:val="20"/>
                <w:szCs w:val="20"/>
              </w:rPr>
              <w:t>.0</w:t>
            </w:r>
            <w:r>
              <w:rPr>
                <w:sz w:val="20"/>
                <w:szCs w:val="20"/>
              </w:rPr>
              <w:t>04</w:t>
            </w:r>
          </w:p>
        </w:tc>
      </w:tr>
      <w:tr w:rsidR="0015445D" w:rsidTr="0085587A">
        <w:trPr>
          <w:jc w:val="center"/>
        </w:trPr>
        <w:tc>
          <w:tcPr>
            <w:tcW w:w="2100" w:type="dxa"/>
          </w:tcPr>
          <w:p w:rsidR="0015445D" w:rsidRPr="008C6BA0" w:rsidRDefault="0015445D" w:rsidP="0085587A">
            <w:pPr>
              <w:rPr>
                <w:sz w:val="20"/>
                <w:szCs w:val="20"/>
              </w:rPr>
            </w:pPr>
            <w:r w:rsidRPr="008C6BA0">
              <w:rPr>
                <w:sz w:val="20"/>
                <w:szCs w:val="20"/>
              </w:rPr>
              <w:t xml:space="preserve">   </w:t>
            </w:r>
            <w:proofErr w:type="spellStart"/>
            <w:r>
              <w:rPr>
                <w:sz w:val="20"/>
                <w:szCs w:val="20"/>
              </w:rPr>
              <w:t>LIQ|EarlyEntry</w:t>
            </w:r>
            <w:proofErr w:type="spellEnd"/>
          </w:p>
        </w:tc>
        <w:tc>
          <w:tcPr>
            <w:tcW w:w="1230" w:type="dxa"/>
          </w:tcPr>
          <w:p w:rsidR="0015445D" w:rsidRDefault="0015445D" w:rsidP="0085587A">
            <w:pPr>
              <w:jc w:val="center"/>
              <w:rPr>
                <w:sz w:val="20"/>
                <w:szCs w:val="20"/>
              </w:rPr>
            </w:pPr>
          </w:p>
        </w:tc>
        <w:tc>
          <w:tcPr>
            <w:tcW w:w="1230" w:type="dxa"/>
          </w:tcPr>
          <w:p w:rsidR="0015445D" w:rsidRPr="008C6BA0" w:rsidRDefault="0015445D" w:rsidP="0085587A">
            <w:pPr>
              <w:jc w:val="center"/>
              <w:rPr>
                <w:sz w:val="20"/>
                <w:szCs w:val="20"/>
              </w:rPr>
            </w:pPr>
            <w:r>
              <w:rPr>
                <w:sz w:val="20"/>
                <w:szCs w:val="20"/>
              </w:rPr>
              <w:t>(.039</w:t>
            </w:r>
            <w:r w:rsidRPr="008C6BA0">
              <w:rPr>
                <w:sz w:val="20"/>
                <w:szCs w:val="20"/>
              </w:rPr>
              <w:t>)</w:t>
            </w:r>
          </w:p>
        </w:tc>
      </w:tr>
      <w:tr w:rsidR="0015445D" w:rsidTr="0085587A">
        <w:trPr>
          <w:jc w:val="center"/>
        </w:trPr>
        <w:tc>
          <w:tcPr>
            <w:tcW w:w="2100" w:type="dxa"/>
          </w:tcPr>
          <w:p w:rsidR="0015445D" w:rsidRPr="008C6BA0" w:rsidRDefault="0015445D" w:rsidP="0085587A">
            <w:pPr>
              <w:rPr>
                <w:sz w:val="20"/>
                <w:szCs w:val="20"/>
              </w:rPr>
            </w:pPr>
            <w:r>
              <w:rPr>
                <w:sz w:val="20"/>
                <w:szCs w:val="20"/>
              </w:rPr>
              <w:t>Speed Capability</w:t>
            </w:r>
            <w:r w:rsidRPr="008C6BA0">
              <w:rPr>
                <w:sz w:val="20"/>
                <w:szCs w:val="20"/>
              </w:rPr>
              <w:t xml:space="preserve"> </w:t>
            </w:r>
            <w:r w:rsidRPr="008C6BA0">
              <w:rPr>
                <w:position w:val="-4"/>
                <w:sz w:val="20"/>
                <w:szCs w:val="20"/>
              </w:rPr>
              <w:object w:dxaOrig="180" w:dyaOrig="200">
                <v:shape id="_x0000_i1031" type="#_x0000_t75" style="width:8.4pt;height:12pt" o:ole="">
                  <v:imagedata r:id="rId17" o:title=""/>
                </v:shape>
                <o:OLEObject Type="Embed" ProgID="Equation.DSMT4" ShapeID="_x0000_i1031" DrawAspect="Content" ObjectID="_1400390238" r:id="rId23"/>
              </w:object>
            </w:r>
          </w:p>
        </w:tc>
        <w:tc>
          <w:tcPr>
            <w:tcW w:w="1230" w:type="dxa"/>
          </w:tcPr>
          <w:p w:rsidR="0015445D" w:rsidRDefault="0015445D" w:rsidP="0085587A">
            <w:pPr>
              <w:jc w:val="center"/>
              <w:rPr>
                <w:sz w:val="20"/>
                <w:szCs w:val="20"/>
              </w:rPr>
            </w:pPr>
          </w:p>
        </w:tc>
        <w:tc>
          <w:tcPr>
            <w:tcW w:w="1230" w:type="dxa"/>
          </w:tcPr>
          <w:p w:rsidR="0015445D" w:rsidRPr="008C6BA0" w:rsidRDefault="0015445D" w:rsidP="0085587A">
            <w:pPr>
              <w:jc w:val="center"/>
              <w:rPr>
                <w:sz w:val="20"/>
                <w:szCs w:val="20"/>
              </w:rPr>
            </w:pPr>
            <w:r>
              <w:rPr>
                <w:sz w:val="20"/>
                <w:szCs w:val="20"/>
              </w:rPr>
              <w:t>.008</w:t>
            </w:r>
          </w:p>
        </w:tc>
      </w:tr>
      <w:tr w:rsidR="0015445D" w:rsidTr="0085587A">
        <w:trPr>
          <w:jc w:val="center"/>
        </w:trPr>
        <w:tc>
          <w:tcPr>
            <w:tcW w:w="2100" w:type="dxa"/>
          </w:tcPr>
          <w:p w:rsidR="0015445D" w:rsidRPr="008C6BA0" w:rsidRDefault="0015445D" w:rsidP="0085587A">
            <w:pPr>
              <w:rPr>
                <w:sz w:val="20"/>
                <w:szCs w:val="20"/>
              </w:rPr>
            </w:pPr>
            <w:r w:rsidRPr="008C6BA0">
              <w:rPr>
                <w:sz w:val="20"/>
                <w:szCs w:val="20"/>
              </w:rPr>
              <w:t xml:space="preserve">   </w:t>
            </w:r>
            <w:proofErr w:type="spellStart"/>
            <w:r>
              <w:rPr>
                <w:sz w:val="20"/>
                <w:szCs w:val="20"/>
              </w:rPr>
              <w:t>LIQ|LateEntry</w:t>
            </w:r>
            <w:proofErr w:type="spellEnd"/>
          </w:p>
        </w:tc>
        <w:tc>
          <w:tcPr>
            <w:tcW w:w="1230" w:type="dxa"/>
          </w:tcPr>
          <w:p w:rsidR="0015445D" w:rsidRDefault="0015445D" w:rsidP="0085587A">
            <w:pPr>
              <w:jc w:val="center"/>
              <w:rPr>
                <w:sz w:val="20"/>
                <w:szCs w:val="20"/>
              </w:rPr>
            </w:pPr>
          </w:p>
        </w:tc>
        <w:tc>
          <w:tcPr>
            <w:tcW w:w="1230" w:type="dxa"/>
          </w:tcPr>
          <w:p w:rsidR="0015445D" w:rsidRPr="008C6BA0" w:rsidRDefault="0015445D" w:rsidP="0085587A">
            <w:pPr>
              <w:jc w:val="center"/>
              <w:rPr>
                <w:sz w:val="20"/>
                <w:szCs w:val="20"/>
              </w:rPr>
            </w:pPr>
            <w:r>
              <w:rPr>
                <w:sz w:val="20"/>
                <w:szCs w:val="20"/>
              </w:rPr>
              <w:t>(.021</w:t>
            </w:r>
            <w:r w:rsidRPr="008C6BA0">
              <w:rPr>
                <w:sz w:val="20"/>
                <w:szCs w:val="20"/>
              </w:rPr>
              <w:t>)</w:t>
            </w:r>
          </w:p>
        </w:tc>
      </w:tr>
      <w:tr w:rsidR="0015445D" w:rsidRPr="008C6BA0" w:rsidTr="0085587A">
        <w:trPr>
          <w:jc w:val="center"/>
        </w:trPr>
        <w:tc>
          <w:tcPr>
            <w:tcW w:w="2100" w:type="dxa"/>
          </w:tcPr>
          <w:p w:rsidR="0015445D" w:rsidRPr="008C6BA0" w:rsidRDefault="0015445D" w:rsidP="0085587A">
            <w:pPr>
              <w:rPr>
                <w:sz w:val="20"/>
                <w:szCs w:val="20"/>
              </w:rPr>
            </w:pPr>
            <w:r w:rsidRPr="008C6BA0">
              <w:rPr>
                <w:sz w:val="20"/>
                <w:szCs w:val="20"/>
              </w:rPr>
              <w:t>Firm Effects</w:t>
            </w:r>
          </w:p>
        </w:tc>
        <w:tc>
          <w:tcPr>
            <w:tcW w:w="1230" w:type="dxa"/>
          </w:tcPr>
          <w:p w:rsidR="0015445D" w:rsidRPr="008C6BA0" w:rsidRDefault="0015445D" w:rsidP="0085587A">
            <w:pPr>
              <w:jc w:val="center"/>
              <w:rPr>
                <w:sz w:val="20"/>
                <w:szCs w:val="20"/>
              </w:rPr>
            </w:pPr>
            <w:r>
              <w:rPr>
                <w:sz w:val="20"/>
                <w:szCs w:val="20"/>
              </w:rPr>
              <w:t>Yes</w:t>
            </w:r>
          </w:p>
        </w:tc>
        <w:tc>
          <w:tcPr>
            <w:tcW w:w="1230" w:type="dxa"/>
          </w:tcPr>
          <w:p w:rsidR="0015445D" w:rsidRPr="008C6BA0" w:rsidRDefault="0015445D" w:rsidP="0085587A">
            <w:pPr>
              <w:jc w:val="center"/>
              <w:rPr>
                <w:sz w:val="20"/>
                <w:szCs w:val="20"/>
              </w:rPr>
            </w:pPr>
            <w:r w:rsidRPr="008C6BA0">
              <w:rPr>
                <w:sz w:val="20"/>
                <w:szCs w:val="20"/>
              </w:rPr>
              <w:t>Yes</w:t>
            </w:r>
          </w:p>
        </w:tc>
      </w:tr>
      <w:tr w:rsidR="0015445D" w:rsidRPr="008C6BA0" w:rsidTr="0085587A">
        <w:trPr>
          <w:jc w:val="center"/>
        </w:trPr>
        <w:tc>
          <w:tcPr>
            <w:tcW w:w="2100" w:type="dxa"/>
          </w:tcPr>
          <w:p w:rsidR="0015445D" w:rsidRPr="008C6BA0" w:rsidRDefault="0015445D" w:rsidP="0085587A">
            <w:pPr>
              <w:rPr>
                <w:sz w:val="20"/>
                <w:szCs w:val="20"/>
              </w:rPr>
            </w:pPr>
          </w:p>
        </w:tc>
        <w:tc>
          <w:tcPr>
            <w:tcW w:w="1230" w:type="dxa"/>
          </w:tcPr>
          <w:p w:rsidR="0015445D" w:rsidRPr="008C6BA0" w:rsidRDefault="0015445D" w:rsidP="0085587A">
            <w:pPr>
              <w:jc w:val="center"/>
              <w:rPr>
                <w:sz w:val="20"/>
                <w:szCs w:val="20"/>
              </w:rPr>
            </w:pPr>
          </w:p>
        </w:tc>
        <w:tc>
          <w:tcPr>
            <w:tcW w:w="1230" w:type="dxa"/>
          </w:tcPr>
          <w:p w:rsidR="0015445D" w:rsidRPr="008C6BA0" w:rsidRDefault="0015445D" w:rsidP="0085587A">
            <w:pPr>
              <w:jc w:val="center"/>
              <w:rPr>
                <w:sz w:val="20"/>
                <w:szCs w:val="20"/>
              </w:rPr>
            </w:pPr>
          </w:p>
        </w:tc>
      </w:tr>
      <w:tr w:rsidR="0015445D" w:rsidTr="0085587A">
        <w:trPr>
          <w:jc w:val="center"/>
        </w:trPr>
        <w:tc>
          <w:tcPr>
            <w:tcW w:w="2100" w:type="dxa"/>
          </w:tcPr>
          <w:p w:rsidR="0015445D" w:rsidRPr="008C6BA0" w:rsidRDefault="0015445D" w:rsidP="0085587A">
            <w:pPr>
              <w:rPr>
                <w:sz w:val="20"/>
                <w:szCs w:val="20"/>
              </w:rPr>
            </w:pPr>
            <w:r>
              <w:rPr>
                <w:sz w:val="20"/>
                <w:szCs w:val="20"/>
              </w:rPr>
              <w:t>Industry</w:t>
            </w:r>
            <w:r w:rsidRPr="008C6BA0">
              <w:rPr>
                <w:sz w:val="20"/>
                <w:szCs w:val="20"/>
              </w:rPr>
              <w:t xml:space="preserve"> Effects</w:t>
            </w:r>
          </w:p>
        </w:tc>
        <w:tc>
          <w:tcPr>
            <w:tcW w:w="1230" w:type="dxa"/>
          </w:tcPr>
          <w:p w:rsidR="0015445D" w:rsidRPr="008C6BA0" w:rsidRDefault="0015445D" w:rsidP="0085587A">
            <w:pPr>
              <w:jc w:val="center"/>
              <w:rPr>
                <w:sz w:val="20"/>
                <w:szCs w:val="20"/>
              </w:rPr>
            </w:pPr>
            <w:r>
              <w:rPr>
                <w:sz w:val="20"/>
                <w:szCs w:val="20"/>
              </w:rPr>
              <w:t>Yes</w:t>
            </w:r>
          </w:p>
        </w:tc>
        <w:tc>
          <w:tcPr>
            <w:tcW w:w="1230" w:type="dxa"/>
          </w:tcPr>
          <w:p w:rsidR="0015445D" w:rsidRPr="008C6BA0" w:rsidRDefault="0015445D" w:rsidP="0085587A">
            <w:pPr>
              <w:jc w:val="center"/>
              <w:rPr>
                <w:sz w:val="20"/>
                <w:szCs w:val="20"/>
              </w:rPr>
            </w:pPr>
            <w:r w:rsidRPr="008C6BA0">
              <w:rPr>
                <w:sz w:val="20"/>
                <w:szCs w:val="20"/>
              </w:rPr>
              <w:t>Yes</w:t>
            </w:r>
          </w:p>
        </w:tc>
      </w:tr>
      <w:tr w:rsidR="0015445D" w:rsidTr="0085587A">
        <w:trPr>
          <w:jc w:val="center"/>
        </w:trPr>
        <w:tc>
          <w:tcPr>
            <w:tcW w:w="2100" w:type="dxa"/>
          </w:tcPr>
          <w:p w:rsidR="0015445D" w:rsidRPr="008C6BA0" w:rsidRDefault="0015445D" w:rsidP="0085587A">
            <w:pPr>
              <w:rPr>
                <w:sz w:val="20"/>
                <w:szCs w:val="20"/>
              </w:rPr>
            </w:pPr>
          </w:p>
        </w:tc>
        <w:tc>
          <w:tcPr>
            <w:tcW w:w="1230" w:type="dxa"/>
          </w:tcPr>
          <w:p w:rsidR="0015445D" w:rsidRPr="008C6BA0" w:rsidRDefault="0015445D" w:rsidP="0085587A">
            <w:pPr>
              <w:jc w:val="center"/>
              <w:rPr>
                <w:sz w:val="20"/>
                <w:szCs w:val="20"/>
              </w:rPr>
            </w:pPr>
          </w:p>
        </w:tc>
        <w:tc>
          <w:tcPr>
            <w:tcW w:w="1230" w:type="dxa"/>
          </w:tcPr>
          <w:p w:rsidR="0015445D" w:rsidRPr="008C6BA0" w:rsidRDefault="0015445D" w:rsidP="0085587A">
            <w:pPr>
              <w:jc w:val="center"/>
              <w:rPr>
                <w:sz w:val="20"/>
                <w:szCs w:val="20"/>
              </w:rPr>
            </w:pPr>
          </w:p>
        </w:tc>
      </w:tr>
      <w:tr w:rsidR="0015445D" w:rsidTr="0085587A">
        <w:trPr>
          <w:jc w:val="center"/>
        </w:trPr>
        <w:tc>
          <w:tcPr>
            <w:tcW w:w="2100" w:type="dxa"/>
            <w:tcBorders>
              <w:bottom w:val="single" w:sz="12" w:space="0" w:color="auto"/>
            </w:tcBorders>
          </w:tcPr>
          <w:p w:rsidR="0015445D" w:rsidRPr="008C6BA0" w:rsidRDefault="0015445D" w:rsidP="0085587A">
            <w:pPr>
              <w:rPr>
                <w:sz w:val="20"/>
                <w:szCs w:val="20"/>
              </w:rPr>
            </w:pPr>
            <w:r>
              <w:rPr>
                <w:sz w:val="20"/>
                <w:szCs w:val="20"/>
              </w:rPr>
              <w:t>Constant</w:t>
            </w:r>
          </w:p>
        </w:tc>
        <w:tc>
          <w:tcPr>
            <w:tcW w:w="1230" w:type="dxa"/>
            <w:tcBorders>
              <w:bottom w:val="single" w:sz="12" w:space="0" w:color="auto"/>
            </w:tcBorders>
          </w:tcPr>
          <w:p w:rsidR="0015445D" w:rsidRDefault="0015445D" w:rsidP="0085587A">
            <w:pPr>
              <w:jc w:val="center"/>
              <w:rPr>
                <w:sz w:val="20"/>
                <w:szCs w:val="20"/>
              </w:rPr>
            </w:pPr>
            <w:r>
              <w:rPr>
                <w:sz w:val="20"/>
                <w:szCs w:val="20"/>
              </w:rPr>
              <w:t>-.037</w:t>
            </w:r>
          </w:p>
          <w:p w:rsidR="0015445D" w:rsidRPr="008C6BA0" w:rsidRDefault="0015445D" w:rsidP="0085587A">
            <w:pPr>
              <w:jc w:val="center"/>
              <w:rPr>
                <w:sz w:val="20"/>
                <w:szCs w:val="20"/>
              </w:rPr>
            </w:pPr>
            <w:r>
              <w:rPr>
                <w:sz w:val="20"/>
                <w:szCs w:val="20"/>
              </w:rPr>
              <w:t>(.042)</w:t>
            </w:r>
          </w:p>
        </w:tc>
        <w:tc>
          <w:tcPr>
            <w:tcW w:w="1230" w:type="dxa"/>
            <w:tcBorders>
              <w:bottom w:val="single" w:sz="12" w:space="0" w:color="auto"/>
            </w:tcBorders>
          </w:tcPr>
          <w:p w:rsidR="0015445D" w:rsidRDefault="0015445D" w:rsidP="0085587A">
            <w:pPr>
              <w:jc w:val="center"/>
              <w:rPr>
                <w:sz w:val="20"/>
                <w:szCs w:val="20"/>
              </w:rPr>
            </w:pPr>
            <w:r>
              <w:rPr>
                <w:sz w:val="20"/>
                <w:szCs w:val="20"/>
              </w:rPr>
              <w:t>-.046</w:t>
            </w:r>
          </w:p>
          <w:p w:rsidR="0015445D" w:rsidRPr="008C6BA0" w:rsidRDefault="0015445D" w:rsidP="0085587A">
            <w:pPr>
              <w:jc w:val="center"/>
              <w:rPr>
                <w:sz w:val="20"/>
                <w:szCs w:val="20"/>
              </w:rPr>
            </w:pPr>
            <w:r>
              <w:rPr>
                <w:sz w:val="20"/>
                <w:szCs w:val="20"/>
              </w:rPr>
              <w:t>(.044)</w:t>
            </w:r>
          </w:p>
        </w:tc>
      </w:tr>
      <w:tr w:rsidR="0015445D" w:rsidTr="0085587A">
        <w:trPr>
          <w:jc w:val="center"/>
        </w:trPr>
        <w:tc>
          <w:tcPr>
            <w:tcW w:w="2100" w:type="dxa"/>
            <w:tcBorders>
              <w:top w:val="single" w:sz="12" w:space="0" w:color="auto"/>
            </w:tcBorders>
          </w:tcPr>
          <w:p w:rsidR="0015445D" w:rsidRPr="008C6BA0" w:rsidRDefault="0015445D" w:rsidP="0085587A">
            <w:pPr>
              <w:rPr>
                <w:sz w:val="20"/>
                <w:szCs w:val="20"/>
              </w:rPr>
            </w:pPr>
            <w:r>
              <w:rPr>
                <w:sz w:val="20"/>
                <w:szCs w:val="20"/>
              </w:rPr>
              <w:t>N</w:t>
            </w:r>
          </w:p>
        </w:tc>
        <w:tc>
          <w:tcPr>
            <w:tcW w:w="1230" w:type="dxa"/>
            <w:tcBorders>
              <w:top w:val="single" w:sz="12" w:space="0" w:color="auto"/>
            </w:tcBorders>
          </w:tcPr>
          <w:p w:rsidR="0015445D" w:rsidRDefault="0015445D" w:rsidP="0085587A">
            <w:pPr>
              <w:jc w:val="center"/>
              <w:rPr>
                <w:sz w:val="20"/>
                <w:szCs w:val="20"/>
              </w:rPr>
            </w:pPr>
            <w:r>
              <w:rPr>
                <w:sz w:val="20"/>
                <w:szCs w:val="20"/>
              </w:rPr>
              <w:t>171</w:t>
            </w:r>
          </w:p>
        </w:tc>
        <w:tc>
          <w:tcPr>
            <w:tcW w:w="1230" w:type="dxa"/>
            <w:tcBorders>
              <w:top w:val="single" w:sz="12" w:space="0" w:color="auto"/>
            </w:tcBorders>
          </w:tcPr>
          <w:p w:rsidR="0015445D" w:rsidRPr="008C6BA0" w:rsidRDefault="0015445D" w:rsidP="0085587A">
            <w:pPr>
              <w:jc w:val="center"/>
              <w:rPr>
                <w:sz w:val="20"/>
                <w:szCs w:val="20"/>
              </w:rPr>
            </w:pPr>
            <w:r>
              <w:rPr>
                <w:sz w:val="20"/>
                <w:szCs w:val="20"/>
              </w:rPr>
              <w:t>171</w:t>
            </w:r>
          </w:p>
        </w:tc>
      </w:tr>
      <w:tr w:rsidR="0015445D" w:rsidTr="0085587A">
        <w:trPr>
          <w:jc w:val="center"/>
        </w:trPr>
        <w:tc>
          <w:tcPr>
            <w:tcW w:w="2100" w:type="dxa"/>
          </w:tcPr>
          <w:p w:rsidR="0015445D" w:rsidRPr="008C6BA0" w:rsidRDefault="0015445D" w:rsidP="0085587A">
            <w:pPr>
              <w:rPr>
                <w:sz w:val="20"/>
                <w:szCs w:val="20"/>
                <w:vertAlign w:val="superscript"/>
              </w:rPr>
            </w:pPr>
            <w:r w:rsidRPr="008C6BA0">
              <w:rPr>
                <w:sz w:val="20"/>
                <w:szCs w:val="20"/>
              </w:rPr>
              <w:t>R</w:t>
            </w:r>
            <w:r w:rsidRPr="008C6BA0">
              <w:rPr>
                <w:sz w:val="20"/>
                <w:szCs w:val="20"/>
                <w:vertAlign w:val="superscript"/>
              </w:rPr>
              <w:t>2</w:t>
            </w:r>
          </w:p>
        </w:tc>
        <w:tc>
          <w:tcPr>
            <w:tcW w:w="1230" w:type="dxa"/>
          </w:tcPr>
          <w:p w:rsidR="0015445D" w:rsidRDefault="0015445D" w:rsidP="0085587A">
            <w:pPr>
              <w:jc w:val="center"/>
              <w:rPr>
                <w:sz w:val="20"/>
                <w:szCs w:val="20"/>
              </w:rPr>
            </w:pPr>
            <w:r>
              <w:rPr>
                <w:sz w:val="20"/>
                <w:szCs w:val="20"/>
              </w:rPr>
              <w:t>.266</w:t>
            </w:r>
          </w:p>
        </w:tc>
        <w:tc>
          <w:tcPr>
            <w:tcW w:w="1230" w:type="dxa"/>
          </w:tcPr>
          <w:p w:rsidR="0015445D" w:rsidRPr="008C6BA0" w:rsidRDefault="0015445D" w:rsidP="0085587A">
            <w:pPr>
              <w:jc w:val="center"/>
              <w:rPr>
                <w:sz w:val="20"/>
                <w:szCs w:val="20"/>
              </w:rPr>
            </w:pPr>
            <w:r>
              <w:rPr>
                <w:sz w:val="20"/>
                <w:szCs w:val="20"/>
              </w:rPr>
              <w:t>.269</w:t>
            </w:r>
          </w:p>
        </w:tc>
      </w:tr>
      <w:tr w:rsidR="0015445D" w:rsidTr="0085587A">
        <w:trPr>
          <w:jc w:val="center"/>
        </w:trPr>
        <w:tc>
          <w:tcPr>
            <w:tcW w:w="2100" w:type="dxa"/>
            <w:tcBorders>
              <w:bottom w:val="single" w:sz="12" w:space="0" w:color="auto"/>
            </w:tcBorders>
          </w:tcPr>
          <w:p w:rsidR="0015445D" w:rsidRPr="008C6BA0" w:rsidRDefault="0015445D" w:rsidP="0085587A">
            <w:pPr>
              <w:rPr>
                <w:sz w:val="20"/>
                <w:szCs w:val="20"/>
              </w:rPr>
            </w:pPr>
          </w:p>
        </w:tc>
        <w:tc>
          <w:tcPr>
            <w:tcW w:w="1230" w:type="dxa"/>
            <w:tcBorders>
              <w:bottom w:val="single" w:sz="12" w:space="0" w:color="auto"/>
            </w:tcBorders>
          </w:tcPr>
          <w:p w:rsidR="0015445D" w:rsidRPr="008C6BA0" w:rsidRDefault="0015445D" w:rsidP="0085587A">
            <w:pPr>
              <w:jc w:val="center"/>
              <w:rPr>
                <w:sz w:val="20"/>
                <w:szCs w:val="20"/>
              </w:rPr>
            </w:pPr>
          </w:p>
        </w:tc>
        <w:tc>
          <w:tcPr>
            <w:tcW w:w="1230" w:type="dxa"/>
            <w:tcBorders>
              <w:bottom w:val="single" w:sz="12" w:space="0" w:color="auto"/>
            </w:tcBorders>
          </w:tcPr>
          <w:p w:rsidR="0015445D" w:rsidRPr="008C6BA0" w:rsidRDefault="0015445D" w:rsidP="0085587A">
            <w:pPr>
              <w:jc w:val="center"/>
              <w:rPr>
                <w:sz w:val="20"/>
                <w:szCs w:val="20"/>
              </w:rPr>
            </w:pPr>
          </w:p>
        </w:tc>
      </w:tr>
    </w:tbl>
    <w:p w:rsidR="0015445D" w:rsidRDefault="0015445D" w:rsidP="0015445D">
      <w:pPr>
        <w:jc w:val="center"/>
        <w:rPr>
          <w:sz w:val="22"/>
          <w:szCs w:val="22"/>
        </w:rPr>
      </w:pPr>
    </w:p>
    <w:p w:rsidR="0015445D" w:rsidRPr="00CD2003" w:rsidRDefault="0015445D" w:rsidP="0015445D">
      <w:r w:rsidRPr="00CD2003">
        <w:t xml:space="preserve">*** </w:t>
      </w:r>
      <w:proofErr w:type="gramStart"/>
      <w:r w:rsidRPr="00CD2003">
        <w:t>significant</w:t>
      </w:r>
      <w:proofErr w:type="gramEnd"/>
      <w:r w:rsidRPr="00CD2003">
        <w:t xml:space="preserve"> at 1%; ** significant at 5%; * significant at 10%</w:t>
      </w:r>
    </w:p>
    <w:p w:rsidR="0015445D" w:rsidRPr="00CD2003" w:rsidRDefault="0015445D" w:rsidP="0015445D">
      <w:r w:rsidRPr="00CD2003">
        <w:t>Results reported are from regressing the cumulative abnormal return (CAR) of a firm’s stock onto S</w:t>
      </w:r>
      <w:r>
        <w:t>peed Capability</w:t>
      </w:r>
      <w:r w:rsidRPr="00CD2003">
        <w:t xml:space="preserve"> interacted with dummy variables indicating entry during the early pre-2001 regime or late post-2000 regime as well as facility type (gasification versus liquefaction). We use a three day event window </w:t>
      </w:r>
      <w:r w:rsidR="00DD4A80">
        <w:t>[</w:t>
      </w:r>
      <w:r w:rsidRPr="00CD2003">
        <w:t>-1</w:t>
      </w:r>
      <w:proofErr w:type="gramStart"/>
      <w:r w:rsidRPr="00CD2003">
        <w:t>,1</w:t>
      </w:r>
      <w:proofErr w:type="gramEnd"/>
      <w:r w:rsidR="00DD4A80">
        <w:t>]</w:t>
      </w:r>
      <w:r w:rsidRPr="00CD2003">
        <w:t xml:space="preserve">. Firm effects and industry effects are included in the regressions. </w:t>
      </w:r>
    </w:p>
    <w:p w:rsidR="0015445D" w:rsidRDefault="0015445D" w:rsidP="0015445D">
      <w:pPr>
        <w:jc w:val="both"/>
        <w:rPr>
          <w:sz w:val="22"/>
          <w:szCs w:val="22"/>
        </w:rPr>
      </w:pPr>
    </w:p>
    <w:p w:rsidR="0015445D" w:rsidRPr="00BB5204" w:rsidRDefault="0015445D" w:rsidP="0015445D">
      <w:pPr>
        <w:rPr>
          <w:sz w:val="22"/>
          <w:szCs w:val="22"/>
        </w:rPr>
      </w:pPr>
    </w:p>
    <w:p w:rsidR="0015445D" w:rsidRDefault="0015445D" w:rsidP="0015445D">
      <w:pPr>
        <w:rPr>
          <w:b/>
        </w:rPr>
      </w:pPr>
    </w:p>
    <w:p w:rsidR="0015445D" w:rsidRDefault="0015445D" w:rsidP="0015445D">
      <w:pPr>
        <w:rPr>
          <w:b/>
        </w:rPr>
      </w:pPr>
    </w:p>
    <w:p w:rsidR="0015445D" w:rsidRDefault="0015445D" w:rsidP="0015445D">
      <w:pPr>
        <w:rPr>
          <w:b/>
        </w:rPr>
      </w:pPr>
    </w:p>
    <w:p w:rsidR="0015445D" w:rsidRDefault="0015445D" w:rsidP="0015445D">
      <w:pPr>
        <w:rPr>
          <w:b/>
        </w:rPr>
      </w:pPr>
    </w:p>
    <w:p w:rsidR="00D63376" w:rsidRDefault="00D63376">
      <w:pPr>
        <w:spacing w:after="200" w:line="276" w:lineRule="auto"/>
        <w:rPr>
          <w:b/>
        </w:rPr>
      </w:pPr>
      <w:r>
        <w:rPr>
          <w:b/>
        </w:rPr>
        <w:br w:type="page"/>
      </w:r>
    </w:p>
    <w:p w:rsidR="00D63376" w:rsidRPr="00410822" w:rsidRDefault="00D63376" w:rsidP="00D63376">
      <w:pPr>
        <w:keepNext/>
        <w:spacing w:line="480" w:lineRule="auto"/>
        <w:rPr>
          <w:b/>
        </w:rPr>
      </w:pPr>
      <w:r>
        <w:rPr>
          <w:b/>
        </w:rPr>
        <w:lastRenderedPageBreak/>
        <w:t xml:space="preserve">APPENDICES </w:t>
      </w:r>
    </w:p>
    <w:p w:rsidR="00D63376" w:rsidRPr="00410822" w:rsidRDefault="00D63376" w:rsidP="00D63376">
      <w:pPr>
        <w:keepNext/>
        <w:spacing w:line="480" w:lineRule="auto"/>
        <w:rPr>
          <w:b/>
        </w:rPr>
      </w:pPr>
      <w:r>
        <w:rPr>
          <w:b/>
        </w:rPr>
        <w:t>Appendix I -- Background on the LNG Industry</w:t>
      </w:r>
    </w:p>
    <w:p w:rsidR="00D63376" w:rsidRPr="00410822" w:rsidRDefault="00D63376" w:rsidP="00D63376">
      <w:pPr>
        <w:spacing w:line="480" w:lineRule="auto"/>
      </w:pPr>
      <w:r>
        <w:t xml:space="preserve">The LNG </w:t>
      </w:r>
      <w:r w:rsidRPr="00410822">
        <w:t>industry focuses on a method used to move natural gas from producer to consumer when the economics of pipelines are not viable (</w:t>
      </w:r>
      <w:proofErr w:type="spellStart"/>
      <w:r w:rsidRPr="00410822">
        <w:t>Tusiani</w:t>
      </w:r>
      <w:proofErr w:type="spellEnd"/>
      <w:r w:rsidRPr="00410822">
        <w:t xml:space="preserve"> and Shearer, 2007; Chandra 2006).</w:t>
      </w:r>
      <w:r w:rsidRPr="00410822">
        <w:rPr>
          <w:rStyle w:val="FootnoteReference"/>
        </w:rPr>
        <w:footnoteReference w:id="14"/>
      </w:r>
      <w:r w:rsidRPr="00410822">
        <w:t xml:space="preserve">  LNG is a refrigerated form of methane (the predominant chemical composition of natural gas). To create LNG, the LNG exporter has to cool the methane down to approximately -163° C to convert the natural gas to liquid form. When cooled to liquid, LNG shrinks to a fraction of its former volume (1/600</w:t>
      </w:r>
      <w:r w:rsidRPr="00410822">
        <w:rPr>
          <w:vertAlign w:val="superscript"/>
        </w:rPr>
        <w:t>th</w:t>
      </w:r>
      <w:r w:rsidRPr="00410822">
        <w:t xml:space="preserve"> the size), improving the cost efficiency of shipping when export and import markets are far apart or separated by large bodies of water (</w:t>
      </w:r>
      <w:proofErr w:type="spellStart"/>
      <w:r w:rsidRPr="00410822">
        <w:t>Tusiani</w:t>
      </w:r>
      <w:proofErr w:type="spellEnd"/>
      <w:r w:rsidRPr="00410822">
        <w:t xml:space="preserve"> and Shearer, 2007; Chandra 2006). </w:t>
      </w:r>
    </w:p>
    <w:p w:rsidR="00D63376" w:rsidRPr="00410822" w:rsidRDefault="00D63376" w:rsidP="00D63376">
      <w:pPr>
        <w:spacing w:line="480" w:lineRule="auto"/>
        <w:ind w:firstLine="720"/>
      </w:pPr>
      <w:r w:rsidRPr="00410822">
        <w:t xml:space="preserve">LNG project development is organized as a “chain” (Chandra 2006). Entry into the LNG industry requires the construction of very expensive, specialized facilities and transport vessels that comprise the LNG chain. The LNG chain consists of three components: liquefaction facilities that convert natural gas to liquid in the supply market, LNG tankers that transport the LNG to the end market, and gasification facilities that convert the liquefied natural gas back to its gaseous state (Chandra 2006). </w:t>
      </w:r>
    </w:p>
    <w:p w:rsidR="00D63376" w:rsidRPr="00410822" w:rsidRDefault="00D63376" w:rsidP="00D63376">
      <w:pPr>
        <w:spacing w:line="480" w:lineRule="auto"/>
        <w:ind w:firstLine="720"/>
      </w:pPr>
      <w:r w:rsidRPr="00410822">
        <w:t>LNG was initially developed in 1914, when Godfrey Cabot first constructed a functional LNG chain using barges (</w:t>
      </w:r>
      <w:proofErr w:type="spellStart"/>
      <w:r w:rsidRPr="00410822">
        <w:t>Tusiani</w:t>
      </w:r>
      <w:proofErr w:type="spellEnd"/>
      <w:r w:rsidRPr="00410822">
        <w:t xml:space="preserve"> and Shearer, 2007). However, LNG was not pursued on a commercial scale until the 1960s, when a major gas discovery in Algeria led to the first commercial-scale LNG chain that became operational in 1964 with a liquefaction plant at </w:t>
      </w:r>
      <w:proofErr w:type="spellStart"/>
      <w:r w:rsidRPr="00410822">
        <w:t>Arzew</w:t>
      </w:r>
      <w:proofErr w:type="spellEnd"/>
      <w:r w:rsidRPr="00410822">
        <w:t>, Algeria and receiving terminals in France and in the U</w:t>
      </w:r>
      <w:r>
        <w:t>K (</w:t>
      </w:r>
      <w:proofErr w:type="spellStart"/>
      <w:r>
        <w:t>Tusiani</w:t>
      </w:r>
      <w:proofErr w:type="spellEnd"/>
      <w:r>
        <w:t xml:space="preserve"> and Shearer, 2007, p.</w:t>
      </w:r>
      <w:r w:rsidRPr="00410822">
        <w:t xml:space="preserve"> 14). </w:t>
      </w:r>
      <w:r w:rsidRPr="00410822">
        <w:lastRenderedPageBreak/>
        <w:t xml:space="preserve">During the 1960s and 1970s, liquefaction plants were built in Alaska, Libya, Brunei, Abu Dhabi and Indonesia, and gasification terminals were built in Japan, France, Italy, Belgium, Spain, Taiwan, and Korea. </w:t>
      </w:r>
    </w:p>
    <w:p w:rsidR="00D63376" w:rsidRPr="00410822" w:rsidRDefault="00D63376" w:rsidP="00D63376">
      <w:pPr>
        <w:spacing w:line="480" w:lineRule="auto"/>
        <w:ind w:firstLine="720"/>
      </w:pPr>
      <w:r w:rsidRPr="00410822">
        <w:t xml:space="preserve">During the 1980s and early 1990s, however, the growth of LNG followed different trajectories in two different submarkets: the Pacific Basin and the Atlantic Basin. In the Pacific Basin, LNG flourished during this period. Because import markets like Korea, Japan and Taiwan did not have access to domestic sources of natural gas or pipeline imports, importers (e.g., utilities like </w:t>
      </w:r>
      <w:proofErr w:type="spellStart"/>
      <w:r w:rsidRPr="00410822">
        <w:t>Kogas</w:t>
      </w:r>
      <w:proofErr w:type="spellEnd"/>
      <w:r w:rsidRPr="00410822">
        <w:t>, Osaka Gas, and Tokyo Gas) were eager to embrace LNG in order to reduce their dependence on oil (</w:t>
      </w:r>
      <w:proofErr w:type="spellStart"/>
      <w:r w:rsidRPr="00410822">
        <w:t>Tusiani</w:t>
      </w:r>
      <w:proofErr w:type="spellEnd"/>
      <w:r w:rsidRPr="00410822">
        <w:t xml:space="preserve"> and Shearer, 2007). As a result, these importers were more interested in security of supply and were willing to pay higher prices. This attitude combined with high economic growth led to numerous terminals being built in these markets, and Japan and Korea became the leading import markets for LNG. In fact, most project development in the 1980s and early 1990s targeted the import markets of Japan and Korea (</w:t>
      </w:r>
      <w:proofErr w:type="spellStart"/>
      <w:r w:rsidRPr="00410822">
        <w:t>Tusiani</w:t>
      </w:r>
      <w:proofErr w:type="spellEnd"/>
      <w:r w:rsidRPr="00410822">
        <w:t xml:space="preserve"> and Shearer, 2007).</w:t>
      </w:r>
    </w:p>
    <w:p w:rsidR="00D63376" w:rsidRPr="0083512F" w:rsidRDefault="00D63376" w:rsidP="00D63376">
      <w:pPr>
        <w:spacing w:line="480" w:lineRule="auto"/>
        <w:ind w:firstLine="720"/>
      </w:pPr>
      <w:r w:rsidRPr="00410822">
        <w:t xml:space="preserve">In Atlantic Basin markets during this period, LNG had a harder time establishing itself as a viable energy source. Because countries in the Atlantic Basin had abundant sources of domestic natural gas and sources of pipeline imports, importers in the United States and Europe had many alternatives to LNG. As a result, LNG had a hard time competing with energy alternatives in the Atlantic Basin, and the LNG business grew very slowly (Weems and Rogers, 2007; </w:t>
      </w:r>
      <w:proofErr w:type="spellStart"/>
      <w:r w:rsidRPr="00410822">
        <w:t>Tusiani</w:t>
      </w:r>
      <w:proofErr w:type="spellEnd"/>
      <w:r w:rsidRPr="00410822">
        <w:t xml:space="preserve"> and Shearer, 2007, </w:t>
      </w:r>
      <w:r>
        <w:t>p.</w:t>
      </w:r>
      <w:r w:rsidRPr="00410822">
        <w:t xml:space="preserve"> 33-36, 43; EIA 2003).</w:t>
      </w:r>
    </w:p>
    <w:p w:rsidR="00D63376" w:rsidRDefault="00D63376" w:rsidP="00D63376">
      <w:pPr>
        <w:spacing w:line="480" w:lineRule="auto"/>
      </w:pPr>
      <w:r w:rsidRPr="00410822">
        <w:rPr>
          <w:b/>
        </w:rPr>
        <w:t xml:space="preserve">Atlantic Basin LNG: An emerging opportunity in the late 1990s. </w:t>
      </w:r>
      <w:r w:rsidRPr="00410822">
        <w:t xml:space="preserve">The late 1990s witnessed a rebirth in interest in Atlantic Basin LNG, </w:t>
      </w:r>
      <w:r>
        <w:t>following market liberalization and price surge. A</w:t>
      </w:r>
      <w:r w:rsidRPr="00410822">
        <w:t xml:space="preserve"> boom in worldwide LNG construction activity</w:t>
      </w:r>
      <w:r>
        <w:t xml:space="preserve"> became visible after 1999</w:t>
      </w:r>
      <w:r w:rsidRPr="00410822">
        <w:t xml:space="preserve">. </w:t>
      </w:r>
    </w:p>
    <w:p w:rsidR="00D63376" w:rsidRDefault="00D63376" w:rsidP="00D63376">
      <w:pPr>
        <w:spacing w:line="480" w:lineRule="auto"/>
        <w:ind w:firstLine="720"/>
      </w:pPr>
      <w:r w:rsidRPr="00410822">
        <w:lastRenderedPageBreak/>
        <w:t>Figure 1 depicts US natural gas prices and construction activity in LNG projects.</w:t>
      </w:r>
      <w:r>
        <w:rPr>
          <w:rStyle w:val="FootnoteReference"/>
        </w:rPr>
        <w:footnoteReference w:id="15"/>
      </w:r>
      <w:r w:rsidRPr="00410822">
        <w:t xml:space="preserve"> </w:t>
      </w:r>
      <w:r>
        <w:t xml:space="preserve"> </w:t>
      </w:r>
      <w:r w:rsidRPr="00410822">
        <w:t>The graph illustrates how construction activity in Atlantic Basin LNG closely follows the entry patterns found in industry evolution studies. Entry occurred from the mid-1990s to 2000 at a very slow rate</w:t>
      </w:r>
      <w:r>
        <w:t xml:space="preserve"> and natural gas prices historically had stayed around the $2/</w:t>
      </w:r>
      <w:proofErr w:type="spellStart"/>
      <w:r>
        <w:t>MMbtu</w:t>
      </w:r>
      <w:proofErr w:type="spellEnd"/>
      <w:r>
        <w:t xml:space="preserve"> level</w:t>
      </w:r>
      <w:r w:rsidRPr="00410822">
        <w:t xml:space="preserve">. </w:t>
      </w:r>
      <w:r>
        <w:t>At the time, there was a consensus view in the industry that LNG would not be feasible in the United States unless natural gas prices exceeded $3/</w:t>
      </w:r>
      <w:proofErr w:type="spellStart"/>
      <w:r>
        <w:t>MMbtu</w:t>
      </w:r>
      <w:proofErr w:type="spellEnd"/>
      <w:r>
        <w:t xml:space="preserve"> </w:t>
      </w:r>
      <w:r w:rsidRPr="00410822">
        <w:t>(Weems and Rogers, 2007)</w:t>
      </w:r>
      <w:r w:rsidRPr="002F5EDF">
        <w:t xml:space="preserve">. </w:t>
      </w:r>
    </w:p>
    <w:p w:rsidR="00D63376" w:rsidRDefault="00D63376" w:rsidP="00D63376">
      <w:pPr>
        <w:spacing w:line="480" w:lineRule="auto"/>
        <w:ind w:firstLine="720"/>
      </w:pPr>
      <w:r w:rsidRPr="002F5EDF">
        <w:t xml:space="preserve">At </w:t>
      </w:r>
      <w:r>
        <w:t xml:space="preserve">the end of 1999 and during 2000 </w:t>
      </w:r>
      <w:r w:rsidRPr="002F5EDF">
        <w:t>industry observers started to conclude that the</w:t>
      </w:r>
      <w:r>
        <w:t>re was an</w:t>
      </w:r>
      <w:r w:rsidRPr="002F5EDF">
        <w:t xml:space="preserve"> existing supply-demand imbalance in the US due to slower domestic gas production and </w:t>
      </w:r>
      <w:r>
        <w:t>a</w:t>
      </w:r>
      <w:r w:rsidRPr="002F5EDF">
        <w:t xml:space="preserve"> surge in demand from gas powered generation result</w:t>
      </w:r>
      <w:r>
        <w:t>ing</w:t>
      </w:r>
      <w:r w:rsidRPr="002F5EDF">
        <w:t xml:space="preserve"> in </w:t>
      </w:r>
      <w:r>
        <w:t xml:space="preserve">a </w:t>
      </w:r>
      <w:r w:rsidRPr="002F5EDF">
        <w:t>long term gas pric</w:t>
      </w:r>
      <w:r>
        <w:t>e above the</w:t>
      </w:r>
      <w:r w:rsidRPr="002F5EDF">
        <w:t xml:space="preserve"> $3 / </w:t>
      </w:r>
      <w:proofErr w:type="spellStart"/>
      <w:r w:rsidRPr="002F5EDF">
        <w:t>MMbtu</w:t>
      </w:r>
      <w:proofErr w:type="spellEnd"/>
      <w:r w:rsidRPr="002F5EDF">
        <w:t xml:space="preserve"> threshold (Weems and Rogers, 2007). </w:t>
      </w:r>
      <w:r>
        <w:t>This view was reinforced i</w:t>
      </w:r>
      <w:r w:rsidRPr="00410822">
        <w:t>n the winter of 2000</w:t>
      </w:r>
      <w:r>
        <w:t xml:space="preserve"> after the visible California energy shortage and </w:t>
      </w:r>
      <w:r w:rsidRPr="00410822">
        <w:t>natural gas prices b</w:t>
      </w:r>
      <w:r>
        <w:t>roke</w:t>
      </w:r>
      <w:r w:rsidRPr="00410822">
        <w:t xml:space="preserve"> the $3 / </w:t>
      </w:r>
      <w:proofErr w:type="spellStart"/>
      <w:r w:rsidRPr="00410822">
        <w:t>MMbtu</w:t>
      </w:r>
      <w:proofErr w:type="spellEnd"/>
      <w:r w:rsidRPr="00410822">
        <w:t xml:space="preserve"> level</w:t>
      </w:r>
      <w:r>
        <w:t xml:space="preserve"> and reached a peak of</w:t>
      </w:r>
      <w:r w:rsidRPr="00610E59">
        <w:t xml:space="preserve"> $10 / </w:t>
      </w:r>
      <w:proofErr w:type="spellStart"/>
      <w:r w:rsidRPr="00610E59">
        <w:t>MMbtu</w:t>
      </w:r>
      <w:proofErr w:type="spellEnd"/>
      <w:r w:rsidRPr="00610E59">
        <w:t xml:space="preserve"> in January 2001 (</w:t>
      </w:r>
      <w:proofErr w:type="spellStart"/>
      <w:r w:rsidRPr="00610E59">
        <w:t>Tusiani</w:t>
      </w:r>
      <w:proofErr w:type="spellEnd"/>
      <w:r w:rsidRPr="00610E59">
        <w:t xml:space="preserve"> and Shearer, </w:t>
      </w:r>
      <w:r>
        <w:t xml:space="preserve">2007 </w:t>
      </w:r>
      <w:proofErr w:type="spellStart"/>
      <w:r w:rsidRPr="00610E59">
        <w:t>pg</w:t>
      </w:r>
      <w:proofErr w:type="spellEnd"/>
      <w:r w:rsidRPr="00610E59">
        <w:t xml:space="preserve"> 15, 30)</w:t>
      </w:r>
      <w:r w:rsidRPr="00410822">
        <w:t>,</w:t>
      </w:r>
      <w:r>
        <w:t xml:space="preserve"> over five times higher than typical price levels. Following is the consensus on the feasibility of Atlantic Basin LNG market and </w:t>
      </w:r>
      <w:r w:rsidRPr="00410822">
        <w:t>entry dramatically accelerates until the end of our sample (with a slight reduction in entry in 2007). (</w:t>
      </w:r>
      <w:r>
        <w:t xml:space="preserve">See also </w:t>
      </w:r>
      <w:r w:rsidRPr="00410822">
        <w:t xml:space="preserve">Weems and Rogers, 2007; </w:t>
      </w:r>
      <w:proofErr w:type="spellStart"/>
      <w:r w:rsidRPr="00410822">
        <w:t>Tusiani</w:t>
      </w:r>
      <w:proofErr w:type="spellEnd"/>
      <w:r w:rsidRPr="00410822">
        <w:t xml:space="preserve"> and Shearer, 2007</w:t>
      </w:r>
      <w:r>
        <w:t>; more details also available from the authors upon request</w:t>
      </w:r>
      <w:r w:rsidRPr="00410822">
        <w:t>).</w:t>
      </w:r>
    </w:p>
    <w:p w:rsidR="00D63376" w:rsidRPr="00410822" w:rsidRDefault="00D63376" w:rsidP="00D63376">
      <w:pPr>
        <w:spacing w:line="480" w:lineRule="auto"/>
      </w:pPr>
      <w:proofErr w:type="gramStart"/>
      <w:r w:rsidRPr="00410822">
        <w:rPr>
          <w:b/>
        </w:rPr>
        <w:t>Key Empirical Characteristics.</w:t>
      </w:r>
      <w:proofErr w:type="gramEnd"/>
      <w:r w:rsidRPr="00410822">
        <w:t xml:space="preserve"> A few key characteristics of the LNG industry illustrate how the empirical context of Atlantic Basin LNG fits our theoretical framework well. </w:t>
      </w:r>
    </w:p>
    <w:p w:rsidR="00D63376" w:rsidRPr="00410822" w:rsidRDefault="00D63376" w:rsidP="00D63376">
      <w:pPr>
        <w:spacing w:line="480" w:lineRule="auto"/>
        <w:ind w:firstLine="720"/>
      </w:pPr>
      <w:r w:rsidRPr="00410822">
        <w:t>First, there have been strong incentives to delay entry into LNG</w:t>
      </w:r>
      <w:r>
        <w:t xml:space="preserve"> to benefit from additional industry learning and market information</w:t>
      </w:r>
      <w:r w:rsidRPr="00410822">
        <w:t>. Project costs have been coming down due to more industry experience in LNG project engineering and economies of scale. Across the LNG chain, facility costs have dropped 30-50% between the early 1980s and 200</w:t>
      </w:r>
      <w:r>
        <w:t>3 (</w:t>
      </w:r>
      <w:proofErr w:type="spellStart"/>
      <w:r>
        <w:t>Tusiani</w:t>
      </w:r>
      <w:proofErr w:type="spellEnd"/>
      <w:r>
        <w:t xml:space="preserve"> and </w:t>
      </w:r>
      <w:r>
        <w:lastRenderedPageBreak/>
        <w:t>Shearer, 2007, p.</w:t>
      </w:r>
      <w:r w:rsidRPr="00410822">
        <w:t xml:space="preserve"> 79). LNG tanker costs have also come down from $280 million in 1995 to $150-160 million in 2003 (or $124-133 million </w:t>
      </w:r>
      <w:r>
        <w:t>in 1995 US dollars)</w:t>
      </w:r>
      <w:r w:rsidRPr="00410822">
        <w:t xml:space="preserve"> (EIA, 2003, </w:t>
      </w:r>
      <w:r>
        <w:t>p.</w:t>
      </w:r>
      <w:r w:rsidRPr="00410822">
        <w:t xml:space="preserve"> 30)</w:t>
      </w:r>
      <w:r>
        <w:t>.</w:t>
      </w:r>
      <w:r w:rsidRPr="00410822">
        <w:t xml:space="preserve"> Additionally, a large component of the success and profitability of a project in Atlantic Basin LNG is determined by a sufficiently high price of natural gas in the import market to make LNG competitive with alternative sources of natural gas. Thus, from both an operational cost perspective and a price uncertainty perspective, inc</w:t>
      </w:r>
      <w:r>
        <w:t xml:space="preserve">entives to wait and delay entry </w:t>
      </w:r>
      <w:r w:rsidRPr="00410822">
        <w:t xml:space="preserve">have been strong. This trend closely fits our </w:t>
      </w:r>
      <w:r>
        <w:t>theory regarding</w:t>
      </w:r>
      <w:r w:rsidRPr="00410822">
        <w:t xml:space="preserve"> the marginal benefit of delay from learning.</w:t>
      </w:r>
    </w:p>
    <w:p w:rsidR="00D63376" w:rsidRPr="00410822" w:rsidRDefault="00D63376" w:rsidP="00D63376">
      <w:pPr>
        <w:spacing w:line="480" w:lineRule="auto"/>
        <w:ind w:firstLine="720"/>
      </w:pPr>
      <w:r w:rsidRPr="00410822">
        <w:t>Second, the LNG industry has also exhibited increasing costs from preemptive pressures, providing incentives to enter early in LNG. Since 2003, escalating raw material costs and intensified worldwide competition for engineering resources, skilled labor with LNG experience, and key equipment have raised the costs of entry (</w:t>
      </w:r>
      <w:proofErr w:type="spellStart"/>
      <w:r w:rsidRPr="00410822">
        <w:t>Tusiani</w:t>
      </w:r>
      <w:proofErr w:type="spellEnd"/>
      <w:r w:rsidRPr="00410822">
        <w:t xml:space="preserve"> and Shearer, 2007, </w:t>
      </w:r>
      <w:r>
        <w:t>p.</w:t>
      </w:r>
      <w:r w:rsidRPr="00410822">
        <w:t xml:space="preserve"> 79). In fact, costs for liquefaction and gasification terminals have doubled since 2003, and LNG tanker costs have increased as well (</w:t>
      </w:r>
      <w:proofErr w:type="spellStart"/>
      <w:r w:rsidRPr="00410822">
        <w:t>Tusiani</w:t>
      </w:r>
      <w:proofErr w:type="spellEnd"/>
      <w:r w:rsidRPr="00410822">
        <w:t xml:space="preserve"> and Shearer, 2007). As a result, preemptive pressures have increased dramatically in the last few years, illustrating that there have been cost advantages to entering early. This trend </w:t>
      </w:r>
      <w:r>
        <w:t xml:space="preserve">also </w:t>
      </w:r>
      <w:r w:rsidRPr="00410822">
        <w:t xml:space="preserve">fits our </w:t>
      </w:r>
      <w:r>
        <w:t>theory</w:t>
      </w:r>
      <w:r w:rsidRPr="00410822">
        <w:t xml:space="preserve"> </w:t>
      </w:r>
      <w:r>
        <w:t>regarding</w:t>
      </w:r>
      <w:r w:rsidRPr="00410822">
        <w:t xml:space="preserve"> the marginal cost of delay from preemption.</w:t>
      </w:r>
    </w:p>
    <w:p w:rsidR="00D63376" w:rsidRDefault="00D63376" w:rsidP="00D63376">
      <w:pPr>
        <w:spacing w:line="480" w:lineRule="auto"/>
        <w:ind w:firstLine="720"/>
      </w:pPr>
      <w:r w:rsidRPr="00410822">
        <w:t>Third, entry into LNG requires a large investment of resources and lengthy interval for project development. Each component of the LNG chain is very expensive and requires a long lag for regulatory approvals, engineering, and construction. For instance, liquefaction facilities typically costs over $1 billion and take up to six years to build, LNG tankers cost over $150 million and take on average two years to build, and gasification facilities cost at least $500 million to build and take 2-3 years to build (</w:t>
      </w:r>
      <w:proofErr w:type="spellStart"/>
      <w:r w:rsidRPr="00410822">
        <w:t>Tusiani</w:t>
      </w:r>
      <w:proofErr w:type="spellEnd"/>
      <w:r w:rsidRPr="00410822">
        <w:t xml:space="preserve"> and Shearer, 2007). Thus, with each decision to enter the LNG industry, a potential project requires substantial outlays of money, effort and coordination from each entrant. As a result, entry into the LNG industry with the construction of </w:t>
      </w:r>
      <w:r w:rsidRPr="00410822">
        <w:lastRenderedPageBreak/>
        <w:t xml:space="preserve">one of these components of the LNG chain is not a trivial decision. An entrant must carefully consider the costs and time associated with entry with each new facility. In this context, </w:t>
      </w:r>
      <w:r>
        <w:t>the ability to wait for uncertainty resolution would be appealing</w:t>
      </w:r>
      <w:r w:rsidRPr="00410822">
        <w:t>.</w:t>
      </w:r>
    </w:p>
    <w:p w:rsidR="00D63376" w:rsidRDefault="00D63376" w:rsidP="00D63376">
      <w:pPr>
        <w:spacing w:line="480" w:lineRule="auto"/>
        <w:ind w:firstLine="720"/>
      </w:pPr>
      <w:r>
        <w:t>Fourth, investments at different levels of an LNG value chain represent different degrees of usage-specificity. E</w:t>
      </w:r>
      <w:r w:rsidRPr="00410822">
        <w:t xml:space="preserve">ntry with a gasification facility represents a very </w:t>
      </w:r>
      <w:r>
        <w:t>usage-specific</w:t>
      </w:r>
      <w:r w:rsidRPr="00410822">
        <w:t xml:space="preserve"> commitment to the maturation of a chosen import market. If the target market never becomes economically viable, a built gasification facility in that market </w:t>
      </w:r>
      <w:r>
        <w:t>h</w:t>
      </w:r>
      <w:r w:rsidRPr="00410822">
        <w:t>as little residual value: the owner may rent the facility for natural gas stor</w:t>
      </w:r>
      <w:r>
        <w:t xml:space="preserve">age for minimal return or even </w:t>
      </w:r>
      <w:r w:rsidRPr="00410822">
        <w:t>just mothball the facility. With a liquefaction facility, however, the firm has many more options</w:t>
      </w:r>
      <w:r>
        <w:t xml:space="preserve"> and a greater degree of usage-flexibility</w:t>
      </w:r>
      <w:r w:rsidRPr="00410822">
        <w:t xml:space="preserve">. Principally, the owner has the ability to divert LNG to sell to other markets outside of the Atlantic Basin and still make some money. </w:t>
      </w:r>
      <w:r>
        <w:t>As a result, the LNG industry represents an excellent context to study the role of usage-specificity and usage-flexibility in the entry decision.</w:t>
      </w:r>
    </w:p>
    <w:p w:rsidR="00D63376" w:rsidRDefault="00D63376" w:rsidP="00D63376">
      <w:pPr>
        <w:spacing w:line="480" w:lineRule="auto"/>
        <w:ind w:firstLine="720"/>
      </w:pPr>
      <w:r>
        <w:t>Fifth</w:t>
      </w:r>
      <w:r w:rsidRPr="00410822">
        <w:t xml:space="preserve">, </w:t>
      </w:r>
      <w:r>
        <w:t xml:space="preserve">entry into </w:t>
      </w:r>
      <w:r w:rsidRPr="00410822">
        <w:t>the LNG industry is not constrained by proprietary technology. The technology underlying LNG has been around for many years: the liquefaction of natural gas was proved to be technologically feasible as early as 1914 (</w:t>
      </w:r>
      <w:proofErr w:type="spellStart"/>
      <w:r w:rsidRPr="00410822">
        <w:t>Tusiani</w:t>
      </w:r>
      <w:proofErr w:type="spellEnd"/>
      <w:r w:rsidRPr="00410822">
        <w:t xml:space="preserve"> and Shearer, 2007, </w:t>
      </w:r>
      <w:r>
        <w:t>p.</w:t>
      </w:r>
      <w:r w:rsidRPr="00410822">
        <w:t xml:space="preserve"> 14). The technology itself is very simple: liquefaction plants are essentially large refrigerators, and there is no application of chemical processes to the natural gas beyond pretreatment for impurities. Construction of the giant refrigeration process may require procurement of proprietary heat exchangers, process compressors and turbine drivers, but all of these components are obtained from vendors or procured by hired contractors (</w:t>
      </w:r>
      <w:proofErr w:type="spellStart"/>
      <w:r w:rsidRPr="00410822">
        <w:t>Tusiani</w:t>
      </w:r>
      <w:proofErr w:type="spellEnd"/>
      <w:r w:rsidRPr="00410822">
        <w:t xml:space="preserve"> and Shearer, 2007, </w:t>
      </w:r>
      <w:r>
        <w:t>pp.</w:t>
      </w:r>
      <w:r w:rsidRPr="00410822">
        <w:t xml:space="preserve"> 109, 126). Thus, the LNG industry represents an industry with a le</w:t>
      </w:r>
      <w:r>
        <w:t>vel technological playing field</w:t>
      </w:r>
      <w:r w:rsidRPr="00410822">
        <w:t>.</w:t>
      </w:r>
    </w:p>
    <w:p w:rsidR="00D63376" w:rsidRPr="0083512F" w:rsidRDefault="00D63376" w:rsidP="00D63376">
      <w:pPr>
        <w:spacing w:line="480" w:lineRule="auto"/>
        <w:ind w:firstLine="720"/>
      </w:pPr>
    </w:p>
    <w:p w:rsidR="00D63376" w:rsidRPr="00C51BE6" w:rsidRDefault="00D63376" w:rsidP="00D63376">
      <w:pPr>
        <w:rPr>
          <w:b/>
        </w:rPr>
      </w:pPr>
      <w:r>
        <w:rPr>
          <w:b/>
        </w:rPr>
        <w:lastRenderedPageBreak/>
        <w:t>A</w:t>
      </w:r>
      <w:r w:rsidRPr="00C51BE6">
        <w:rPr>
          <w:b/>
        </w:rPr>
        <w:t xml:space="preserve">ppendix </w:t>
      </w:r>
      <w:r>
        <w:rPr>
          <w:b/>
        </w:rPr>
        <w:t>II</w:t>
      </w:r>
      <w:r w:rsidRPr="00C51BE6">
        <w:rPr>
          <w:b/>
        </w:rPr>
        <w:t xml:space="preserve"> – </w:t>
      </w:r>
      <w:r>
        <w:rPr>
          <w:b/>
        </w:rPr>
        <w:t>Description of Independent V</w:t>
      </w:r>
      <w:r w:rsidRPr="00C51BE6">
        <w:rPr>
          <w:b/>
        </w:rPr>
        <w:t>ariables</w:t>
      </w:r>
    </w:p>
    <w:p w:rsidR="00D63376" w:rsidRPr="00410822" w:rsidRDefault="00D63376" w:rsidP="00D63376">
      <w:pPr>
        <w:jc w:val="center"/>
      </w:pPr>
    </w:p>
    <w:tbl>
      <w:tblPr>
        <w:tblW w:w="0" w:type="auto"/>
        <w:jc w:val="center"/>
        <w:tblInd w:w="-2191" w:type="dxa"/>
        <w:tblLook w:val="01E0" w:firstRow="1" w:lastRow="1" w:firstColumn="1" w:lastColumn="1" w:noHBand="0" w:noVBand="0"/>
      </w:tblPr>
      <w:tblGrid>
        <w:gridCol w:w="2015"/>
        <w:gridCol w:w="4323"/>
        <w:gridCol w:w="2402"/>
      </w:tblGrid>
      <w:tr w:rsidR="00D63376" w:rsidTr="00BC4FEB">
        <w:trPr>
          <w:jc w:val="center"/>
        </w:trPr>
        <w:tc>
          <w:tcPr>
            <w:tcW w:w="2015" w:type="dxa"/>
            <w:tcBorders>
              <w:top w:val="single" w:sz="12" w:space="0" w:color="auto"/>
              <w:bottom w:val="single" w:sz="12" w:space="0" w:color="auto"/>
            </w:tcBorders>
          </w:tcPr>
          <w:p w:rsidR="00D63376" w:rsidRPr="002B7887" w:rsidRDefault="00D63376" w:rsidP="00BC4FEB">
            <w:pPr>
              <w:rPr>
                <w:sz w:val="20"/>
                <w:szCs w:val="20"/>
              </w:rPr>
            </w:pPr>
            <w:r>
              <w:rPr>
                <w:sz w:val="20"/>
                <w:szCs w:val="20"/>
              </w:rPr>
              <w:t>Independent Variables</w:t>
            </w:r>
          </w:p>
        </w:tc>
        <w:tc>
          <w:tcPr>
            <w:tcW w:w="4323" w:type="dxa"/>
            <w:tcBorders>
              <w:top w:val="single" w:sz="12" w:space="0" w:color="auto"/>
              <w:bottom w:val="single" w:sz="12" w:space="0" w:color="auto"/>
            </w:tcBorders>
          </w:tcPr>
          <w:p w:rsidR="00D63376" w:rsidRDefault="00D63376" w:rsidP="00BC4FEB">
            <w:pPr>
              <w:jc w:val="center"/>
              <w:rPr>
                <w:sz w:val="20"/>
                <w:szCs w:val="20"/>
              </w:rPr>
            </w:pPr>
          </w:p>
          <w:p w:rsidR="00D63376" w:rsidRPr="002B7887" w:rsidRDefault="00D63376" w:rsidP="00BC4FEB">
            <w:pPr>
              <w:jc w:val="center"/>
              <w:rPr>
                <w:sz w:val="20"/>
                <w:szCs w:val="20"/>
              </w:rPr>
            </w:pPr>
            <w:r>
              <w:rPr>
                <w:sz w:val="20"/>
                <w:szCs w:val="20"/>
              </w:rPr>
              <w:t>Definition</w:t>
            </w:r>
          </w:p>
        </w:tc>
        <w:tc>
          <w:tcPr>
            <w:tcW w:w="2402" w:type="dxa"/>
            <w:tcBorders>
              <w:top w:val="single" w:sz="12" w:space="0" w:color="auto"/>
              <w:bottom w:val="single" w:sz="12" w:space="0" w:color="auto"/>
            </w:tcBorders>
          </w:tcPr>
          <w:p w:rsidR="00D63376" w:rsidRDefault="00D63376" w:rsidP="00BC4FEB">
            <w:pPr>
              <w:jc w:val="center"/>
              <w:rPr>
                <w:sz w:val="20"/>
                <w:szCs w:val="20"/>
              </w:rPr>
            </w:pPr>
          </w:p>
          <w:p w:rsidR="00D63376" w:rsidRPr="002B7887" w:rsidRDefault="00D63376" w:rsidP="00BC4FEB">
            <w:pPr>
              <w:jc w:val="center"/>
              <w:rPr>
                <w:sz w:val="20"/>
                <w:szCs w:val="20"/>
              </w:rPr>
            </w:pPr>
            <w:r>
              <w:rPr>
                <w:sz w:val="20"/>
                <w:szCs w:val="20"/>
              </w:rPr>
              <w:t>Data Source</w:t>
            </w:r>
          </w:p>
        </w:tc>
      </w:tr>
      <w:tr w:rsidR="00D63376" w:rsidTr="00BC4FEB">
        <w:trPr>
          <w:jc w:val="center"/>
        </w:trPr>
        <w:tc>
          <w:tcPr>
            <w:tcW w:w="2015" w:type="dxa"/>
            <w:tcBorders>
              <w:top w:val="single" w:sz="12" w:space="0" w:color="auto"/>
            </w:tcBorders>
          </w:tcPr>
          <w:p w:rsidR="00D63376" w:rsidRPr="002B7887" w:rsidRDefault="00D63376" w:rsidP="00BC4FEB">
            <w:pPr>
              <w:ind w:left="122" w:hanging="122"/>
              <w:rPr>
                <w:sz w:val="20"/>
                <w:szCs w:val="20"/>
              </w:rPr>
            </w:pPr>
            <w:r w:rsidRPr="002B7887">
              <w:rPr>
                <w:sz w:val="20"/>
                <w:szCs w:val="20"/>
              </w:rPr>
              <w:t>Speed</w:t>
            </w:r>
            <w:r>
              <w:rPr>
                <w:sz w:val="20"/>
                <w:szCs w:val="20"/>
              </w:rPr>
              <w:t xml:space="preserve"> Capability</w:t>
            </w:r>
          </w:p>
        </w:tc>
        <w:tc>
          <w:tcPr>
            <w:tcW w:w="4323" w:type="dxa"/>
            <w:tcBorders>
              <w:top w:val="single" w:sz="12" w:space="0" w:color="auto"/>
            </w:tcBorders>
          </w:tcPr>
          <w:p w:rsidR="00D63376" w:rsidRPr="002B7887" w:rsidRDefault="00D63376" w:rsidP="00BC4FEB">
            <w:pPr>
              <w:ind w:left="87" w:hanging="87"/>
              <w:rPr>
                <w:sz w:val="20"/>
                <w:szCs w:val="20"/>
              </w:rPr>
            </w:pPr>
            <w:r>
              <w:rPr>
                <w:sz w:val="20"/>
                <w:szCs w:val="20"/>
              </w:rPr>
              <w:t>Estimated speed capabilities from (6)</w:t>
            </w:r>
          </w:p>
        </w:tc>
        <w:tc>
          <w:tcPr>
            <w:tcW w:w="2402" w:type="dxa"/>
            <w:tcBorders>
              <w:top w:val="single" w:sz="12" w:space="0" w:color="auto"/>
            </w:tcBorders>
          </w:tcPr>
          <w:p w:rsidR="00D63376" w:rsidRPr="002B7887" w:rsidRDefault="00D63376" w:rsidP="00BC4FEB">
            <w:pPr>
              <w:ind w:left="84" w:hanging="84"/>
              <w:rPr>
                <w:sz w:val="20"/>
                <w:szCs w:val="20"/>
              </w:rPr>
            </w:pPr>
            <w:r>
              <w:rPr>
                <w:sz w:val="20"/>
                <w:szCs w:val="20"/>
              </w:rPr>
              <w:t>Oil &amp; Gas Journal</w:t>
            </w:r>
          </w:p>
        </w:tc>
      </w:tr>
      <w:tr w:rsidR="00D63376" w:rsidTr="00BC4FEB">
        <w:trPr>
          <w:jc w:val="center"/>
        </w:trPr>
        <w:tc>
          <w:tcPr>
            <w:tcW w:w="2015" w:type="dxa"/>
          </w:tcPr>
          <w:p w:rsidR="00D63376" w:rsidRPr="002B7887" w:rsidRDefault="00D63376" w:rsidP="00BC4FEB">
            <w:pPr>
              <w:ind w:left="122" w:hanging="122"/>
              <w:rPr>
                <w:sz w:val="20"/>
                <w:szCs w:val="20"/>
              </w:rPr>
            </w:pPr>
          </w:p>
        </w:tc>
        <w:tc>
          <w:tcPr>
            <w:tcW w:w="4323" w:type="dxa"/>
          </w:tcPr>
          <w:p w:rsidR="00D63376" w:rsidRPr="002B7887" w:rsidRDefault="00D63376" w:rsidP="00BC4FEB">
            <w:pPr>
              <w:ind w:left="87" w:hanging="87"/>
              <w:rPr>
                <w:sz w:val="20"/>
                <w:szCs w:val="20"/>
              </w:rPr>
            </w:pPr>
          </w:p>
        </w:tc>
        <w:tc>
          <w:tcPr>
            <w:tcW w:w="2402" w:type="dxa"/>
          </w:tcPr>
          <w:p w:rsidR="00D63376" w:rsidRPr="002B7887" w:rsidRDefault="00D63376" w:rsidP="00BC4FEB">
            <w:pPr>
              <w:ind w:left="84" w:hanging="84"/>
              <w:rPr>
                <w:sz w:val="20"/>
                <w:szCs w:val="20"/>
              </w:rPr>
            </w:pPr>
          </w:p>
        </w:tc>
      </w:tr>
      <w:tr w:rsidR="00D63376" w:rsidTr="00BC4FEB">
        <w:trPr>
          <w:jc w:val="center"/>
        </w:trPr>
        <w:tc>
          <w:tcPr>
            <w:tcW w:w="2015" w:type="dxa"/>
          </w:tcPr>
          <w:p w:rsidR="00D63376" w:rsidRPr="002B7887" w:rsidRDefault="00D63376" w:rsidP="00BC4FEB">
            <w:pPr>
              <w:ind w:left="122" w:hanging="122"/>
              <w:rPr>
                <w:sz w:val="20"/>
                <w:szCs w:val="20"/>
              </w:rPr>
            </w:pPr>
            <w:r w:rsidRPr="002B7887">
              <w:rPr>
                <w:sz w:val="20"/>
                <w:szCs w:val="20"/>
              </w:rPr>
              <w:t>Firm Size</w:t>
            </w:r>
          </w:p>
        </w:tc>
        <w:tc>
          <w:tcPr>
            <w:tcW w:w="4323" w:type="dxa"/>
          </w:tcPr>
          <w:p w:rsidR="00D63376" w:rsidRPr="002B7887" w:rsidRDefault="00D63376" w:rsidP="00BC4FEB">
            <w:pPr>
              <w:ind w:left="87" w:hanging="87"/>
              <w:rPr>
                <w:sz w:val="20"/>
                <w:szCs w:val="20"/>
              </w:rPr>
            </w:pPr>
            <w:r>
              <w:rPr>
                <w:sz w:val="20"/>
                <w:szCs w:val="20"/>
              </w:rPr>
              <w:t xml:space="preserve">Log of average total sales (1996-2007, deflated to 1996 US dollars) </w:t>
            </w:r>
          </w:p>
        </w:tc>
        <w:tc>
          <w:tcPr>
            <w:tcW w:w="2402" w:type="dxa"/>
          </w:tcPr>
          <w:p w:rsidR="00D63376" w:rsidRPr="002B7887" w:rsidRDefault="00D63376" w:rsidP="00BC4FEB">
            <w:pPr>
              <w:ind w:left="84" w:hanging="84"/>
              <w:rPr>
                <w:sz w:val="20"/>
                <w:szCs w:val="20"/>
              </w:rPr>
            </w:pPr>
            <w:proofErr w:type="spellStart"/>
            <w:r>
              <w:rPr>
                <w:sz w:val="20"/>
                <w:szCs w:val="20"/>
              </w:rPr>
              <w:t>Compustat</w:t>
            </w:r>
            <w:proofErr w:type="spellEnd"/>
            <w:r>
              <w:rPr>
                <w:sz w:val="20"/>
                <w:szCs w:val="20"/>
              </w:rPr>
              <w:t xml:space="preserve">, </w:t>
            </w:r>
            <w:proofErr w:type="spellStart"/>
            <w:r>
              <w:rPr>
                <w:sz w:val="20"/>
                <w:szCs w:val="20"/>
              </w:rPr>
              <w:t>Orbis</w:t>
            </w:r>
            <w:proofErr w:type="spellEnd"/>
            <w:r>
              <w:rPr>
                <w:sz w:val="20"/>
                <w:szCs w:val="20"/>
              </w:rPr>
              <w:t>, OGJ100/OGJ 200, Annual Reports</w:t>
            </w:r>
          </w:p>
        </w:tc>
      </w:tr>
      <w:tr w:rsidR="00D63376" w:rsidTr="00BC4FEB">
        <w:trPr>
          <w:jc w:val="center"/>
        </w:trPr>
        <w:tc>
          <w:tcPr>
            <w:tcW w:w="2015" w:type="dxa"/>
          </w:tcPr>
          <w:p w:rsidR="00D63376" w:rsidRPr="002B7887" w:rsidRDefault="00D63376" w:rsidP="00BC4FEB">
            <w:pPr>
              <w:ind w:left="122" w:hanging="122"/>
              <w:rPr>
                <w:sz w:val="20"/>
                <w:szCs w:val="20"/>
              </w:rPr>
            </w:pPr>
          </w:p>
        </w:tc>
        <w:tc>
          <w:tcPr>
            <w:tcW w:w="4323" w:type="dxa"/>
          </w:tcPr>
          <w:p w:rsidR="00D63376" w:rsidRPr="002B7887" w:rsidRDefault="00D63376" w:rsidP="00BC4FEB">
            <w:pPr>
              <w:ind w:left="87" w:hanging="87"/>
              <w:rPr>
                <w:sz w:val="20"/>
                <w:szCs w:val="20"/>
              </w:rPr>
            </w:pPr>
          </w:p>
        </w:tc>
        <w:tc>
          <w:tcPr>
            <w:tcW w:w="2402" w:type="dxa"/>
          </w:tcPr>
          <w:p w:rsidR="00D63376" w:rsidRPr="002B7887" w:rsidRDefault="00D63376" w:rsidP="00BC4FEB">
            <w:pPr>
              <w:ind w:left="84" w:hanging="84"/>
              <w:rPr>
                <w:sz w:val="20"/>
                <w:szCs w:val="20"/>
              </w:rPr>
            </w:pPr>
          </w:p>
        </w:tc>
      </w:tr>
      <w:tr w:rsidR="00D63376" w:rsidTr="00BC4FEB">
        <w:trPr>
          <w:jc w:val="center"/>
        </w:trPr>
        <w:tc>
          <w:tcPr>
            <w:tcW w:w="2015" w:type="dxa"/>
          </w:tcPr>
          <w:p w:rsidR="00D63376" w:rsidRPr="002B7887" w:rsidRDefault="00D63376" w:rsidP="00BC4FEB">
            <w:pPr>
              <w:ind w:left="122" w:hanging="122"/>
              <w:rPr>
                <w:sz w:val="20"/>
                <w:szCs w:val="20"/>
              </w:rPr>
            </w:pPr>
            <w:r w:rsidRPr="002B7887">
              <w:rPr>
                <w:sz w:val="20"/>
                <w:szCs w:val="20"/>
              </w:rPr>
              <w:t>Age</w:t>
            </w:r>
          </w:p>
        </w:tc>
        <w:tc>
          <w:tcPr>
            <w:tcW w:w="4323" w:type="dxa"/>
          </w:tcPr>
          <w:p w:rsidR="00D63376" w:rsidRPr="002B7887" w:rsidRDefault="00D63376" w:rsidP="00BC4FEB">
            <w:pPr>
              <w:ind w:left="87" w:hanging="87"/>
              <w:rPr>
                <w:sz w:val="20"/>
                <w:szCs w:val="20"/>
              </w:rPr>
            </w:pPr>
            <w:r>
              <w:rPr>
                <w:sz w:val="20"/>
                <w:szCs w:val="20"/>
              </w:rPr>
              <w:t>Number of years since firm founding, standardized</w:t>
            </w:r>
          </w:p>
        </w:tc>
        <w:tc>
          <w:tcPr>
            <w:tcW w:w="2402" w:type="dxa"/>
          </w:tcPr>
          <w:p w:rsidR="00D63376" w:rsidRPr="002B7887" w:rsidRDefault="00D63376" w:rsidP="00BC4FEB">
            <w:pPr>
              <w:ind w:left="84" w:hanging="84"/>
              <w:rPr>
                <w:sz w:val="20"/>
                <w:szCs w:val="20"/>
              </w:rPr>
            </w:pPr>
            <w:proofErr w:type="spellStart"/>
            <w:r>
              <w:rPr>
                <w:sz w:val="20"/>
                <w:szCs w:val="20"/>
              </w:rPr>
              <w:t>Compustat</w:t>
            </w:r>
            <w:proofErr w:type="spellEnd"/>
            <w:r>
              <w:rPr>
                <w:sz w:val="20"/>
                <w:szCs w:val="20"/>
              </w:rPr>
              <w:t xml:space="preserve">, </w:t>
            </w:r>
            <w:proofErr w:type="spellStart"/>
            <w:r>
              <w:rPr>
                <w:sz w:val="20"/>
                <w:szCs w:val="20"/>
              </w:rPr>
              <w:t>Orbis</w:t>
            </w:r>
            <w:proofErr w:type="spellEnd"/>
            <w:r>
              <w:rPr>
                <w:sz w:val="20"/>
                <w:szCs w:val="20"/>
              </w:rPr>
              <w:t>, Web Searches</w:t>
            </w:r>
          </w:p>
        </w:tc>
      </w:tr>
      <w:tr w:rsidR="00D63376" w:rsidTr="00BC4FEB">
        <w:trPr>
          <w:jc w:val="center"/>
        </w:trPr>
        <w:tc>
          <w:tcPr>
            <w:tcW w:w="2015" w:type="dxa"/>
          </w:tcPr>
          <w:p w:rsidR="00D63376" w:rsidRPr="002B7887" w:rsidRDefault="00D63376" w:rsidP="00BC4FEB">
            <w:pPr>
              <w:ind w:left="122" w:hanging="122"/>
              <w:rPr>
                <w:sz w:val="20"/>
                <w:szCs w:val="20"/>
              </w:rPr>
            </w:pPr>
          </w:p>
        </w:tc>
        <w:tc>
          <w:tcPr>
            <w:tcW w:w="4323" w:type="dxa"/>
          </w:tcPr>
          <w:p w:rsidR="00D63376" w:rsidRPr="002B7887" w:rsidRDefault="00D63376" w:rsidP="00BC4FEB">
            <w:pPr>
              <w:ind w:left="87" w:hanging="87"/>
              <w:rPr>
                <w:sz w:val="20"/>
                <w:szCs w:val="20"/>
              </w:rPr>
            </w:pPr>
          </w:p>
        </w:tc>
        <w:tc>
          <w:tcPr>
            <w:tcW w:w="2402" w:type="dxa"/>
          </w:tcPr>
          <w:p w:rsidR="00D63376" w:rsidRPr="002B7887" w:rsidRDefault="00D63376" w:rsidP="00BC4FEB">
            <w:pPr>
              <w:ind w:left="84" w:hanging="84"/>
              <w:rPr>
                <w:sz w:val="20"/>
                <w:szCs w:val="20"/>
              </w:rPr>
            </w:pPr>
          </w:p>
        </w:tc>
      </w:tr>
      <w:tr w:rsidR="00D63376" w:rsidTr="00BC4FEB">
        <w:trPr>
          <w:jc w:val="center"/>
        </w:trPr>
        <w:tc>
          <w:tcPr>
            <w:tcW w:w="2015" w:type="dxa"/>
          </w:tcPr>
          <w:p w:rsidR="00D63376" w:rsidRPr="002B7887" w:rsidRDefault="00D63376" w:rsidP="00BC4FEB">
            <w:pPr>
              <w:ind w:left="122" w:hanging="122"/>
              <w:rPr>
                <w:sz w:val="20"/>
                <w:szCs w:val="20"/>
              </w:rPr>
            </w:pPr>
            <w:r>
              <w:rPr>
                <w:sz w:val="20"/>
                <w:szCs w:val="20"/>
              </w:rPr>
              <w:t>Age</w:t>
            </w:r>
            <w:r w:rsidRPr="006B2C98">
              <w:rPr>
                <w:sz w:val="20"/>
                <w:szCs w:val="20"/>
                <w:vertAlign w:val="superscript"/>
              </w:rPr>
              <w:t>2</w:t>
            </w:r>
          </w:p>
        </w:tc>
        <w:tc>
          <w:tcPr>
            <w:tcW w:w="4323" w:type="dxa"/>
          </w:tcPr>
          <w:p w:rsidR="00D63376" w:rsidRPr="002B7887" w:rsidRDefault="00D63376" w:rsidP="00BC4FEB">
            <w:pPr>
              <w:ind w:left="87" w:hanging="87"/>
              <w:rPr>
                <w:sz w:val="20"/>
                <w:szCs w:val="20"/>
              </w:rPr>
            </w:pPr>
            <w:r>
              <w:rPr>
                <w:sz w:val="20"/>
                <w:szCs w:val="20"/>
              </w:rPr>
              <w:t>Number of years since firm founding, standardized and squared</w:t>
            </w:r>
          </w:p>
        </w:tc>
        <w:tc>
          <w:tcPr>
            <w:tcW w:w="2402" w:type="dxa"/>
          </w:tcPr>
          <w:p w:rsidR="00D63376" w:rsidRPr="002B7887" w:rsidRDefault="00D63376" w:rsidP="00BC4FEB">
            <w:pPr>
              <w:ind w:left="84" w:hanging="84"/>
              <w:rPr>
                <w:sz w:val="20"/>
                <w:szCs w:val="20"/>
              </w:rPr>
            </w:pPr>
            <w:proofErr w:type="spellStart"/>
            <w:r>
              <w:rPr>
                <w:sz w:val="20"/>
                <w:szCs w:val="20"/>
              </w:rPr>
              <w:t>Compustat</w:t>
            </w:r>
            <w:proofErr w:type="spellEnd"/>
            <w:r>
              <w:rPr>
                <w:sz w:val="20"/>
                <w:szCs w:val="20"/>
              </w:rPr>
              <w:t xml:space="preserve">, </w:t>
            </w:r>
            <w:proofErr w:type="spellStart"/>
            <w:r>
              <w:rPr>
                <w:sz w:val="20"/>
                <w:szCs w:val="20"/>
              </w:rPr>
              <w:t>Orbis</w:t>
            </w:r>
            <w:proofErr w:type="spellEnd"/>
            <w:r>
              <w:rPr>
                <w:sz w:val="20"/>
                <w:szCs w:val="20"/>
              </w:rPr>
              <w:t>, Web Searches</w:t>
            </w:r>
          </w:p>
        </w:tc>
      </w:tr>
      <w:tr w:rsidR="00D63376" w:rsidTr="00BC4FEB">
        <w:trPr>
          <w:jc w:val="center"/>
        </w:trPr>
        <w:tc>
          <w:tcPr>
            <w:tcW w:w="2015" w:type="dxa"/>
          </w:tcPr>
          <w:p w:rsidR="00D63376" w:rsidRPr="002B7887" w:rsidRDefault="00D63376" w:rsidP="00BC4FEB">
            <w:pPr>
              <w:ind w:left="122" w:hanging="122"/>
              <w:rPr>
                <w:sz w:val="20"/>
                <w:szCs w:val="20"/>
              </w:rPr>
            </w:pPr>
          </w:p>
        </w:tc>
        <w:tc>
          <w:tcPr>
            <w:tcW w:w="4323" w:type="dxa"/>
          </w:tcPr>
          <w:p w:rsidR="00D63376" w:rsidRPr="002B7887" w:rsidRDefault="00D63376" w:rsidP="00BC4FEB">
            <w:pPr>
              <w:ind w:left="87" w:hanging="87"/>
              <w:rPr>
                <w:sz w:val="20"/>
                <w:szCs w:val="20"/>
              </w:rPr>
            </w:pPr>
          </w:p>
        </w:tc>
        <w:tc>
          <w:tcPr>
            <w:tcW w:w="2402" w:type="dxa"/>
          </w:tcPr>
          <w:p w:rsidR="00D63376" w:rsidRPr="002B7887" w:rsidRDefault="00D63376" w:rsidP="00BC4FEB">
            <w:pPr>
              <w:ind w:left="84" w:hanging="84"/>
              <w:rPr>
                <w:sz w:val="20"/>
                <w:szCs w:val="20"/>
              </w:rPr>
            </w:pPr>
          </w:p>
        </w:tc>
      </w:tr>
      <w:tr w:rsidR="00D63376" w:rsidTr="00BC4FEB">
        <w:trPr>
          <w:jc w:val="center"/>
        </w:trPr>
        <w:tc>
          <w:tcPr>
            <w:tcW w:w="2015" w:type="dxa"/>
          </w:tcPr>
          <w:p w:rsidR="00D63376" w:rsidRPr="002B7887" w:rsidRDefault="00D63376" w:rsidP="00BC4FEB">
            <w:pPr>
              <w:ind w:left="122" w:hanging="122"/>
              <w:rPr>
                <w:sz w:val="20"/>
                <w:szCs w:val="20"/>
              </w:rPr>
            </w:pPr>
            <w:r w:rsidRPr="002B7887">
              <w:rPr>
                <w:sz w:val="20"/>
                <w:szCs w:val="20"/>
              </w:rPr>
              <w:t>LNG</w:t>
            </w:r>
            <w:r>
              <w:rPr>
                <w:sz w:val="20"/>
                <w:szCs w:val="20"/>
              </w:rPr>
              <w:t xml:space="preserve"> </w:t>
            </w:r>
            <w:r w:rsidRPr="002B7887">
              <w:rPr>
                <w:sz w:val="20"/>
                <w:szCs w:val="20"/>
              </w:rPr>
              <w:t>Tankers</w:t>
            </w:r>
          </w:p>
        </w:tc>
        <w:tc>
          <w:tcPr>
            <w:tcW w:w="4323" w:type="dxa"/>
          </w:tcPr>
          <w:p w:rsidR="00D63376" w:rsidRPr="002B7887" w:rsidRDefault="00D63376" w:rsidP="00BC4FEB">
            <w:pPr>
              <w:ind w:left="87" w:hanging="87"/>
              <w:rPr>
                <w:sz w:val="20"/>
                <w:szCs w:val="20"/>
              </w:rPr>
            </w:pPr>
            <w:r>
              <w:rPr>
                <w:sz w:val="20"/>
                <w:szCs w:val="20"/>
              </w:rPr>
              <w:t>Number of LNG tankers owned by firm</w:t>
            </w:r>
          </w:p>
        </w:tc>
        <w:tc>
          <w:tcPr>
            <w:tcW w:w="2402" w:type="dxa"/>
          </w:tcPr>
          <w:p w:rsidR="00D63376" w:rsidRPr="002B7887" w:rsidRDefault="00D63376" w:rsidP="00BC4FEB">
            <w:pPr>
              <w:ind w:left="84" w:hanging="84"/>
              <w:rPr>
                <w:sz w:val="20"/>
                <w:szCs w:val="20"/>
              </w:rPr>
            </w:pPr>
            <w:r>
              <w:rPr>
                <w:sz w:val="20"/>
                <w:szCs w:val="20"/>
              </w:rPr>
              <w:t>LNG Observer, EIA</w:t>
            </w:r>
          </w:p>
        </w:tc>
      </w:tr>
      <w:tr w:rsidR="00D63376" w:rsidTr="00BC4FEB">
        <w:trPr>
          <w:jc w:val="center"/>
        </w:trPr>
        <w:tc>
          <w:tcPr>
            <w:tcW w:w="2015" w:type="dxa"/>
          </w:tcPr>
          <w:p w:rsidR="00D63376" w:rsidRPr="002B7887" w:rsidRDefault="00D63376" w:rsidP="00BC4FEB">
            <w:pPr>
              <w:ind w:left="122" w:hanging="122"/>
              <w:rPr>
                <w:sz w:val="20"/>
                <w:szCs w:val="20"/>
              </w:rPr>
            </w:pPr>
            <w:r w:rsidRPr="002B7887">
              <w:rPr>
                <w:sz w:val="20"/>
                <w:szCs w:val="20"/>
              </w:rPr>
              <w:t xml:space="preserve">   </w:t>
            </w:r>
          </w:p>
        </w:tc>
        <w:tc>
          <w:tcPr>
            <w:tcW w:w="4323" w:type="dxa"/>
          </w:tcPr>
          <w:p w:rsidR="00D63376" w:rsidRPr="002B7887" w:rsidRDefault="00D63376" w:rsidP="00BC4FEB">
            <w:pPr>
              <w:ind w:left="87" w:hanging="87"/>
              <w:rPr>
                <w:sz w:val="20"/>
                <w:szCs w:val="20"/>
              </w:rPr>
            </w:pPr>
          </w:p>
        </w:tc>
        <w:tc>
          <w:tcPr>
            <w:tcW w:w="2402" w:type="dxa"/>
          </w:tcPr>
          <w:p w:rsidR="00D63376" w:rsidRPr="002B7887" w:rsidRDefault="00D63376" w:rsidP="00BC4FEB">
            <w:pPr>
              <w:ind w:left="84" w:hanging="84"/>
              <w:rPr>
                <w:sz w:val="20"/>
                <w:szCs w:val="20"/>
              </w:rPr>
            </w:pPr>
          </w:p>
        </w:tc>
      </w:tr>
      <w:tr w:rsidR="00D63376" w:rsidTr="00BC4FEB">
        <w:trPr>
          <w:jc w:val="center"/>
        </w:trPr>
        <w:tc>
          <w:tcPr>
            <w:tcW w:w="2015" w:type="dxa"/>
          </w:tcPr>
          <w:p w:rsidR="00D63376" w:rsidRPr="002B7887" w:rsidRDefault="00D63376" w:rsidP="00BC4FEB">
            <w:pPr>
              <w:ind w:left="122" w:hanging="122"/>
              <w:rPr>
                <w:sz w:val="20"/>
                <w:szCs w:val="20"/>
              </w:rPr>
            </w:pPr>
            <w:r w:rsidRPr="002B7887">
              <w:rPr>
                <w:sz w:val="20"/>
                <w:szCs w:val="20"/>
              </w:rPr>
              <w:t>Oil &amp; Gas</w:t>
            </w:r>
            <w:r>
              <w:rPr>
                <w:sz w:val="20"/>
                <w:szCs w:val="20"/>
              </w:rPr>
              <w:t xml:space="preserve"> </w:t>
            </w:r>
            <w:r w:rsidRPr="002B7887">
              <w:rPr>
                <w:sz w:val="20"/>
                <w:szCs w:val="20"/>
              </w:rPr>
              <w:t>Production</w:t>
            </w:r>
          </w:p>
        </w:tc>
        <w:tc>
          <w:tcPr>
            <w:tcW w:w="4323" w:type="dxa"/>
          </w:tcPr>
          <w:p w:rsidR="00D63376" w:rsidRPr="002B7887" w:rsidRDefault="00D63376" w:rsidP="00BC4FEB">
            <w:pPr>
              <w:ind w:left="87" w:hanging="87"/>
              <w:rPr>
                <w:sz w:val="20"/>
                <w:szCs w:val="20"/>
              </w:rPr>
            </w:pPr>
            <w:r>
              <w:rPr>
                <w:sz w:val="20"/>
                <w:szCs w:val="20"/>
              </w:rPr>
              <w:t xml:space="preserve">Log of Average Oil and Gas Production (1996-2007) in </w:t>
            </w:r>
            <w:proofErr w:type="spellStart"/>
            <w:r>
              <w:rPr>
                <w:sz w:val="20"/>
                <w:szCs w:val="20"/>
              </w:rPr>
              <w:t>MMboe</w:t>
            </w:r>
            <w:proofErr w:type="spellEnd"/>
          </w:p>
        </w:tc>
        <w:tc>
          <w:tcPr>
            <w:tcW w:w="2402" w:type="dxa"/>
          </w:tcPr>
          <w:p w:rsidR="00D63376" w:rsidRPr="002B7887" w:rsidRDefault="00D63376" w:rsidP="00BC4FEB">
            <w:pPr>
              <w:ind w:left="84" w:hanging="84"/>
              <w:rPr>
                <w:sz w:val="20"/>
                <w:szCs w:val="20"/>
              </w:rPr>
            </w:pPr>
            <w:r>
              <w:rPr>
                <w:sz w:val="20"/>
                <w:szCs w:val="20"/>
              </w:rPr>
              <w:t>OGJ100/OGJ200</w:t>
            </w:r>
          </w:p>
        </w:tc>
      </w:tr>
      <w:tr w:rsidR="00D63376" w:rsidTr="00BC4FEB">
        <w:trPr>
          <w:jc w:val="center"/>
        </w:trPr>
        <w:tc>
          <w:tcPr>
            <w:tcW w:w="2015" w:type="dxa"/>
          </w:tcPr>
          <w:p w:rsidR="00D63376" w:rsidRPr="002B7887" w:rsidRDefault="00D63376" w:rsidP="00BC4FEB">
            <w:pPr>
              <w:ind w:left="122" w:hanging="122"/>
              <w:rPr>
                <w:sz w:val="20"/>
                <w:szCs w:val="20"/>
              </w:rPr>
            </w:pPr>
            <w:r w:rsidRPr="002B7887">
              <w:rPr>
                <w:sz w:val="20"/>
                <w:szCs w:val="20"/>
              </w:rPr>
              <w:t xml:space="preserve">   </w:t>
            </w:r>
          </w:p>
        </w:tc>
        <w:tc>
          <w:tcPr>
            <w:tcW w:w="4323" w:type="dxa"/>
          </w:tcPr>
          <w:p w:rsidR="00D63376" w:rsidRPr="002B7887" w:rsidRDefault="00D63376" w:rsidP="00BC4FEB">
            <w:pPr>
              <w:ind w:left="87" w:hanging="87"/>
              <w:rPr>
                <w:sz w:val="20"/>
                <w:szCs w:val="20"/>
              </w:rPr>
            </w:pPr>
          </w:p>
        </w:tc>
        <w:tc>
          <w:tcPr>
            <w:tcW w:w="2402" w:type="dxa"/>
          </w:tcPr>
          <w:p w:rsidR="00D63376" w:rsidRPr="002B7887" w:rsidRDefault="00D63376" w:rsidP="00BC4FEB">
            <w:pPr>
              <w:ind w:left="84" w:hanging="84"/>
              <w:rPr>
                <w:sz w:val="20"/>
                <w:szCs w:val="20"/>
              </w:rPr>
            </w:pPr>
          </w:p>
        </w:tc>
      </w:tr>
      <w:tr w:rsidR="00D63376" w:rsidTr="00BC4FEB">
        <w:trPr>
          <w:jc w:val="center"/>
        </w:trPr>
        <w:tc>
          <w:tcPr>
            <w:tcW w:w="2015" w:type="dxa"/>
          </w:tcPr>
          <w:p w:rsidR="00D63376" w:rsidRPr="002B7887" w:rsidRDefault="00D63376" w:rsidP="00BC4FEB">
            <w:pPr>
              <w:ind w:left="122" w:hanging="122"/>
              <w:rPr>
                <w:sz w:val="20"/>
                <w:szCs w:val="20"/>
              </w:rPr>
            </w:pPr>
            <w:r w:rsidRPr="002B7887">
              <w:rPr>
                <w:sz w:val="20"/>
                <w:szCs w:val="20"/>
              </w:rPr>
              <w:t>Oil &amp; Gas</w:t>
            </w:r>
            <w:r>
              <w:rPr>
                <w:sz w:val="20"/>
                <w:szCs w:val="20"/>
              </w:rPr>
              <w:t xml:space="preserve"> </w:t>
            </w:r>
            <w:r w:rsidRPr="002B7887">
              <w:rPr>
                <w:sz w:val="20"/>
                <w:szCs w:val="20"/>
              </w:rPr>
              <w:t>Reserves</w:t>
            </w:r>
          </w:p>
        </w:tc>
        <w:tc>
          <w:tcPr>
            <w:tcW w:w="4323" w:type="dxa"/>
          </w:tcPr>
          <w:p w:rsidR="00D63376" w:rsidRPr="002B7887" w:rsidRDefault="00D63376" w:rsidP="00BC4FEB">
            <w:pPr>
              <w:ind w:left="87" w:hanging="87"/>
              <w:rPr>
                <w:sz w:val="20"/>
                <w:szCs w:val="20"/>
              </w:rPr>
            </w:pPr>
            <w:r>
              <w:rPr>
                <w:sz w:val="20"/>
                <w:szCs w:val="20"/>
              </w:rPr>
              <w:t xml:space="preserve">Log of Average Oil and Gas Reserves(1996-2007) in </w:t>
            </w:r>
            <w:proofErr w:type="spellStart"/>
            <w:r>
              <w:rPr>
                <w:sz w:val="20"/>
                <w:szCs w:val="20"/>
              </w:rPr>
              <w:t>MMboe</w:t>
            </w:r>
            <w:proofErr w:type="spellEnd"/>
          </w:p>
        </w:tc>
        <w:tc>
          <w:tcPr>
            <w:tcW w:w="2402" w:type="dxa"/>
          </w:tcPr>
          <w:p w:rsidR="00D63376" w:rsidRPr="002B7887" w:rsidRDefault="00D63376" w:rsidP="00BC4FEB">
            <w:pPr>
              <w:ind w:left="84" w:hanging="84"/>
              <w:rPr>
                <w:sz w:val="20"/>
                <w:szCs w:val="20"/>
              </w:rPr>
            </w:pPr>
            <w:r>
              <w:rPr>
                <w:sz w:val="20"/>
                <w:szCs w:val="20"/>
              </w:rPr>
              <w:t>OGJ100/OGJ200</w:t>
            </w:r>
          </w:p>
        </w:tc>
      </w:tr>
      <w:tr w:rsidR="00D63376" w:rsidTr="00BC4FEB">
        <w:trPr>
          <w:jc w:val="center"/>
        </w:trPr>
        <w:tc>
          <w:tcPr>
            <w:tcW w:w="2015" w:type="dxa"/>
          </w:tcPr>
          <w:p w:rsidR="00D63376" w:rsidRPr="002B7887" w:rsidRDefault="00D63376" w:rsidP="00BC4FEB">
            <w:pPr>
              <w:ind w:left="122" w:hanging="122"/>
              <w:rPr>
                <w:sz w:val="20"/>
                <w:szCs w:val="20"/>
              </w:rPr>
            </w:pPr>
            <w:r w:rsidRPr="002B7887">
              <w:rPr>
                <w:sz w:val="20"/>
                <w:szCs w:val="20"/>
              </w:rPr>
              <w:t xml:space="preserve">   </w:t>
            </w:r>
          </w:p>
        </w:tc>
        <w:tc>
          <w:tcPr>
            <w:tcW w:w="4323" w:type="dxa"/>
          </w:tcPr>
          <w:p w:rsidR="00D63376" w:rsidRPr="002B7887" w:rsidRDefault="00D63376" w:rsidP="00BC4FEB">
            <w:pPr>
              <w:ind w:left="87" w:hanging="87"/>
              <w:rPr>
                <w:sz w:val="20"/>
                <w:szCs w:val="20"/>
              </w:rPr>
            </w:pPr>
          </w:p>
        </w:tc>
        <w:tc>
          <w:tcPr>
            <w:tcW w:w="2402" w:type="dxa"/>
          </w:tcPr>
          <w:p w:rsidR="00D63376" w:rsidRPr="002B7887" w:rsidRDefault="00D63376" w:rsidP="00BC4FEB">
            <w:pPr>
              <w:ind w:left="84" w:hanging="84"/>
              <w:rPr>
                <w:sz w:val="20"/>
                <w:szCs w:val="20"/>
              </w:rPr>
            </w:pPr>
          </w:p>
        </w:tc>
      </w:tr>
      <w:tr w:rsidR="00D63376" w:rsidTr="00BC4FEB">
        <w:trPr>
          <w:jc w:val="center"/>
        </w:trPr>
        <w:tc>
          <w:tcPr>
            <w:tcW w:w="2015" w:type="dxa"/>
          </w:tcPr>
          <w:p w:rsidR="00D63376" w:rsidRPr="002B7887" w:rsidRDefault="00D63376" w:rsidP="00BC4FEB">
            <w:pPr>
              <w:ind w:left="122" w:hanging="122"/>
              <w:rPr>
                <w:sz w:val="20"/>
                <w:szCs w:val="20"/>
              </w:rPr>
            </w:pPr>
            <w:r w:rsidRPr="002B7887">
              <w:rPr>
                <w:sz w:val="20"/>
                <w:szCs w:val="20"/>
              </w:rPr>
              <w:t>LNG Experience</w:t>
            </w:r>
          </w:p>
        </w:tc>
        <w:tc>
          <w:tcPr>
            <w:tcW w:w="4323" w:type="dxa"/>
          </w:tcPr>
          <w:p w:rsidR="00D63376" w:rsidRPr="002B7887" w:rsidRDefault="00D63376" w:rsidP="00BC4FEB">
            <w:pPr>
              <w:ind w:left="87" w:hanging="87"/>
              <w:rPr>
                <w:sz w:val="20"/>
                <w:szCs w:val="20"/>
              </w:rPr>
            </w:pPr>
            <w:r>
              <w:rPr>
                <w:sz w:val="20"/>
                <w:szCs w:val="20"/>
              </w:rPr>
              <w:t>Number of LNG investments made by the firm prior to the current year</w:t>
            </w:r>
          </w:p>
        </w:tc>
        <w:tc>
          <w:tcPr>
            <w:tcW w:w="2402" w:type="dxa"/>
          </w:tcPr>
          <w:p w:rsidR="00D63376" w:rsidRPr="002B7887" w:rsidRDefault="00D63376" w:rsidP="00BC4FEB">
            <w:pPr>
              <w:ind w:left="84" w:hanging="84"/>
              <w:rPr>
                <w:sz w:val="20"/>
                <w:szCs w:val="20"/>
              </w:rPr>
            </w:pPr>
            <w:r>
              <w:rPr>
                <w:sz w:val="20"/>
                <w:szCs w:val="20"/>
              </w:rPr>
              <w:t>Oil &amp; Gas Journal, LNG Observer, Web Searches</w:t>
            </w:r>
          </w:p>
        </w:tc>
      </w:tr>
      <w:tr w:rsidR="00D63376" w:rsidTr="00BC4FEB">
        <w:trPr>
          <w:jc w:val="center"/>
        </w:trPr>
        <w:tc>
          <w:tcPr>
            <w:tcW w:w="2015" w:type="dxa"/>
          </w:tcPr>
          <w:p w:rsidR="00D63376" w:rsidRPr="002B7887" w:rsidRDefault="00D63376" w:rsidP="00BC4FEB">
            <w:pPr>
              <w:ind w:left="122" w:hanging="122"/>
              <w:rPr>
                <w:sz w:val="20"/>
                <w:szCs w:val="20"/>
              </w:rPr>
            </w:pPr>
            <w:r w:rsidRPr="002B7887">
              <w:rPr>
                <w:sz w:val="20"/>
                <w:szCs w:val="20"/>
              </w:rPr>
              <w:t xml:space="preserve">  </w:t>
            </w:r>
          </w:p>
        </w:tc>
        <w:tc>
          <w:tcPr>
            <w:tcW w:w="4323" w:type="dxa"/>
          </w:tcPr>
          <w:p w:rsidR="00D63376" w:rsidRPr="002B7887" w:rsidRDefault="00D63376" w:rsidP="00BC4FEB">
            <w:pPr>
              <w:ind w:left="87" w:hanging="87"/>
              <w:rPr>
                <w:sz w:val="20"/>
                <w:szCs w:val="20"/>
              </w:rPr>
            </w:pPr>
          </w:p>
        </w:tc>
        <w:tc>
          <w:tcPr>
            <w:tcW w:w="2402" w:type="dxa"/>
          </w:tcPr>
          <w:p w:rsidR="00D63376" w:rsidRPr="002B7887" w:rsidRDefault="00D63376" w:rsidP="00BC4FEB">
            <w:pPr>
              <w:ind w:left="84" w:hanging="84"/>
              <w:rPr>
                <w:sz w:val="20"/>
                <w:szCs w:val="20"/>
              </w:rPr>
            </w:pPr>
          </w:p>
        </w:tc>
      </w:tr>
      <w:tr w:rsidR="00D63376" w:rsidTr="00BC4FEB">
        <w:trPr>
          <w:jc w:val="center"/>
        </w:trPr>
        <w:tc>
          <w:tcPr>
            <w:tcW w:w="2015" w:type="dxa"/>
          </w:tcPr>
          <w:p w:rsidR="00D63376" w:rsidRPr="002B7887" w:rsidRDefault="00D63376" w:rsidP="00BC4FEB">
            <w:pPr>
              <w:ind w:left="122" w:hanging="122"/>
              <w:rPr>
                <w:sz w:val="20"/>
                <w:szCs w:val="20"/>
              </w:rPr>
            </w:pPr>
            <w:r w:rsidRPr="002B7887">
              <w:rPr>
                <w:sz w:val="20"/>
                <w:szCs w:val="20"/>
              </w:rPr>
              <w:t>LNG</w:t>
            </w:r>
            <w:r>
              <w:rPr>
                <w:sz w:val="20"/>
                <w:szCs w:val="20"/>
              </w:rPr>
              <w:t xml:space="preserve"> Import </w:t>
            </w:r>
            <w:r w:rsidRPr="002B7887">
              <w:rPr>
                <w:sz w:val="20"/>
                <w:szCs w:val="20"/>
              </w:rPr>
              <w:t>Market Share</w:t>
            </w:r>
          </w:p>
        </w:tc>
        <w:tc>
          <w:tcPr>
            <w:tcW w:w="4323" w:type="dxa"/>
          </w:tcPr>
          <w:p w:rsidR="00D63376" w:rsidRPr="002B7887" w:rsidRDefault="00D63376" w:rsidP="00BC4FEB">
            <w:pPr>
              <w:ind w:left="87" w:hanging="87"/>
              <w:rPr>
                <w:sz w:val="20"/>
                <w:szCs w:val="20"/>
              </w:rPr>
            </w:pPr>
            <w:r>
              <w:rPr>
                <w:sz w:val="20"/>
                <w:szCs w:val="20"/>
              </w:rPr>
              <w:t>(Firm share of world LNG gasification capacity / total world LNG gasification capacity) * 100</w:t>
            </w:r>
          </w:p>
        </w:tc>
        <w:tc>
          <w:tcPr>
            <w:tcW w:w="2402" w:type="dxa"/>
          </w:tcPr>
          <w:p w:rsidR="00D63376" w:rsidRPr="002B7887" w:rsidRDefault="00D63376" w:rsidP="00BC4FEB">
            <w:pPr>
              <w:ind w:left="84" w:hanging="84"/>
              <w:rPr>
                <w:sz w:val="20"/>
                <w:szCs w:val="20"/>
              </w:rPr>
            </w:pPr>
            <w:r>
              <w:rPr>
                <w:sz w:val="20"/>
                <w:szCs w:val="20"/>
              </w:rPr>
              <w:t>Oil &amp; Gas Journal, LNG Observer, LNG World Trade Map, EIA</w:t>
            </w:r>
          </w:p>
        </w:tc>
      </w:tr>
      <w:tr w:rsidR="00D63376" w:rsidTr="00BC4FEB">
        <w:trPr>
          <w:jc w:val="center"/>
        </w:trPr>
        <w:tc>
          <w:tcPr>
            <w:tcW w:w="2015" w:type="dxa"/>
          </w:tcPr>
          <w:p w:rsidR="00D63376" w:rsidRPr="002B7887" w:rsidRDefault="00D63376" w:rsidP="00BC4FEB">
            <w:pPr>
              <w:ind w:left="122" w:hanging="122"/>
              <w:rPr>
                <w:sz w:val="20"/>
                <w:szCs w:val="20"/>
              </w:rPr>
            </w:pPr>
            <w:r w:rsidRPr="002B7887">
              <w:rPr>
                <w:sz w:val="20"/>
                <w:szCs w:val="20"/>
              </w:rPr>
              <w:t xml:space="preserve">   </w:t>
            </w:r>
          </w:p>
        </w:tc>
        <w:tc>
          <w:tcPr>
            <w:tcW w:w="4323" w:type="dxa"/>
          </w:tcPr>
          <w:p w:rsidR="00D63376" w:rsidRPr="002B7887" w:rsidRDefault="00D63376" w:rsidP="00BC4FEB">
            <w:pPr>
              <w:ind w:left="87" w:hanging="87"/>
              <w:rPr>
                <w:sz w:val="20"/>
                <w:szCs w:val="20"/>
              </w:rPr>
            </w:pPr>
          </w:p>
        </w:tc>
        <w:tc>
          <w:tcPr>
            <w:tcW w:w="2402" w:type="dxa"/>
          </w:tcPr>
          <w:p w:rsidR="00D63376" w:rsidRPr="002B7887" w:rsidRDefault="00D63376" w:rsidP="00BC4FEB">
            <w:pPr>
              <w:ind w:left="84" w:hanging="84"/>
              <w:rPr>
                <w:sz w:val="20"/>
                <w:szCs w:val="20"/>
              </w:rPr>
            </w:pPr>
          </w:p>
        </w:tc>
      </w:tr>
      <w:tr w:rsidR="00D63376" w:rsidTr="00BC4FEB">
        <w:trPr>
          <w:jc w:val="center"/>
        </w:trPr>
        <w:tc>
          <w:tcPr>
            <w:tcW w:w="2015" w:type="dxa"/>
          </w:tcPr>
          <w:p w:rsidR="00D63376" w:rsidRPr="002B7887" w:rsidRDefault="00D63376" w:rsidP="00BC4FEB">
            <w:pPr>
              <w:ind w:left="122" w:hanging="122"/>
              <w:rPr>
                <w:sz w:val="20"/>
                <w:szCs w:val="20"/>
              </w:rPr>
            </w:pPr>
            <w:r>
              <w:rPr>
                <w:sz w:val="20"/>
                <w:szCs w:val="20"/>
              </w:rPr>
              <w:t>LNG Export Market Share</w:t>
            </w:r>
          </w:p>
        </w:tc>
        <w:tc>
          <w:tcPr>
            <w:tcW w:w="4323" w:type="dxa"/>
          </w:tcPr>
          <w:p w:rsidR="00D63376" w:rsidRPr="002B7887" w:rsidRDefault="00D63376" w:rsidP="00BC4FEB">
            <w:pPr>
              <w:ind w:left="87" w:hanging="87"/>
              <w:rPr>
                <w:sz w:val="20"/>
                <w:szCs w:val="20"/>
              </w:rPr>
            </w:pPr>
            <w:r>
              <w:rPr>
                <w:sz w:val="20"/>
                <w:szCs w:val="20"/>
              </w:rPr>
              <w:t>(Firm share of world LNG liquefaction capacity / total world LNG liquefaction capacity) * 100</w:t>
            </w:r>
          </w:p>
        </w:tc>
        <w:tc>
          <w:tcPr>
            <w:tcW w:w="2402" w:type="dxa"/>
          </w:tcPr>
          <w:p w:rsidR="00D63376" w:rsidRPr="002B7887" w:rsidRDefault="00D63376" w:rsidP="00BC4FEB">
            <w:pPr>
              <w:ind w:left="84" w:hanging="84"/>
              <w:rPr>
                <w:sz w:val="20"/>
                <w:szCs w:val="20"/>
              </w:rPr>
            </w:pPr>
            <w:r>
              <w:rPr>
                <w:sz w:val="20"/>
                <w:szCs w:val="20"/>
              </w:rPr>
              <w:t>Oil &amp; Gas Journal, LNG Observer, LNG World Trade Map, EIA</w:t>
            </w:r>
          </w:p>
        </w:tc>
      </w:tr>
      <w:tr w:rsidR="00D63376" w:rsidTr="00BC4FEB">
        <w:trPr>
          <w:jc w:val="center"/>
        </w:trPr>
        <w:tc>
          <w:tcPr>
            <w:tcW w:w="2015" w:type="dxa"/>
          </w:tcPr>
          <w:p w:rsidR="00D63376" w:rsidRPr="002B7887" w:rsidRDefault="00D63376" w:rsidP="00BC4FEB">
            <w:pPr>
              <w:ind w:left="122" w:hanging="122"/>
              <w:rPr>
                <w:sz w:val="20"/>
                <w:szCs w:val="20"/>
              </w:rPr>
            </w:pPr>
            <w:r>
              <w:rPr>
                <w:sz w:val="20"/>
                <w:szCs w:val="20"/>
              </w:rPr>
              <w:t xml:space="preserve">   </w:t>
            </w:r>
          </w:p>
        </w:tc>
        <w:tc>
          <w:tcPr>
            <w:tcW w:w="4323" w:type="dxa"/>
          </w:tcPr>
          <w:p w:rsidR="00D63376" w:rsidRPr="002B7887" w:rsidRDefault="00D63376" w:rsidP="00BC4FEB">
            <w:pPr>
              <w:ind w:left="87" w:hanging="87"/>
              <w:rPr>
                <w:sz w:val="20"/>
                <w:szCs w:val="20"/>
              </w:rPr>
            </w:pPr>
          </w:p>
        </w:tc>
        <w:tc>
          <w:tcPr>
            <w:tcW w:w="2402" w:type="dxa"/>
          </w:tcPr>
          <w:p w:rsidR="00D63376" w:rsidRPr="002B7887" w:rsidRDefault="00D63376" w:rsidP="00BC4FEB">
            <w:pPr>
              <w:ind w:left="84" w:hanging="84"/>
              <w:rPr>
                <w:sz w:val="20"/>
                <w:szCs w:val="20"/>
              </w:rPr>
            </w:pPr>
          </w:p>
        </w:tc>
      </w:tr>
      <w:tr w:rsidR="00D63376" w:rsidTr="00BC4FEB">
        <w:trPr>
          <w:jc w:val="center"/>
        </w:trPr>
        <w:tc>
          <w:tcPr>
            <w:tcW w:w="2015" w:type="dxa"/>
          </w:tcPr>
          <w:p w:rsidR="00D63376" w:rsidRPr="002B7887" w:rsidRDefault="00D63376" w:rsidP="00BC4FEB">
            <w:pPr>
              <w:ind w:left="122" w:hanging="122"/>
              <w:rPr>
                <w:sz w:val="20"/>
                <w:szCs w:val="20"/>
              </w:rPr>
            </w:pPr>
            <w:r w:rsidRPr="002B7887">
              <w:rPr>
                <w:sz w:val="20"/>
                <w:szCs w:val="20"/>
              </w:rPr>
              <w:t>LNG</w:t>
            </w:r>
            <w:r>
              <w:rPr>
                <w:sz w:val="20"/>
                <w:szCs w:val="20"/>
              </w:rPr>
              <w:t xml:space="preserve"> </w:t>
            </w:r>
            <w:r w:rsidRPr="002B7887">
              <w:rPr>
                <w:sz w:val="20"/>
                <w:szCs w:val="20"/>
              </w:rPr>
              <w:t>Demand</w:t>
            </w:r>
          </w:p>
        </w:tc>
        <w:tc>
          <w:tcPr>
            <w:tcW w:w="4323" w:type="dxa"/>
          </w:tcPr>
          <w:p w:rsidR="00D63376" w:rsidRPr="002B7887" w:rsidRDefault="00D63376" w:rsidP="00BC4FEB">
            <w:pPr>
              <w:ind w:left="87" w:hanging="87"/>
              <w:rPr>
                <w:sz w:val="20"/>
                <w:szCs w:val="20"/>
              </w:rPr>
            </w:pPr>
            <w:r>
              <w:rPr>
                <w:sz w:val="20"/>
                <w:szCs w:val="20"/>
              </w:rPr>
              <w:t>4 year historical compound annual growth rate of world LNG production and regasification</w:t>
            </w:r>
          </w:p>
        </w:tc>
        <w:tc>
          <w:tcPr>
            <w:tcW w:w="2402" w:type="dxa"/>
          </w:tcPr>
          <w:p w:rsidR="00D63376" w:rsidRPr="002B7887" w:rsidRDefault="00D63376" w:rsidP="00BC4FEB">
            <w:pPr>
              <w:ind w:left="84" w:hanging="84"/>
              <w:rPr>
                <w:sz w:val="20"/>
                <w:szCs w:val="20"/>
              </w:rPr>
            </w:pPr>
            <w:r>
              <w:rPr>
                <w:sz w:val="20"/>
                <w:szCs w:val="20"/>
              </w:rPr>
              <w:t>Oil &amp; Gas Journal, LNG Observer, LNG World Trade Map, EIA</w:t>
            </w:r>
          </w:p>
        </w:tc>
      </w:tr>
      <w:tr w:rsidR="00D63376" w:rsidTr="00BC4FEB">
        <w:trPr>
          <w:jc w:val="center"/>
        </w:trPr>
        <w:tc>
          <w:tcPr>
            <w:tcW w:w="2015" w:type="dxa"/>
          </w:tcPr>
          <w:p w:rsidR="00D63376" w:rsidRPr="002B7887" w:rsidRDefault="00D63376" w:rsidP="00BC4FEB">
            <w:pPr>
              <w:ind w:left="122" w:hanging="122"/>
              <w:rPr>
                <w:sz w:val="20"/>
                <w:szCs w:val="20"/>
              </w:rPr>
            </w:pPr>
            <w:r w:rsidRPr="002B7887">
              <w:rPr>
                <w:sz w:val="20"/>
                <w:szCs w:val="20"/>
              </w:rPr>
              <w:t xml:space="preserve">   </w:t>
            </w:r>
          </w:p>
        </w:tc>
        <w:tc>
          <w:tcPr>
            <w:tcW w:w="4323" w:type="dxa"/>
          </w:tcPr>
          <w:p w:rsidR="00D63376" w:rsidRPr="002B7887" w:rsidRDefault="00D63376" w:rsidP="00BC4FEB">
            <w:pPr>
              <w:ind w:left="87" w:hanging="87"/>
              <w:rPr>
                <w:sz w:val="20"/>
                <w:szCs w:val="20"/>
              </w:rPr>
            </w:pPr>
          </w:p>
        </w:tc>
        <w:tc>
          <w:tcPr>
            <w:tcW w:w="2402" w:type="dxa"/>
          </w:tcPr>
          <w:p w:rsidR="00D63376" w:rsidRPr="002B7887" w:rsidRDefault="00D63376" w:rsidP="00BC4FEB">
            <w:pPr>
              <w:ind w:left="84" w:hanging="84"/>
              <w:rPr>
                <w:sz w:val="20"/>
                <w:szCs w:val="20"/>
              </w:rPr>
            </w:pPr>
          </w:p>
        </w:tc>
      </w:tr>
      <w:tr w:rsidR="00D63376" w:rsidTr="00BC4FEB">
        <w:trPr>
          <w:jc w:val="center"/>
        </w:trPr>
        <w:tc>
          <w:tcPr>
            <w:tcW w:w="2015" w:type="dxa"/>
          </w:tcPr>
          <w:p w:rsidR="00D63376" w:rsidRPr="002B7887" w:rsidRDefault="00D63376" w:rsidP="00BC4FEB">
            <w:pPr>
              <w:ind w:left="122" w:hanging="122"/>
              <w:rPr>
                <w:sz w:val="20"/>
                <w:szCs w:val="20"/>
              </w:rPr>
            </w:pPr>
            <w:r w:rsidRPr="002B7887">
              <w:rPr>
                <w:sz w:val="20"/>
                <w:szCs w:val="20"/>
              </w:rPr>
              <w:t>Capacity</w:t>
            </w:r>
            <w:r>
              <w:rPr>
                <w:sz w:val="20"/>
                <w:szCs w:val="20"/>
              </w:rPr>
              <w:t xml:space="preserve"> </w:t>
            </w:r>
            <w:r w:rsidRPr="002B7887">
              <w:rPr>
                <w:sz w:val="20"/>
                <w:szCs w:val="20"/>
              </w:rPr>
              <w:t>Utilization</w:t>
            </w:r>
          </w:p>
        </w:tc>
        <w:tc>
          <w:tcPr>
            <w:tcW w:w="4323" w:type="dxa"/>
          </w:tcPr>
          <w:p w:rsidR="00D63376" w:rsidRPr="002B7887" w:rsidRDefault="00D63376" w:rsidP="00BC4FEB">
            <w:pPr>
              <w:ind w:left="87" w:hanging="87"/>
              <w:rPr>
                <w:sz w:val="20"/>
                <w:szCs w:val="20"/>
              </w:rPr>
            </w:pPr>
            <w:r>
              <w:rPr>
                <w:sz w:val="20"/>
                <w:szCs w:val="20"/>
              </w:rPr>
              <w:t xml:space="preserve">(Average of 1 and 2 year lags of world LNG trade volume / world LNG facility capacity) * 100 </w:t>
            </w:r>
          </w:p>
        </w:tc>
        <w:tc>
          <w:tcPr>
            <w:tcW w:w="2402" w:type="dxa"/>
          </w:tcPr>
          <w:p w:rsidR="00D63376" w:rsidRPr="002B7887" w:rsidRDefault="00D63376" w:rsidP="00BC4FEB">
            <w:pPr>
              <w:ind w:left="84" w:hanging="84"/>
              <w:rPr>
                <w:sz w:val="20"/>
                <w:szCs w:val="20"/>
              </w:rPr>
            </w:pPr>
            <w:r>
              <w:rPr>
                <w:sz w:val="20"/>
                <w:szCs w:val="20"/>
              </w:rPr>
              <w:t>Oil &amp; Gas Journal, LNG Observer, LNG World Trade Map, EIA</w:t>
            </w:r>
          </w:p>
        </w:tc>
      </w:tr>
      <w:tr w:rsidR="00D63376" w:rsidTr="00BC4FEB">
        <w:trPr>
          <w:jc w:val="center"/>
        </w:trPr>
        <w:tc>
          <w:tcPr>
            <w:tcW w:w="2015" w:type="dxa"/>
          </w:tcPr>
          <w:p w:rsidR="00D63376" w:rsidRPr="002B7887" w:rsidRDefault="00D63376" w:rsidP="00BC4FEB">
            <w:pPr>
              <w:ind w:left="122" w:hanging="122"/>
              <w:rPr>
                <w:sz w:val="20"/>
                <w:szCs w:val="20"/>
              </w:rPr>
            </w:pPr>
            <w:r w:rsidRPr="002B7887">
              <w:rPr>
                <w:sz w:val="20"/>
                <w:szCs w:val="20"/>
              </w:rPr>
              <w:t xml:space="preserve">   </w:t>
            </w:r>
          </w:p>
        </w:tc>
        <w:tc>
          <w:tcPr>
            <w:tcW w:w="4323" w:type="dxa"/>
          </w:tcPr>
          <w:p w:rsidR="00D63376" w:rsidRPr="002B7887" w:rsidRDefault="00D63376" w:rsidP="00BC4FEB">
            <w:pPr>
              <w:ind w:left="87" w:hanging="87"/>
              <w:rPr>
                <w:sz w:val="20"/>
                <w:szCs w:val="20"/>
              </w:rPr>
            </w:pPr>
          </w:p>
        </w:tc>
        <w:tc>
          <w:tcPr>
            <w:tcW w:w="2402" w:type="dxa"/>
          </w:tcPr>
          <w:p w:rsidR="00D63376" w:rsidRPr="002B7887" w:rsidRDefault="00D63376" w:rsidP="00BC4FEB">
            <w:pPr>
              <w:ind w:left="84" w:hanging="84"/>
              <w:rPr>
                <w:sz w:val="20"/>
                <w:szCs w:val="20"/>
              </w:rPr>
            </w:pPr>
          </w:p>
        </w:tc>
      </w:tr>
      <w:tr w:rsidR="00D63376" w:rsidTr="00BC4FEB">
        <w:trPr>
          <w:jc w:val="center"/>
        </w:trPr>
        <w:tc>
          <w:tcPr>
            <w:tcW w:w="2015" w:type="dxa"/>
          </w:tcPr>
          <w:p w:rsidR="00D63376" w:rsidRPr="002B7887" w:rsidRDefault="00D63376" w:rsidP="00BC4FEB">
            <w:pPr>
              <w:ind w:left="122" w:hanging="122"/>
              <w:rPr>
                <w:sz w:val="20"/>
                <w:szCs w:val="20"/>
              </w:rPr>
            </w:pPr>
            <w:r w:rsidRPr="002B7887">
              <w:rPr>
                <w:sz w:val="20"/>
                <w:szCs w:val="20"/>
              </w:rPr>
              <w:t>Investment</w:t>
            </w:r>
            <w:r>
              <w:rPr>
                <w:sz w:val="20"/>
                <w:szCs w:val="20"/>
              </w:rPr>
              <w:t xml:space="preserve"> </w:t>
            </w:r>
            <w:r w:rsidRPr="002B7887">
              <w:rPr>
                <w:sz w:val="20"/>
                <w:szCs w:val="20"/>
              </w:rPr>
              <w:t>Lumpiness</w:t>
            </w:r>
          </w:p>
        </w:tc>
        <w:tc>
          <w:tcPr>
            <w:tcW w:w="4323" w:type="dxa"/>
          </w:tcPr>
          <w:p w:rsidR="00D63376" w:rsidRPr="002B7887" w:rsidRDefault="00D63376" w:rsidP="00BC4FEB">
            <w:pPr>
              <w:ind w:left="87" w:hanging="87"/>
              <w:rPr>
                <w:sz w:val="20"/>
                <w:szCs w:val="20"/>
              </w:rPr>
            </w:pPr>
            <w:r>
              <w:rPr>
                <w:sz w:val="20"/>
                <w:szCs w:val="20"/>
              </w:rPr>
              <w:t>(1 / number of operational world LNG facilities) * 100</w:t>
            </w:r>
          </w:p>
        </w:tc>
        <w:tc>
          <w:tcPr>
            <w:tcW w:w="2402" w:type="dxa"/>
          </w:tcPr>
          <w:p w:rsidR="00D63376" w:rsidRPr="002B7887" w:rsidRDefault="00D63376" w:rsidP="00BC4FEB">
            <w:pPr>
              <w:ind w:left="84" w:hanging="84"/>
              <w:rPr>
                <w:sz w:val="20"/>
                <w:szCs w:val="20"/>
              </w:rPr>
            </w:pPr>
            <w:r>
              <w:rPr>
                <w:sz w:val="20"/>
                <w:szCs w:val="20"/>
              </w:rPr>
              <w:t>Oil &amp; Gas Journal, LNG Observer, LNG World Trade Map, EIA</w:t>
            </w:r>
          </w:p>
        </w:tc>
      </w:tr>
      <w:tr w:rsidR="00D63376" w:rsidTr="00BC4FEB">
        <w:trPr>
          <w:jc w:val="center"/>
        </w:trPr>
        <w:tc>
          <w:tcPr>
            <w:tcW w:w="2015" w:type="dxa"/>
          </w:tcPr>
          <w:p w:rsidR="00D63376" w:rsidRPr="002B7887" w:rsidRDefault="00D63376" w:rsidP="00BC4FEB">
            <w:pPr>
              <w:ind w:left="122" w:hanging="122"/>
              <w:rPr>
                <w:sz w:val="20"/>
                <w:szCs w:val="20"/>
              </w:rPr>
            </w:pPr>
            <w:r w:rsidRPr="002B7887">
              <w:rPr>
                <w:sz w:val="20"/>
                <w:szCs w:val="20"/>
              </w:rPr>
              <w:t xml:space="preserve">   </w:t>
            </w:r>
          </w:p>
        </w:tc>
        <w:tc>
          <w:tcPr>
            <w:tcW w:w="4323" w:type="dxa"/>
          </w:tcPr>
          <w:p w:rsidR="00D63376" w:rsidRPr="002B7887" w:rsidRDefault="00D63376" w:rsidP="00BC4FEB">
            <w:pPr>
              <w:ind w:left="87" w:hanging="87"/>
              <w:rPr>
                <w:sz w:val="20"/>
                <w:szCs w:val="20"/>
              </w:rPr>
            </w:pPr>
          </w:p>
        </w:tc>
        <w:tc>
          <w:tcPr>
            <w:tcW w:w="2402" w:type="dxa"/>
          </w:tcPr>
          <w:p w:rsidR="00D63376" w:rsidRPr="002B7887" w:rsidRDefault="00D63376" w:rsidP="00BC4FEB">
            <w:pPr>
              <w:ind w:left="84" w:hanging="84"/>
              <w:rPr>
                <w:sz w:val="20"/>
                <w:szCs w:val="20"/>
              </w:rPr>
            </w:pPr>
          </w:p>
        </w:tc>
      </w:tr>
      <w:tr w:rsidR="00D63376" w:rsidTr="00BC4FEB">
        <w:trPr>
          <w:jc w:val="center"/>
        </w:trPr>
        <w:tc>
          <w:tcPr>
            <w:tcW w:w="2015" w:type="dxa"/>
          </w:tcPr>
          <w:p w:rsidR="00D63376" w:rsidRPr="002B7887" w:rsidRDefault="00D63376" w:rsidP="00BC4FEB">
            <w:pPr>
              <w:ind w:left="122" w:hanging="122"/>
              <w:rPr>
                <w:sz w:val="20"/>
                <w:szCs w:val="20"/>
              </w:rPr>
            </w:pPr>
            <w:r w:rsidRPr="002B7887">
              <w:rPr>
                <w:sz w:val="20"/>
                <w:szCs w:val="20"/>
              </w:rPr>
              <w:t>Announced</w:t>
            </w:r>
            <w:r>
              <w:rPr>
                <w:sz w:val="20"/>
                <w:szCs w:val="20"/>
              </w:rPr>
              <w:t xml:space="preserve"> </w:t>
            </w:r>
            <w:r w:rsidRPr="002B7887">
              <w:rPr>
                <w:sz w:val="20"/>
                <w:szCs w:val="20"/>
              </w:rPr>
              <w:t>Rival Entry</w:t>
            </w:r>
          </w:p>
        </w:tc>
        <w:tc>
          <w:tcPr>
            <w:tcW w:w="4323" w:type="dxa"/>
          </w:tcPr>
          <w:p w:rsidR="00D63376" w:rsidRPr="002B7887" w:rsidRDefault="00D63376" w:rsidP="00BC4FEB">
            <w:pPr>
              <w:ind w:left="87" w:hanging="87"/>
              <w:rPr>
                <w:sz w:val="20"/>
                <w:szCs w:val="20"/>
              </w:rPr>
            </w:pPr>
            <w:r>
              <w:rPr>
                <w:sz w:val="20"/>
                <w:szCs w:val="20"/>
              </w:rPr>
              <w:t>(announced new world LNG facility capacity / total world LNG facility capacity) * 100</w:t>
            </w:r>
          </w:p>
        </w:tc>
        <w:tc>
          <w:tcPr>
            <w:tcW w:w="2402" w:type="dxa"/>
          </w:tcPr>
          <w:p w:rsidR="00D63376" w:rsidRPr="002B7887" w:rsidRDefault="00D63376" w:rsidP="00BC4FEB">
            <w:pPr>
              <w:ind w:left="84" w:hanging="84"/>
              <w:rPr>
                <w:sz w:val="20"/>
                <w:szCs w:val="20"/>
              </w:rPr>
            </w:pPr>
            <w:r>
              <w:rPr>
                <w:sz w:val="20"/>
                <w:szCs w:val="20"/>
              </w:rPr>
              <w:t>Oil &amp; Gas Journal, LNG Observer, LNG World Trade Map, EIA</w:t>
            </w:r>
          </w:p>
        </w:tc>
      </w:tr>
      <w:tr w:rsidR="00D63376" w:rsidTr="00BC4FEB">
        <w:trPr>
          <w:jc w:val="center"/>
        </w:trPr>
        <w:tc>
          <w:tcPr>
            <w:tcW w:w="2015" w:type="dxa"/>
            <w:tcBorders>
              <w:bottom w:val="single" w:sz="12" w:space="0" w:color="auto"/>
            </w:tcBorders>
          </w:tcPr>
          <w:p w:rsidR="00D63376" w:rsidRPr="002B7887" w:rsidRDefault="00D63376" w:rsidP="00BC4FEB">
            <w:pPr>
              <w:ind w:left="122" w:hanging="122"/>
              <w:rPr>
                <w:sz w:val="20"/>
                <w:szCs w:val="20"/>
              </w:rPr>
            </w:pPr>
          </w:p>
        </w:tc>
        <w:tc>
          <w:tcPr>
            <w:tcW w:w="4323" w:type="dxa"/>
            <w:tcBorders>
              <w:bottom w:val="single" w:sz="12" w:space="0" w:color="auto"/>
            </w:tcBorders>
          </w:tcPr>
          <w:p w:rsidR="00D63376" w:rsidRPr="002B7887" w:rsidRDefault="00D63376" w:rsidP="00BC4FEB">
            <w:pPr>
              <w:rPr>
                <w:sz w:val="20"/>
                <w:szCs w:val="20"/>
              </w:rPr>
            </w:pPr>
          </w:p>
        </w:tc>
        <w:tc>
          <w:tcPr>
            <w:tcW w:w="2402" w:type="dxa"/>
            <w:tcBorders>
              <w:bottom w:val="single" w:sz="12" w:space="0" w:color="auto"/>
            </w:tcBorders>
          </w:tcPr>
          <w:p w:rsidR="00D63376" w:rsidRPr="002B7887" w:rsidRDefault="00D63376" w:rsidP="00BC4FEB">
            <w:pPr>
              <w:ind w:left="84" w:hanging="84"/>
              <w:rPr>
                <w:sz w:val="20"/>
                <w:szCs w:val="20"/>
              </w:rPr>
            </w:pPr>
          </w:p>
        </w:tc>
      </w:tr>
    </w:tbl>
    <w:p w:rsidR="00D63376" w:rsidRDefault="00D63376" w:rsidP="00D63376">
      <w:pPr>
        <w:spacing w:line="480" w:lineRule="auto"/>
        <w:jc w:val="both"/>
      </w:pPr>
    </w:p>
    <w:p w:rsidR="00D63376" w:rsidRDefault="00D63376" w:rsidP="00D63376">
      <w:pPr>
        <w:spacing w:after="200" w:line="276" w:lineRule="auto"/>
        <w:rPr>
          <w:sz w:val="22"/>
          <w:szCs w:val="22"/>
        </w:rPr>
      </w:pPr>
    </w:p>
    <w:p w:rsidR="0015445D" w:rsidRDefault="0015445D" w:rsidP="0015445D">
      <w:pPr>
        <w:rPr>
          <w:b/>
        </w:rPr>
      </w:pPr>
    </w:p>
    <w:p w:rsidR="0015445D" w:rsidRDefault="0015445D" w:rsidP="0015445D">
      <w:pPr>
        <w:jc w:val="center"/>
        <w:rPr>
          <w:sz w:val="22"/>
          <w:szCs w:val="22"/>
        </w:rPr>
      </w:pPr>
    </w:p>
    <w:p w:rsidR="0015445D" w:rsidRDefault="0015445D" w:rsidP="0015445D">
      <w:pPr>
        <w:jc w:val="center"/>
        <w:rPr>
          <w:sz w:val="22"/>
          <w:szCs w:val="22"/>
        </w:rPr>
      </w:pPr>
    </w:p>
    <w:p w:rsidR="0015445D" w:rsidRDefault="0015445D" w:rsidP="0015445D">
      <w:pPr>
        <w:jc w:val="center"/>
        <w:rPr>
          <w:sz w:val="22"/>
          <w:szCs w:val="22"/>
        </w:rPr>
      </w:pPr>
    </w:p>
    <w:p w:rsidR="0015445D" w:rsidRDefault="0015445D" w:rsidP="0015445D">
      <w:pPr>
        <w:jc w:val="center"/>
        <w:rPr>
          <w:sz w:val="22"/>
          <w:szCs w:val="22"/>
        </w:rPr>
      </w:pPr>
    </w:p>
    <w:p w:rsidR="0015445D" w:rsidRDefault="0015445D" w:rsidP="0015445D">
      <w:pPr>
        <w:jc w:val="center"/>
        <w:rPr>
          <w:sz w:val="22"/>
          <w:szCs w:val="22"/>
        </w:rPr>
      </w:pPr>
    </w:p>
    <w:p w:rsidR="0015445D" w:rsidRDefault="0015445D" w:rsidP="0015445D">
      <w:pPr>
        <w:jc w:val="center"/>
        <w:rPr>
          <w:sz w:val="22"/>
          <w:szCs w:val="22"/>
        </w:rPr>
      </w:pPr>
    </w:p>
    <w:p w:rsidR="0015445D" w:rsidRDefault="0015445D" w:rsidP="0015445D">
      <w:pPr>
        <w:jc w:val="center"/>
        <w:rPr>
          <w:sz w:val="22"/>
          <w:szCs w:val="22"/>
        </w:rPr>
      </w:pPr>
    </w:p>
    <w:p w:rsidR="0015445D" w:rsidRDefault="0015445D" w:rsidP="0015445D">
      <w:pPr>
        <w:jc w:val="center"/>
        <w:rPr>
          <w:sz w:val="22"/>
          <w:szCs w:val="22"/>
        </w:rPr>
      </w:pPr>
    </w:p>
    <w:p w:rsidR="0015445D" w:rsidRDefault="0015445D" w:rsidP="0015445D">
      <w:pPr>
        <w:jc w:val="center"/>
        <w:rPr>
          <w:sz w:val="22"/>
          <w:szCs w:val="22"/>
        </w:rPr>
      </w:pPr>
    </w:p>
    <w:p w:rsidR="0015445D" w:rsidRDefault="0015445D" w:rsidP="0015445D">
      <w:pPr>
        <w:jc w:val="center"/>
        <w:rPr>
          <w:sz w:val="22"/>
          <w:szCs w:val="22"/>
        </w:rPr>
      </w:pPr>
    </w:p>
    <w:p w:rsidR="0015445D" w:rsidRDefault="0015445D" w:rsidP="0015445D">
      <w:pPr>
        <w:jc w:val="center"/>
        <w:rPr>
          <w:sz w:val="22"/>
          <w:szCs w:val="22"/>
        </w:rPr>
      </w:pPr>
    </w:p>
    <w:sectPr w:rsidR="0015445D" w:rsidSect="0085587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4E9" w:rsidRDefault="005724E9" w:rsidP="0015445D">
      <w:r>
        <w:separator/>
      </w:r>
    </w:p>
  </w:endnote>
  <w:endnote w:type="continuationSeparator" w:id="0">
    <w:p w:rsidR="005724E9" w:rsidRDefault="005724E9" w:rsidP="00154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4E9" w:rsidRDefault="005724E9" w:rsidP="0015445D">
      <w:r>
        <w:separator/>
      </w:r>
    </w:p>
  </w:footnote>
  <w:footnote w:type="continuationSeparator" w:id="0">
    <w:p w:rsidR="005724E9" w:rsidRDefault="005724E9" w:rsidP="0015445D">
      <w:r>
        <w:continuationSeparator/>
      </w:r>
    </w:p>
  </w:footnote>
  <w:footnote w:id="1">
    <w:p w:rsidR="00A84A35" w:rsidRDefault="00A84A35" w:rsidP="0015445D">
      <w:pPr>
        <w:pStyle w:val="FootnoteText"/>
      </w:pPr>
      <w:r>
        <w:rPr>
          <w:rStyle w:val="FootnoteReference"/>
        </w:rPr>
        <w:footnoteRef/>
      </w:r>
      <w:r>
        <w:t xml:space="preserve"> Numerous organizational factors can lead to a firm becoming intrinsically faster at project execution. In our field work, one oil and gas industry consultant</w:t>
      </w:r>
      <w:r w:rsidR="00E9099F">
        <w:t xml:space="preserve"> </w:t>
      </w:r>
      <w:r>
        <w:t xml:space="preserve">explained that “an organization that has an outcome-oriented culture and is able to navigate the regulatory environment can speed up plant development.” </w:t>
      </w:r>
      <w:r w:rsidR="00E9099F">
        <w:t xml:space="preserve">Trade journals have also stressed the importance of superior engineering expertise (Oil and Gas Journal 1990; </w:t>
      </w:r>
      <w:proofErr w:type="spellStart"/>
      <w:r w:rsidR="005E4522">
        <w:t>Ganapati</w:t>
      </w:r>
      <w:proofErr w:type="spellEnd"/>
      <w:r w:rsidR="005E4522">
        <w:t xml:space="preserve"> 2000</w:t>
      </w:r>
      <w:r w:rsidR="00E9099F">
        <w:t xml:space="preserve">). </w:t>
      </w:r>
      <w:r>
        <w:t>Further examples of intrinsically faster firms and additional discussion can be found in Pacheco-de-Almeida, Hawk and Yeung (2010).</w:t>
      </w:r>
    </w:p>
  </w:footnote>
  <w:footnote w:id="2">
    <w:p w:rsidR="00A84A35" w:rsidRPr="006828D4" w:rsidRDefault="00A84A35">
      <w:pPr>
        <w:pStyle w:val="FootnoteText"/>
      </w:pPr>
      <w:r>
        <w:rPr>
          <w:rStyle w:val="FootnoteReference"/>
        </w:rPr>
        <w:footnoteRef/>
      </w:r>
      <w:r>
        <w:t xml:space="preserve"> In contrast, when</w:t>
      </w:r>
      <w:r w:rsidRPr="006828D4">
        <w:t xml:space="preserve"> investments are more usage-flexible</w:t>
      </w:r>
      <w:r>
        <w:t xml:space="preserve"> and </w:t>
      </w:r>
      <w:r w:rsidRPr="006828D4">
        <w:t>firms can easily revise or redeploy their investments to alternative uses with minimal loss in revenues</w:t>
      </w:r>
      <w:r>
        <w:t>,</w:t>
      </w:r>
      <w:r w:rsidRPr="006828D4">
        <w:t xml:space="preserve"> the </w:t>
      </w:r>
      <w:r>
        <w:t xml:space="preserve">value of the </w:t>
      </w:r>
      <w:r w:rsidRPr="006828D4">
        <w:t xml:space="preserve">option </w:t>
      </w:r>
      <w:r>
        <w:t>to delay</w:t>
      </w:r>
      <w:r w:rsidRPr="006828D4">
        <w:t xml:space="preserve"> entry is low.</w:t>
      </w:r>
    </w:p>
  </w:footnote>
  <w:footnote w:id="3">
    <w:p w:rsidR="00A84A35" w:rsidRDefault="00A84A35" w:rsidP="005B3F14">
      <w:pPr>
        <w:pStyle w:val="FootnoteText"/>
      </w:pPr>
      <w:r w:rsidRPr="00810F3D">
        <w:rPr>
          <w:rStyle w:val="FootnoteReference"/>
        </w:rPr>
        <w:footnoteRef/>
      </w:r>
      <w:r w:rsidRPr="00EA27C5">
        <w:t xml:space="preserve"> </w:t>
      </w:r>
      <w:proofErr w:type="gramStart"/>
      <w:r w:rsidRPr="00094680">
        <w:t xml:space="preserve">Pacheco-de-Almeida, Hawk and Yeung </w:t>
      </w:r>
      <w:r>
        <w:t>(</w:t>
      </w:r>
      <w:r w:rsidRPr="00094680">
        <w:t>201</w:t>
      </w:r>
      <w:r>
        <w:t>0)</w:t>
      </w:r>
      <w:r w:rsidRPr="00094680">
        <w:t xml:space="preserve"> show that</w:t>
      </w:r>
      <w:r>
        <w:t>,</w:t>
      </w:r>
      <w:r w:rsidRPr="00094680">
        <w:t xml:space="preserve"> </w:t>
      </w:r>
      <w:r>
        <w:t>genera</w:t>
      </w:r>
      <w:r w:rsidRPr="00094680">
        <w:t>lly</w:t>
      </w:r>
      <w:r>
        <w:t>,</w:t>
      </w:r>
      <w:r w:rsidRPr="00094680">
        <w:t xml:space="preserve"> intrinsic speed capabilit</w:t>
      </w:r>
      <w:r>
        <w:t>ies</w:t>
      </w:r>
      <w:r w:rsidRPr="00094680">
        <w:t xml:space="preserve"> </w:t>
      </w:r>
      <w:r>
        <w:t>enhance</w:t>
      </w:r>
      <w:r w:rsidRPr="00094680">
        <w:t xml:space="preserve"> firm value.</w:t>
      </w:r>
      <w:proofErr w:type="gramEnd"/>
      <w:r w:rsidRPr="00094680">
        <w:t xml:space="preserve"> Our current work </w:t>
      </w:r>
      <w:r>
        <w:t>focuses on one source of value augmentation: firms can take</w:t>
      </w:r>
      <w:r w:rsidRPr="00094680">
        <w:t xml:space="preserve"> advantage of their speed capabilities to delay market entr</w:t>
      </w:r>
      <w:r>
        <w:t>y as they</w:t>
      </w:r>
      <w:r w:rsidRPr="00094680">
        <w:t xml:space="preserve"> wait for information revelation </w:t>
      </w:r>
      <w:r>
        <w:t>that</w:t>
      </w:r>
      <w:r w:rsidRPr="00094680">
        <w:t xml:space="preserve"> enhance</w:t>
      </w:r>
      <w:r>
        <w:t>s</w:t>
      </w:r>
      <w:r w:rsidRPr="00094680">
        <w:t xml:space="preserve"> </w:t>
      </w:r>
      <w:r>
        <w:t xml:space="preserve">firm performance. As discussed below, we build upon Pacheco-de-Almeida, Hawk, and </w:t>
      </w:r>
      <w:proofErr w:type="spellStart"/>
      <w:r>
        <w:t>Yeung’s</w:t>
      </w:r>
      <w:proofErr w:type="spellEnd"/>
      <w:r>
        <w:t xml:space="preserve"> (2010) methodology to develop an instrument for intrinsic speed capabilities.</w:t>
      </w:r>
    </w:p>
  </w:footnote>
  <w:footnote w:id="4">
    <w:p w:rsidR="00A84A35" w:rsidRDefault="00A84A35" w:rsidP="0015445D">
      <w:pPr>
        <w:pStyle w:val="FootnoteText"/>
      </w:pPr>
      <w:r>
        <w:rPr>
          <w:rStyle w:val="FootnoteReference"/>
        </w:rPr>
        <w:footnoteRef/>
      </w:r>
      <w:r>
        <w:t xml:space="preserve"> </w:t>
      </w:r>
      <w:r w:rsidRPr="00857F78">
        <w:t>Our goal was to construct a comprehensive dataset of all worldwide LNG construction projects from the m</w:t>
      </w:r>
      <w:r>
        <w:t>id-1990s to the present. We cho</w:t>
      </w:r>
      <w:r w:rsidRPr="00857F78">
        <w:t>se to begin our sample in 1996 since it corresponds roughly with the beginning of the emergence of the Atlantic Basin LNG new market opportunity, and it also is the year that marks the beginning of the first construction project of a liquefaction plant in the Western Hemisphere designed to target Atlantic Basin import markets (the Atlantic LNG project in Trinidad and Tobago). We have collected LNG project data worldwide as far back as the early 1970s, and we use this data for construction of the experience variables in our analysis. However, we exclude these earlier years from our analysis since Atlantic Basin LNG did not start to emerge as a new market opportunity until the mid-1990s. Our speed measure is also only available from 1996 onwards, thus restricting us to 1996 and later.</w:t>
      </w:r>
    </w:p>
  </w:footnote>
  <w:footnote w:id="5">
    <w:p w:rsidR="00A84A35" w:rsidRDefault="00A84A35" w:rsidP="0015445D">
      <w:pPr>
        <w:pStyle w:val="FootnoteText"/>
      </w:pPr>
      <w:r>
        <w:rPr>
          <w:rStyle w:val="FootnoteReference"/>
        </w:rPr>
        <w:footnoteRef/>
      </w:r>
      <w:r>
        <w:t xml:space="preserve"> To verify, we collected data on completed LNG projects and </w:t>
      </w:r>
      <w:r w:rsidRPr="003A391E">
        <w:t>created a</w:t>
      </w:r>
      <w:r>
        <w:t>n LNG-based</w:t>
      </w:r>
      <w:r w:rsidRPr="003A391E">
        <w:t xml:space="preserve"> speed measure</w:t>
      </w:r>
      <w:r>
        <w:t xml:space="preserve"> for comparison.</w:t>
      </w:r>
      <w:r w:rsidRPr="003A391E">
        <w:t xml:space="preserve"> The </w:t>
      </w:r>
      <w:r>
        <w:t xml:space="preserve">pairwise </w:t>
      </w:r>
      <w:r w:rsidRPr="003A391E">
        <w:t xml:space="preserve">correlation </w:t>
      </w:r>
      <w:r>
        <w:t xml:space="preserve">coefficient </w:t>
      </w:r>
      <w:r w:rsidRPr="003A391E">
        <w:t xml:space="preserve">between </w:t>
      </w:r>
      <w:r>
        <w:t xml:space="preserve">a speed measure based on projects unrelated to LNG and an LNG-based speed measure </w:t>
      </w:r>
      <w:r w:rsidRPr="003A391E">
        <w:t xml:space="preserve">is </w:t>
      </w:r>
      <w:r>
        <w:t>0</w:t>
      </w:r>
      <w:r w:rsidRPr="003A391E">
        <w:t>.39</w:t>
      </w:r>
      <w:r>
        <w:t xml:space="preserve">3 (p = 0.071). Our instrument does not appear to be weak.  </w:t>
      </w:r>
    </w:p>
  </w:footnote>
  <w:footnote w:id="6">
    <w:p w:rsidR="00A84A35" w:rsidRPr="00857F78" w:rsidRDefault="00A84A35" w:rsidP="0015445D">
      <w:pPr>
        <w:pStyle w:val="FootnoteText"/>
      </w:pPr>
      <w:r w:rsidRPr="00857F78">
        <w:rPr>
          <w:rStyle w:val="FootnoteReference"/>
        </w:rPr>
        <w:footnoteRef/>
      </w:r>
      <w:r w:rsidRPr="00857F78">
        <w:t xml:space="preserve"> Our measure of the time-to-build is reported in months. We assume that the official start (end) of plant development is the date in which the project is first (last) reported in the OGJ minus (plus) 90 days. We use the 90-day lag due to the fact that the OGJ only reports the status of each plant development project twice per year, in April and October. As a result, when a project appears for the first time in the OGJ, we can only infer that the investment project started sometime after the prior issue and before the current one. For simplicity, we assume that development started exactly in-between the two consecutive issues of the OGJ and thus use the 90-day lag (3 months). We use the same logic with the official end date of the project. In cases where an expected completion date was reported, we use this expected completion date as the official end date.</w:t>
      </w:r>
    </w:p>
  </w:footnote>
  <w:footnote w:id="7">
    <w:p w:rsidR="00A84A35" w:rsidRPr="00857F78" w:rsidRDefault="00A84A35" w:rsidP="0015445D">
      <w:pPr>
        <w:pStyle w:val="FootnoteText"/>
      </w:pPr>
      <w:r w:rsidRPr="00857F78">
        <w:rPr>
          <w:rStyle w:val="FootnoteReference"/>
        </w:rPr>
        <w:footnoteRef/>
      </w:r>
      <w:r w:rsidRPr="00857F78">
        <w:t xml:space="preserve"> </w:t>
      </w:r>
      <w:r>
        <w:t xml:space="preserve"> We place each project in a subgroup based on geographic region and industry type. For convenience, we use </w:t>
      </w:r>
      <w:r>
        <w:rPr>
          <w:i/>
        </w:rPr>
        <w:t xml:space="preserve">i </w:t>
      </w:r>
      <w:r>
        <w:t xml:space="preserve">to index industry and </w:t>
      </w:r>
      <w:r w:rsidRPr="000079D2">
        <w:rPr>
          <w:i/>
        </w:rPr>
        <w:t>l</w:t>
      </w:r>
      <w:r>
        <w:t xml:space="preserve"> to index region. </w:t>
      </w:r>
      <w:r w:rsidRPr="00857F78">
        <w:t xml:space="preserve">For </w:t>
      </w:r>
      <w:r>
        <w:t>industry type,</w:t>
      </w:r>
      <w:r w:rsidRPr="00857F78">
        <w:t xml:space="preserve"> the subgroups are</w:t>
      </w:r>
      <w:r>
        <w:t xml:space="preserve"> based on facility type</w:t>
      </w:r>
      <w:r w:rsidRPr="00857F78">
        <w:t>: refineries; petrochemicals; pipelines; gas processing; and sulfur.</w:t>
      </w:r>
      <w:r>
        <w:t xml:space="preserve"> For </w:t>
      </w:r>
      <w:r w:rsidRPr="00857F78">
        <w:t xml:space="preserve">geographic </w:t>
      </w:r>
      <w:r>
        <w:t>region, we use the following</w:t>
      </w:r>
      <w:r w:rsidRPr="00857F78">
        <w:t xml:space="preserve">: Asia and the Pacific; Eastern Europe; Former USSR; Japan; Latin American and the Caribbean; North Africa and the Middle East; North America; Sub-Saharan Africa; and Western Europe. </w:t>
      </w:r>
    </w:p>
  </w:footnote>
  <w:footnote w:id="8">
    <w:p w:rsidR="00A84A35" w:rsidRPr="00857F78" w:rsidRDefault="00A84A35" w:rsidP="0015445D">
      <w:pPr>
        <w:pStyle w:val="FootnoteText"/>
      </w:pPr>
      <w:r w:rsidRPr="00857F78">
        <w:rPr>
          <w:rStyle w:val="FootnoteReference"/>
        </w:rPr>
        <w:footnoteRef/>
      </w:r>
      <w:r w:rsidRPr="00857F78">
        <w:t xml:space="preserve"> We construct a universe of firms operating in the oil products industry (SIC code 29) and the chemical industry (SIC code 28 excluding pharmaceuticals – SIC code 283) during our period of analysis using </w:t>
      </w:r>
      <w:proofErr w:type="spellStart"/>
      <w:r w:rsidRPr="00857F78">
        <w:t>Compustat</w:t>
      </w:r>
      <w:proofErr w:type="spellEnd"/>
      <w:r w:rsidRPr="00857F78">
        <w:t xml:space="preserve">-CRSP Merged financial data in order to approximate the industry discount rate. For each company, we construct the weighted average cost of capital (WACC) as a weighted average between the Equity Cost of Capital (ECC, </w:t>
      </w:r>
      <w:proofErr w:type="spellStart"/>
      <w:r w:rsidRPr="00857F78">
        <w:t>proxied</w:t>
      </w:r>
      <w:proofErr w:type="spellEnd"/>
      <w:r w:rsidRPr="00857F78">
        <w:t xml:space="preserve"> by the Earnings Yield = Earnings </w:t>
      </w:r>
      <w:proofErr w:type="gramStart"/>
      <w:r w:rsidRPr="00857F78">
        <w:t>Per</w:t>
      </w:r>
      <w:proofErr w:type="gramEnd"/>
      <w:r w:rsidRPr="00857F78">
        <w:t xml:space="preserve"> Share / Year End Price) and the Debt Cost of Capital (DCC = Interest Expense / (Long-Term Debt + Current Liabilities)) using market capitalization as weights. Expressed formally, we have that WACC = ECC*</w:t>
      </w:r>
      <w:r w:rsidRPr="00857F78">
        <w:rPr>
          <w:position w:val="-26"/>
        </w:rPr>
        <w:object w:dxaOrig="5100" w:dyaOrig="620">
          <v:shape id="_x0000_i1033" type="#_x0000_t75" style="width:257.4pt;height:31.2pt" o:ole="">
            <v:imagedata r:id="rId1" o:title=""/>
          </v:shape>
          <o:OLEObject Type="Embed" ProgID="Equation.DSMT4" ShapeID="_x0000_i1033" DrawAspect="Content" ObjectID="_1400390239" r:id="rId2"/>
        </w:object>
      </w:r>
      <w:r w:rsidRPr="00857F78">
        <w:t xml:space="preserve"> + DCC*</w:t>
      </w:r>
      <w:r w:rsidRPr="00857F78">
        <w:rPr>
          <w:position w:val="-26"/>
        </w:rPr>
        <w:object w:dxaOrig="5100" w:dyaOrig="620">
          <v:shape id="_x0000_i1035" type="#_x0000_t75" style="width:257.4pt;height:31.2pt" o:ole="">
            <v:imagedata r:id="rId3" o:title=""/>
          </v:shape>
          <o:OLEObject Type="Embed" ProgID="Equation.DSMT4" ShapeID="_x0000_i1035" DrawAspect="Content" ObjectID="_1400390240" r:id="rId4"/>
        </w:object>
      </w:r>
      <w:r w:rsidRPr="00857F78">
        <w:t>. We then subtract out the inflation rate (calculated using the growth rate in the CPI-U from the Bureau of Labor Statistics) in order to approximate the real discount rate.</w:t>
      </w:r>
    </w:p>
    <w:p w:rsidR="00A84A35" w:rsidRPr="00857F78" w:rsidRDefault="00A84A35" w:rsidP="0015445D">
      <w:pPr>
        <w:pStyle w:val="FootnoteText"/>
      </w:pPr>
    </w:p>
  </w:footnote>
  <w:footnote w:id="9">
    <w:p w:rsidR="00A84A35" w:rsidRPr="00857F78" w:rsidRDefault="00A84A35" w:rsidP="0015445D">
      <w:pPr>
        <w:pStyle w:val="FootnoteText"/>
      </w:pPr>
      <w:r w:rsidRPr="00857F78">
        <w:rPr>
          <w:rStyle w:val="FootnoteReference"/>
        </w:rPr>
        <w:footnoteRef/>
      </w:r>
      <w:r w:rsidRPr="00857F78">
        <w:t xml:space="preserve"> The functional form of the discounting </w:t>
      </w:r>
      <w:proofErr w:type="gramStart"/>
      <w:r w:rsidRPr="00857F78">
        <w:t>is</w:t>
      </w:r>
      <w:r>
        <w:t xml:space="preserve"> </w:t>
      </w:r>
      <w:proofErr w:type="gramEnd"/>
      <m:oMath>
        <m:sSub>
          <m:sSubPr>
            <m:ctrlPr>
              <w:rPr>
                <w:rFonts w:ascii="Cambria Math" w:eastAsia="Calibri" w:hAnsi="Cambria Math"/>
                <w:i/>
                <w:sz w:val="24"/>
                <w:szCs w:val="24"/>
              </w:rPr>
            </m:ctrlPr>
          </m:sSubPr>
          <m:e>
            <m:acc>
              <m:accPr>
                <m:chr m:val="̃"/>
                <m:ctrlPr>
                  <w:rPr>
                    <w:rFonts w:ascii="Cambria Math" w:eastAsia="Calibri" w:hAnsi="Cambria Math"/>
                    <w:i/>
                    <w:sz w:val="24"/>
                    <w:szCs w:val="24"/>
                  </w:rPr>
                </m:ctrlPr>
              </m:accPr>
              <m:e>
                <m:r>
                  <w:rPr>
                    <w:rFonts w:ascii="Cambria Math" w:hAnsi="Cambria Math"/>
                  </w:rPr>
                  <m:t>T</m:t>
                </m:r>
              </m:e>
            </m:acc>
          </m:e>
          <m:sub>
            <m:r>
              <w:rPr>
                <w:rFonts w:ascii="Cambria Math" w:hAnsi="Cambria Math"/>
              </w:rPr>
              <m:t>f,i,t</m:t>
            </m:r>
          </m:sub>
        </m:sSub>
        <m:r>
          <w:rPr>
            <w:rFonts w:ascii="Cambria Math" w:hAnsi="Cambria Math"/>
          </w:rPr>
          <m:t>=</m:t>
        </m:r>
        <m:f>
          <m:fPr>
            <m:type m:val="lin"/>
            <m:ctrlPr>
              <w:rPr>
                <w:rFonts w:ascii="Cambria Math" w:hAnsi="Cambria Math"/>
                <w:i/>
              </w:rPr>
            </m:ctrlPr>
          </m:fPr>
          <m:num>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-r</m:t>
                    </m:r>
                    <m:sSub>
                      <m:sSubPr>
                        <m:ctrlPr>
                          <w:rPr>
                            <w:rFonts w:ascii="Cambria Math" w:eastAsia="Calibri" w:hAnsi="Cambria Math"/>
                            <w:i/>
                            <w:sz w:val="24"/>
                            <w:szCs w:val="24"/>
                          </w:rPr>
                        </m:ctrlPr>
                      </m:sSubPr>
                      <m:e>
                        <m:r>
                          <w:rPr>
                            <w:rFonts w:ascii="Cambria Math" w:eastAsia="Calibri" w:hAnsi="Cambria Math"/>
                            <w:sz w:val="24"/>
                            <w:szCs w:val="24"/>
                          </w:rPr>
                          <m:t>T</m:t>
                        </m:r>
                      </m:e>
                      <m:sub>
                        <m:r>
                          <w:rPr>
                            <w:rFonts w:ascii="Cambria Math" w:hAnsi="Cambria Math"/>
                          </w:rPr>
                          <m:t>f,i,t</m:t>
                        </m:r>
                      </m:sub>
                    </m:sSub>
                  </m:sup>
                </m:sSup>
              </m:e>
            </m:d>
          </m:num>
          <m:den>
            <m:r>
              <w:rPr>
                <w:rFonts w:ascii="Cambria Math" w:hAnsi="Cambria Math"/>
              </w:rPr>
              <m:t>r</m:t>
            </m:r>
          </m:den>
        </m:f>
      </m:oMath>
      <w:r w:rsidRPr="00857F78">
        <w:t>,</w:t>
      </w:r>
      <w:r>
        <w:t xml:space="preserve"> where </w:t>
      </w:r>
      <m:oMath>
        <m:sSub>
          <m:sSubPr>
            <m:ctrlPr>
              <w:rPr>
                <w:rFonts w:ascii="Cambria Math" w:eastAsia="Calibri" w:hAnsi="Cambria Math"/>
                <w:i/>
                <w:sz w:val="24"/>
                <w:szCs w:val="24"/>
              </w:rPr>
            </m:ctrlPr>
          </m:sSubPr>
          <m:e>
            <m:r>
              <w:rPr>
                <w:rFonts w:ascii="Cambria Math" w:eastAsia="Calibri" w:hAnsi="Cambria Math"/>
                <w:sz w:val="24"/>
                <w:szCs w:val="24"/>
              </w:rPr>
              <m:t>T</m:t>
            </m:r>
          </m:e>
          <m:sub>
            <m:r>
              <w:rPr>
                <w:rFonts w:ascii="Cambria Math" w:hAnsi="Cambria Math"/>
              </w:rPr>
              <m:t>f,i,t</m:t>
            </m:r>
          </m:sub>
        </m:sSub>
      </m:oMath>
      <w:r>
        <w:t xml:space="preserve"> is the measure of time-to-build in months before discounting. This functional form</w:t>
      </w:r>
      <w:r w:rsidRPr="00857F78">
        <w:t xml:space="preserve"> comes from the formal modeling work in Pacheco-de-</w:t>
      </w:r>
      <w:r>
        <w:t>Almeida, Hawk and Yeung (2010</w:t>
      </w:r>
      <w:r w:rsidRPr="00857F78">
        <w:t>).</w:t>
      </w:r>
      <w:r>
        <w:t xml:space="preserve"> Developments times are distributed </w:t>
      </w:r>
      <w:proofErr w:type="gramStart"/>
      <w:r>
        <w:t xml:space="preserve">on </w:t>
      </w:r>
      <w:r w:rsidRPr="00857F78">
        <w:t xml:space="preserve"> </w:t>
      </w:r>
      <w:proofErr w:type="gramEnd"/>
      <m:oMath>
        <m:d>
          <m:dPr>
            <m:ctrlPr>
              <w:rPr>
                <w:rFonts w:ascii="Cambria Math" w:hAnsi="Cambria Math"/>
                <w:i/>
              </w:rPr>
            </m:ctrlPr>
          </m:dPr>
          <m:e>
            <m:r>
              <w:rPr>
                <w:rFonts w:ascii="Cambria Math" w:hAnsi="Cambria Math"/>
              </w:rPr>
              <m:t>0,∞</m:t>
            </m:r>
          </m:e>
        </m:d>
      </m:oMath>
      <w:r>
        <w:t xml:space="preserve">. The positive monotonic transformation compresses the distribution of development times from the infinite interval </w:t>
      </w:r>
      <m:oMath>
        <m:d>
          <m:dPr>
            <m:ctrlPr>
              <w:rPr>
                <w:rFonts w:ascii="Cambria Math" w:hAnsi="Cambria Math"/>
                <w:i/>
              </w:rPr>
            </m:ctrlPr>
          </m:dPr>
          <m:e>
            <m:r>
              <w:rPr>
                <w:rFonts w:ascii="Cambria Math" w:hAnsi="Cambria Math"/>
              </w:rPr>
              <m:t>0,∞</m:t>
            </m:r>
          </m:e>
        </m:d>
      </m:oMath>
      <w:r>
        <w:t xml:space="preserve"> to the finite </w:t>
      </w:r>
      <w:proofErr w:type="gramStart"/>
      <w:r>
        <w:t xml:space="preserve">interval </w:t>
      </w:r>
      <w:proofErr w:type="gramEnd"/>
      <m:oMath>
        <m:d>
          <m:dPr>
            <m:ctrlPr>
              <w:rPr>
                <w:rFonts w:ascii="Cambria Math" w:hAnsi="Cambria Math"/>
                <w:i/>
              </w:rPr>
            </m:ctrlPr>
          </m:dPr>
          <m:e>
            <m:r>
              <w:rPr>
                <w:rFonts w:ascii="Cambria Math" w:hAnsi="Cambria Math"/>
              </w:rPr>
              <m:t>0,1/r</m:t>
            </m:r>
          </m:e>
        </m:d>
      </m:oMath>
      <w:r>
        <w:t xml:space="preserve">. </w:t>
      </w:r>
    </w:p>
  </w:footnote>
  <w:footnote w:id="10">
    <w:p w:rsidR="00A84A35" w:rsidRDefault="00A84A35" w:rsidP="0015445D">
      <w:pPr>
        <w:pStyle w:val="FootnoteText"/>
      </w:pPr>
      <w:r>
        <w:rPr>
          <w:rStyle w:val="FootnoteReference"/>
        </w:rPr>
        <w:footnoteRef/>
      </w:r>
      <w:r>
        <w:t xml:space="preserve"> </w:t>
      </w:r>
      <w:r w:rsidRPr="00857F78">
        <w:t>Firms with large oil and gas reserves and production rates are likely to possess greater financial resources and market power in hydrocarbon resource acquisition, processing, and distribution. Additionally, these firms should also have larger staffs of industry professionals with knowledge of the oil and gas industry. These industry specialized assets may be useful in Atlantic Basin LNG by conferring a greater reputation in the natural gas market (facilitating contract execution during entry into Atlantic Basin LNG), and they may possibly give firms a head start in the entry process</w:t>
      </w:r>
      <w:r>
        <w:t xml:space="preserve"> (engineers on staff that may be willing to switch to LNG). As an additional consideration, oil and gas production may also serve as a proxy for firm differences in expectation on energy prices. F</w:t>
      </w:r>
      <w:r w:rsidRPr="001E28EC">
        <w:t>irms with more bullish beliefs in oil and natural gas prices should be more likely to produce mo</w:t>
      </w:r>
      <w:r w:rsidRPr="00773B75">
        <w:t>re oil and gas</w:t>
      </w:r>
      <w:r>
        <w:t xml:space="preserve">, implying a high correlation between unobserved price expectation and observed </w:t>
      </w:r>
      <w:r w:rsidRPr="00D94CE6">
        <w:t>oil and gas production</w:t>
      </w:r>
      <w:r>
        <w:t>.</w:t>
      </w:r>
    </w:p>
  </w:footnote>
  <w:footnote w:id="11">
    <w:p w:rsidR="00A84A35" w:rsidRDefault="00A84A35" w:rsidP="008967F2">
      <w:pPr>
        <w:pStyle w:val="FootnoteText"/>
      </w:pPr>
      <w:r>
        <w:rPr>
          <w:rStyle w:val="FootnoteReference"/>
        </w:rPr>
        <w:footnoteRef/>
      </w:r>
      <w:r>
        <w:t xml:space="preserve"> Gasification entry decisions may also be affected by forecasts of future liquefaction capacity coming on line at the time of completion of entry. Since these expectations are</w:t>
      </w:r>
      <w:r w:rsidRPr="00D45630">
        <w:rPr>
          <w:rFonts w:eastAsiaTheme="minorHAnsi"/>
          <w:sz w:val="24"/>
          <w:szCs w:val="24"/>
        </w:rPr>
        <w:t xml:space="preserve"> </w:t>
      </w:r>
      <w:r w:rsidRPr="00D45630">
        <w:t>determined by projections in industry trade publications and project announcements each year</w:t>
      </w:r>
      <w:r>
        <w:t>, year effects should account for these anticipation factors.</w:t>
      </w:r>
    </w:p>
  </w:footnote>
  <w:footnote w:id="12">
    <w:p w:rsidR="00A84A35" w:rsidRDefault="00A84A35" w:rsidP="008967F2">
      <w:pPr>
        <w:pStyle w:val="FootnoteText"/>
      </w:pPr>
      <w:r>
        <w:rPr>
          <w:rStyle w:val="FootnoteReference"/>
        </w:rPr>
        <w:footnoteRef/>
      </w:r>
      <w:r>
        <w:t xml:space="preserve"> With the shortened sample sizes in the later period, we adjusted our estimation. For the </w:t>
      </w:r>
      <w:proofErr w:type="spellStart"/>
      <w:r>
        <w:t>logit</w:t>
      </w:r>
      <w:proofErr w:type="spellEnd"/>
      <w:r>
        <w:t xml:space="preserve"> results, we omitted time invariant variables and obtained similar results. For the event study, we enlarged the sample for our fixed effects estimation to include all LNG projects worldwide with interaction terms for speed in the Atlantic Basin, the Pacific Basin, and the Middle East. The results were consistent with our main results (although our event study results </w:t>
      </w:r>
      <w:r w:rsidRPr="00AF02F5">
        <w:t xml:space="preserve">are only significant at the </w:t>
      </w:r>
      <w:r>
        <w:t>1</w:t>
      </w:r>
      <w:r w:rsidRPr="00AF02F5">
        <w:t>0% level when the later regime ends at 2003</w:t>
      </w:r>
      <w:r>
        <w:t>).</w:t>
      </w:r>
    </w:p>
  </w:footnote>
  <w:footnote w:id="13">
    <w:p w:rsidR="00A84A35" w:rsidRDefault="00A84A35" w:rsidP="00A21FAD">
      <w:pPr>
        <w:pStyle w:val="FootnoteText"/>
      </w:pPr>
      <w:r>
        <w:rPr>
          <w:rStyle w:val="FootnoteReference"/>
        </w:rPr>
        <w:footnoteRef/>
      </w:r>
      <w:r>
        <w:t xml:space="preserve"> Monthly US natural gas wellhead price data was obtained from the Energy Information Administration of the US Department of Energy. LNG construction activity information comes from our data collection efforts described in the Data section.</w:t>
      </w:r>
    </w:p>
  </w:footnote>
  <w:footnote w:id="14">
    <w:p w:rsidR="00D63376" w:rsidRPr="00857F78" w:rsidRDefault="00D63376" w:rsidP="00D63376">
      <w:pPr>
        <w:pStyle w:val="FootnoteText"/>
      </w:pPr>
      <w:r w:rsidRPr="00857F78">
        <w:rPr>
          <w:rStyle w:val="FootnoteReference"/>
        </w:rPr>
        <w:footnoteRef/>
      </w:r>
      <w:r>
        <w:t xml:space="preserve"> Our main sources for the</w:t>
      </w:r>
      <w:r w:rsidRPr="00857F78">
        <w:t xml:space="preserve"> description of the LNG industry come from </w:t>
      </w:r>
      <w:proofErr w:type="spellStart"/>
      <w:r w:rsidRPr="00857F78">
        <w:t>Tusiani</w:t>
      </w:r>
      <w:proofErr w:type="spellEnd"/>
      <w:r w:rsidRPr="00857F78">
        <w:t xml:space="preserve"> and Shearer (2007), Chandra (2006), Weems and Rogers (2007), the </w:t>
      </w:r>
      <w:r w:rsidRPr="00857F78">
        <w:rPr>
          <w:i/>
        </w:rPr>
        <w:t xml:space="preserve">LNG Observer, </w:t>
      </w:r>
      <w:r w:rsidRPr="00857F78">
        <w:t>the 2007 LNG World Trade poster produced by the OGJ and the Gas Technology Institute, the Energy Information Administration’s 2003 report “The Global Liquefied Natural Gas Market: Status &amp; Outlook”, extensive internet searches, and interviews with industry consultants.</w:t>
      </w:r>
    </w:p>
  </w:footnote>
  <w:footnote w:id="15">
    <w:p w:rsidR="00D63376" w:rsidRDefault="00D63376" w:rsidP="00D63376">
      <w:pPr>
        <w:pStyle w:val="FootnoteText"/>
      </w:pPr>
      <w:r>
        <w:rPr>
          <w:rStyle w:val="FootnoteReference"/>
        </w:rPr>
        <w:footnoteRef/>
      </w:r>
      <w:r>
        <w:t xml:space="preserve"> Monthly US natural gas wellhead price data was obtained from the Energy Information Administration of the US Department of Energy. LNG construction activity information comes from our data collection efforts described in the Data section.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35" w:rsidRDefault="00A84A35" w:rsidP="008558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4A35" w:rsidRDefault="00A84A35" w:rsidP="0085587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35" w:rsidRDefault="00A84A35">
    <w:pPr>
      <w:pStyle w:val="Header"/>
      <w:jc w:val="right"/>
    </w:pPr>
    <w:r>
      <w:fldChar w:fldCharType="begin"/>
    </w:r>
    <w:r>
      <w:instrText xml:space="preserve"> PAGE   \* MERGEFORMAT </w:instrText>
    </w:r>
    <w:r>
      <w:fldChar w:fldCharType="separate"/>
    </w:r>
    <w:r w:rsidR="00165F5B">
      <w:rPr>
        <w:noProof/>
      </w:rPr>
      <w:t>2</w:t>
    </w:r>
    <w:r>
      <w:rPr>
        <w:noProof/>
      </w:rPr>
      <w:fldChar w:fldCharType="end"/>
    </w:r>
  </w:p>
  <w:p w:rsidR="00A84A35" w:rsidRPr="002D1E28" w:rsidRDefault="00A84A35" w:rsidP="0085587A">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1432C"/>
    <w:multiLevelType w:val="hybridMultilevel"/>
    <w:tmpl w:val="B7FA9F32"/>
    <w:lvl w:ilvl="0" w:tplc="0882D5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12803"/>
    <w:multiLevelType w:val="hybridMultilevel"/>
    <w:tmpl w:val="CAE0B18E"/>
    <w:lvl w:ilvl="0" w:tplc="96049564">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
    <w:nsid w:val="112C015C"/>
    <w:multiLevelType w:val="hybridMultilevel"/>
    <w:tmpl w:val="A364AF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4977D35"/>
    <w:multiLevelType w:val="hybridMultilevel"/>
    <w:tmpl w:val="731096BC"/>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4">
    <w:nsid w:val="28657490"/>
    <w:multiLevelType w:val="hybridMultilevel"/>
    <w:tmpl w:val="05CEFE6A"/>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5">
    <w:nsid w:val="2F284845"/>
    <w:multiLevelType w:val="hybridMultilevel"/>
    <w:tmpl w:val="9F028A8E"/>
    <w:lvl w:ilvl="0" w:tplc="78CCCE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4222DA6"/>
    <w:multiLevelType w:val="hybridMultilevel"/>
    <w:tmpl w:val="C8169DDC"/>
    <w:lvl w:ilvl="0" w:tplc="738E80E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D150BF7"/>
    <w:multiLevelType w:val="hybridMultilevel"/>
    <w:tmpl w:val="46FA3B2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8">
    <w:nsid w:val="3EDE0D9E"/>
    <w:multiLevelType w:val="hybridMultilevel"/>
    <w:tmpl w:val="03682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DE66CE"/>
    <w:multiLevelType w:val="hybridMultilevel"/>
    <w:tmpl w:val="DB58833E"/>
    <w:lvl w:ilvl="0" w:tplc="FFFFFFFF">
      <w:numFmt w:val="bullet"/>
      <w:lvlText w:val=""/>
      <w:lvlJc w:val="left"/>
      <w:pPr>
        <w:tabs>
          <w:tab w:val="num" w:pos="720"/>
        </w:tabs>
        <w:ind w:left="720" w:hanging="360"/>
      </w:pPr>
      <w:rPr>
        <w:rFonts w:ascii="Wingdings" w:eastAsia="Times New Roman" w:hAnsi="Wingdings" w:cs="Times New Roman" w:hint="default"/>
      </w:rPr>
    </w:lvl>
    <w:lvl w:ilvl="1" w:tplc="FFFFFFFF">
      <w:start w:val="1"/>
      <w:numFmt w:val="bullet"/>
      <w:lvlText w:val="o"/>
      <w:lvlJc w:val="left"/>
      <w:pPr>
        <w:tabs>
          <w:tab w:val="num" w:pos="1440"/>
        </w:tabs>
        <w:ind w:left="1440" w:hanging="360"/>
      </w:pPr>
      <w:rPr>
        <w:rFonts w:ascii="Courier New" w:hAnsi="Courier New" w:cs="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40FC3C05"/>
    <w:multiLevelType w:val="multilevel"/>
    <w:tmpl w:val="FA121942"/>
    <w:lvl w:ilvl="0">
      <w:start w:val="4"/>
      <w:numFmt w:val="decimal"/>
      <w:lvlText w:val="(%1)"/>
      <w:lvlJc w:val="left"/>
      <w:pPr>
        <w:ind w:left="360" w:hanging="360"/>
      </w:pPr>
      <w:rPr>
        <w:rFonts w:ascii="Times New Roman" w:hAnsi="Times New Roman" w:hint="default"/>
        <w:b w:val="0"/>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9756172"/>
    <w:multiLevelType w:val="hybridMultilevel"/>
    <w:tmpl w:val="3CE453C6"/>
    <w:lvl w:ilvl="0" w:tplc="F27E5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B75C55"/>
    <w:multiLevelType w:val="hybridMultilevel"/>
    <w:tmpl w:val="C4162798"/>
    <w:lvl w:ilvl="0" w:tplc="53265A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C30998"/>
    <w:multiLevelType w:val="hybridMultilevel"/>
    <w:tmpl w:val="82C4FF22"/>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E0F2D86"/>
    <w:multiLevelType w:val="hybridMultilevel"/>
    <w:tmpl w:val="0D1085D0"/>
    <w:lvl w:ilvl="0" w:tplc="C3726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5574CB"/>
    <w:multiLevelType w:val="hybridMultilevel"/>
    <w:tmpl w:val="76A04440"/>
    <w:lvl w:ilvl="0" w:tplc="8ECC9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673107"/>
    <w:multiLevelType w:val="hybridMultilevel"/>
    <w:tmpl w:val="A2949FA8"/>
    <w:lvl w:ilvl="0" w:tplc="BCA6CB8E">
      <w:numFmt w:val="bullet"/>
      <w:lvlText w:val="•"/>
      <w:lvlJc w:val="left"/>
      <w:pPr>
        <w:ind w:left="907" w:hanging="720"/>
      </w:pPr>
      <w:rPr>
        <w:rFonts w:ascii="Times New Roman" w:eastAsia="Times New Roman" w:hAnsi="Times New Roman" w:cs="Times New Roman"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17">
    <w:nsid w:val="6C7F0F0C"/>
    <w:multiLevelType w:val="hybridMultilevel"/>
    <w:tmpl w:val="EDB27D56"/>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D3B4849"/>
    <w:multiLevelType w:val="hybridMultilevel"/>
    <w:tmpl w:val="7AD48E54"/>
    <w:lvl w:ilvl="0" w:tplc="4096476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EB184E"/>
    <w:multiLevelType w:val="hybridMultilevel"/>
    <w:tmpl w:val="316C82C8"/>
    <w:lvl w:ilvl="0" w:tplc="1CFC78B4">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0">
    <w:nsid w:val="798B28DB"/>
    <w:multiLevelType w:val="multilevel"/>
    <w:tmpl w:val="F4DC4DE2"/>
    <w:lvl w:ilvl="0">
      <w:start w:val="1"/>
      <w:numFmt w:val="decimal"/>
      <w:lvlText w:val="(%1)"/>
      <w:lvlJc w:val="left"/>
      <w:pPr>
        <w:ind w:left="360" w:hanging="360"/>
      </w:pPr>
      <w:rPr>
        <w:rFonts w:ascii="Times New Roman" w:hAnsi="Times New Roman" w:hint="default"/>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A0A29D4"/>
    <w:multiLevelType w:val="hybridMultilevel"/>
    <w:tmpl w:val="C6CE5DB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21"/>
  </w:num>
  <w:num w:numId="3">
    <w:abstractNumId w:val="2"/>
  </w:num>
  <w:num w:numId="4">
    <w:abstractNumId w:val="18"/>
  </w:num>
  <w:num w:numId="5">
    <w:abstractNumId w:val="7"/>
  </w:num>
  <w:num w:numId="6">
    <w:abstractNumId w:val="16"/>
  </w:num>
  <w:num w:numId="7">
    <w:abstractNumId w:val="19"/>
  </w:num>
  <w:num w:numId="8">
    <w:abstractNumId w:val="1"/>
  </w:num>
  <w:num w:numId="9">
    <w:abstractNumId w:val="9"/>
  </w:num>
  <w:num w:numId="10">
    <w:abstractNumId w:val="3"/>
  </w:num>
  <w:num w:numId="11">
    <w:abstractNumId w:val="13"/>
  </w:num>
  <w:num w:numId="12">
    <w:abstractNumId w:val="4"/>
  </w:num>
  <w:num w:numId="13">
    <w:abstractNumId w:val="17"/>
  </w:num>
  <w:num w:numId="14">
    <w:abstractNumId w:val="5"/>
  </w:num>
  <w:num w:numId="15">
    <w:abstractNumId w:val="20"/>
  </w:num>
  <w:num w:numId="16">
    <w:abstractNumId w:val="10"/>
  </w:num>
  <w:num w:numId="17">
    <w:abstractNumId w:val="14"/>
  </w:num>
  <w:num w:numId="18">
    <w:abstractNumId w:val="0"/>
  </w:num>
  <w:num w:numId="19">
    <w:abstractNumId w:val="15"/>
  </w:num>
  <w:num w:numId="20">
    <w:abstractNumId w:val="11"/>
  </w:num>
  <w:num w:numId="21">
    <w:abstractNumId w:val="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45D"/>
    <w:rsid w:val="000054E7"/>
    <w:rsid w:val="00006805"/>
    <w:rsid w:val="000108F6"/>
    <w:rsid w:val="00013D6B"/>
    <w:rsid w:val="000222C9"/>
    <w:rsid w:val="000222E8"/>
    <w:rsid w:val="00023C52"/>
    <w:rsid w:val="00032130"/>
    <w:rsid w:val="00032F47"/>
    <w:rsid w:val="00032FC7"/>
    <w:rsid w:val="00035A40"/>
    <w:rsid w:val="00035C88"/>
    <w:rsid w:val="00037B6B"/>
    <w:rsid w:val="00043AFB"/>
    <w:rsid w:val="0004475A"/>
    <w:rsid w:val="00047BEA"/>
    <w:rsid w:val="00051E6C"/>
    <w:rsid w:val="00060514"/>
    <w:rsid w:val="0006153F"/>
    <w:rsid w:val="000640E0"/>
    <w:rsid w:val="00065EA3"/>
    <w:rsid w:val="00071640"/>
    <w:rsid w:val="00071665"/>
    <w:rsid w:val="0007227B"/>
    <w:rsid w:val="000748F7"/>
    <w:rsid w:val="00075FE6"/>
    <w:rsid w:val="00076A73"/>
    <w:rsid w:val="000827E6"/>
    <w:rsid w:val="000931DA"/>
    <w:rsid w:val="00093B2C"/>
    <w:rsid w:val="00094107"/>
    <w:rsid w:val="000A0E81"/>
    <w:rsid w:val="000A26D3"/>
    <w:rsid w:val="000A3379"/>
    <w:rsid w:val="000A38E3"/>
    <w:rsid w:val="000A74A3"/>
    <w:rsid w:val="000B6CF9"/>
    <w:rsid w:val="000B6DAC"/>
    <w:rsid w:val="000B7CC9"/>
    <w:rsid w:val="000C1087"/>
    <w:rsid w:val="000C5948"/>
    <w:rsid w:val="000D15EA"/>
    <w:rsid w:val="000D5502"/>
    <w:rsid w:val="000D5D37"/>
    <w:rsid w:val="000E1E1E"/>
    <w:rsid w:val="000E35D6"/>
    <w:rsid w:val="000E4710"/>
    <w:rsid w:val="000E67B5"/>
    <w:rsid w:val="000F22B2"/>
    <w:rsid w:val="000F3FFB"/>
    <w:rsid w:val="000F7CB0"/>
    <w:rsid w:val="000F7F97"/>
    <w:rsid w:val="00107F8B"/>
    <w:rsid w:val="0011071A"/>
    <w:rsid w:val="00111C7A"/>
    <w:rsid w:val="0011364B"/>
    <w:rsid w:val="00114752"/>
    <w:rsid w:val="00116BFC"/>
    <w:rsid w:val="0011795B"/>
    <w:rsid w:val="00121BD1"/>
    <w:rsid w:val="00126D68"/>
    <w:rsid w:val="00130363"/>
    <w:rsid w:val="001327A7"/>
    <w:rsid w:val="00133E05"/>
    <w:rsid w:val="00134736"/>
    <w:rsid w:val="00134F92"/>
    <w:rsid w:val="00135B57"/>
    <w:rsid w:val="00147045"/>
    <w:rsid w:val="00151043"/>
    <w:rsid w:val="0015445D"/>
    <w:rsid w:val="00154461"/>
    <w:rsid w:val="00155449"/>
    <w:rsid w:val="00156672"/>
    <w:rsid w:val="00160019"/>
    <w:rsid w:val="001601EB"/>
    <w:rsid w:val="00162D67"/>
    <w:rsid w:val="00163F28"/>
    <w:rsid w:val="00165D6D"/>
    <w:rsid w:val="00165F5B"/>
    <w:rsid w:val="00166FC5"/>
    <w:rsid w:val="00170AAC"/>
    <w:rsid w:val="0017328D"/>
    <w:rsid w:val="00173572"/>
    <w:rsid w:val="0017626B"/>
    <w:rsid w:val="001867CD"/>
    <w:rsid w:val="0019425C"/>
    <w:rsid w:val="00195F03"/>
    <w:rsid w:val="001A0CBC"/>
    <w:rsid w:val="001A3CD1"/>
    <w:rsid w:val="001B1882"/>
    <w:rsid w:val="001B2C11"/>
    <w:rsid w:val="001B4EA8"/>
    <w:rsid w:val="001C01D4"/>
    <w:rsid w:val="001C2623"/>
    <w:rsid w:val="001C2FBA"/>
    <w:rsid w:val="001C7242"/>
    <w:rsid w:val="001C73C2"/>
    <w:rsid w:val="001C74CF"/>
    <w:rsid w:val="001C7663"/>
    <w:rsid w:val="001D4D67"/>
    <w:rsid w:val="001D7D26"/>
    <w:rsid w:val="001E13B1"/>
    <w:rsid w:val="001E7949"/>
    <w:rsid w:val="001F124F"/>
    <w:rsid w:val="001F6606"/>
    <w:rsid w:val="002004D1"/>
    <w:rsid w:val="00201830"/>
    <w:rsid w:val="00204D75"/>
    <w:rsid w:val="00205BC9"/>
    <w:rsid w:val="00206EB2"/>
    <w:rsid w:val="00210130"/>
    <w:rsid w:val="0021121A"/>
    <w:rsid w:val="00212CC2"/>
    <w:rsid w:val="00216BD2"/>
    <w:rsid w:val="002205D4"/>
    <w:rsid w:val="002232DB"/>
    <w:rsid w:val="0022477D"/>
    <w:rsid w:val="00224EE6"/>
    <w:rsid w:val="00227862"/>
    <w:rsid w:val="0023232D"/>
    <w:rsid w:val="002347E8"/>
    <w:rsid w:val="002424A8"/>
    <w:rsid w:val="0024283F"/>
    <w:rsid w:val="00246F03"/>
    <w:rsid w:val="00247313"/>
    <w:rsid w:val="002520AC"/>
    <w:rsid w:val="002649DA"/>
    <w:rsid w:val="00265D09"/>
    <w:rsid w:val="0026721B"/>
    <w:rsid w:val="00267866"/>
    <w:rsid w:val="00267FE1"/>
    <w:rsid w:val="00272C06"/>
    <w:rsid w:val="0027682F"/>
    <w:rsid w:val="002914D2"/>
    <w:rsid w:val="00293773"/>
    <w:rsid w:val="00297711"/>
    <w:rsid w:val="002B0FCF"/>
    <w:rsid w:val="002B1846"/>
    <w:rsid w:val="002B1F16"/>
    <w:rsid w:val="002B68B9"/>
    <w:rsid w:val="002C2B73"/>
    <w:rsid w:val="002C3619"/>
    <w:rsid w:val="002C3C05"/>
    <w:rsid w:val="002C4535"/>
    <w:rsid w:val="002C4A51"/>
    <w:rsid w:val="002C56DA"/>
    <w:rsid w:val="002C5814"/>
    <w:rsid w:val="002D0060"/>
    <w:rsid w:val="002D0331"/>
    <w:rsid w:val="002D0CD2"/>
    <w:rsid w:val="002D6C2D"/>
    <w:rsid w:val="002E013C"/>
    <w:rsid w:val="002E0285"/>
    <w:rsid w:val="002E1906"/>
    <w:rsid w:val="002E3C8F"/>
    <w:rsid w:val="002E7617"/>
    <w:rsid w:val="002F0465"/>
    <w:rsid w:val="002F1EC2"/>
    <w:rsid w:val="002F280A"/>
    <w:rsid w:val="002F2FEA"/>
    <w:rsid w:val="002F42F4"/>
    <w:rsid w:val="002F57F3"/>
    <w:rsid w:val="002F5EDF"/>
    <w:rsid w:val="002F61DF"/>
    <w:rsid w:val="002F6EE0"/>
    <w:rsid w:val="0030163C"/>
    <w:rsid w:val="00305CFA"/>
    <w:rsid w:val="00306437"/>
    <w:rsid w:val="0030662B"/>
    <w:rsid w:val="00315BAF"/>
    <w:rsid w:val="00323A3B"/>
    <w:rsid w:val="00331767"/>
    <w:rsid w:val="00332691"/>
    <w:rsid w:val="00336193"/>
    <w:rsid w:val="003379FF"/>
    <w:rsid w:val="00343F32"/>
    <w:rsid w:val="003466BA"/>
    <w:rsid w:val="00351361"/>
    <w:rsid w:val="00353887"/>
    <w:rsid w:val="00353D8C"/>
    <w:rsid w:val="003567E5"/>
    <w:rsid w:val="00356A42"/>
    <w:rsid w:val="00366B37"/>
    <w:rsid w:val="00367A85"/>
    <w:rsid w:val="00382F17"/>
    <w:rsid w:val="00383C39"/>
    <w:rsid w:val="0038606D"/>
    <w:rsid w:val="00390670"/>
    <w:rsid w:val="00391336"/>
    <w:rsid w:val="00391FDD"/>
    <w:rsid w:val="00393125"/>
    <w:rsid w:val="00396E9E"/>
    <w:rsid w:val="003A09BC"/>
    <w:rsid w:val="003A4832"/>
    <w:rsid w:val="003A5590"/>
    <w:rsid w:val="003A5EF0"/>
    <w:rsid w:val="003A65B7"/>
    <w:rsid w:val="003B0487"/>
    <w:rsid w:val="003B3D0B"/>
    <w:rsid w:val="003B4DC2"/>
    <w:rsid w:val="003B71D1"/>
    <w:rsid w:val="003B7227"/>
    <w:rsid w:val="003C4B98"/>
    <w:rsid w:val="003C4BEE"/>
    <w:rsid w:val="003C69A2"/>
    <w:rsid w:val="003C7932"/>
    <w:rsid w:val="003D3E16"/>
    <w:rsid w:val="003D3E74"/>
    <w:rsid w:val="003E1ADA"/>
    <w:rsid w:val="003F1AB7"/>
    <w:rsid w:val="00401660"/>
    <w:rsid w:val="0041341E"/>
    <w:rsid w:val="00416F3A"/>
    <w:rsid w:val="004243BB"/>
    <w:rsid w:val="00425722"/>
    <w:rsid w:val="00425FA8"/>
    <w:rsid w:val="00427F67"/>
    <w:rsid w:val="004374FD"/>
    <w:rsid w:val="0044402A"/>
    <w:rsid w:val="00445B12"/>
    <w:rsid w:val="00447DDF"/>
    <w:rsid w:val="0045358C"/>
    <w:rsid w:val="00461E92"/>
    <w:rsid w:val="00464D21"/>
    <w:rsid w:val="00465D7F"/>
    <w:rsid w:val="00467F4C"/>
    <w:rsid w:val="00473159"/>
    <w:rsid w:val="00482C1C"/>
    <w:rsid w:val="00486BF1"/>
    <w:rsid w:val="004872C2"/>
    <w:rsid w:val="00491CEA"/>
    <w:rsid w:val="00495393"/>
    <w:rsid w:val="00497F90"/>
    <w:rsid w:val="004A0A24"/>
    <w:rsid w:val="004A210D"/>
    <w:rsid w:val="004A5956"/>
    <w:rsid w:val="004A6A36"/>
    <w:rsid w:val="004B3B7F"/>
    <w:rsid w:val="004C2504"/>
    <w:rsid w:val="004D3148"/>
    <w:rsid w:val="004D7DE8"/>
    <w:rsid w:val="004E2D04"/>
    <w:rsid w:val="004F5180"/>
    <w:rsid w:val="004F56CF"/>
    <w:rsid w:val="00501741"/>
    <w:rsid w:val="00501F6A"/>
    <w:rsid w:val="00510C2F"/>
    <w:rsid w:val="00511AC3"/>
    <w:rsid w:val="0051666B"/>
    <w:rsid w:val="005208E8"/>
    <w:rsid w:val="0052124B"/>
    <w:rsid w:val="00521D3F"/>
    <w:rsid w:val="00524441"/>
    <w:rsid w:val="00524C21"/>
    <w:rsid w:val="00525FCD"/>
    <w:rsid w:val="005310AA"/>
    <w:rsid w:val="0053651C"/>
    <w:rsid w:val="00541BD9"/>
    <w:rsid w:val="00543311"/>
    <w:rsid w:val="00543AA3"/>
    <w:rsid w:val="00551460"/>
    <w:rsid w:val="005514ED"/>
    <w:rsid w:val="00556790"/>
    <w:rsid w:val="00562CDC"/>
    <w:rsid w:val="00564AFF"/>
    <w:rsid w:val="0056563F"/>
    <w:rsid w:val="0056707C"/>
    <w:rsid w:val="00571BF7"/>
    <w:rsid w:val="005724E9"/>
    <w:rsid w:val="0057595A"/>
    <w:rsid w:val="00577A8F"/>
    <w:rsid w:val="005861F4"/>
    <w:rsid w:val="00587045"/>
    <w:rsid w:val="00591C3A"/>
    <w:rsid w:val="005944B1"/>
    <w:rsid w:val="00594E6D"/>
    <w:rsid w:val="005959D0"/>
    <w:rsid w:val="005967F8"/>
    <w:rsid w:val="00597D14"/>
    <w:rsid w:val="005A1D6B"/>
    <w:rsid w:val="005A25DD"/>
    <w:rsid w:val="005A492D"/>
    <w:rsid w:val="005A6EFD"/>
    <w:rsid w:val="005B0D10"/>
    <w:rsid w:val="005B11E9"/>
    <w:rsid w:val="005B24CB"/>
    <w:rsid w:val="005B37AC"/>
    <w:rsid w:val="005B3F14"/>
    <w:rsid w:val="005B6BA2"/>
    <w:rsid w:val="005B7824"/>
    <w:rsid w:val="005C0533"/>
    <w:rsid w:val="005C1E89"/>
    <w:rsid w:val="005C3E56"/>
    <w:rsid w:val="005C65E9"/>
    <w:rsid w:val="005C6F2D"/>
    <w:rsid w:val="005D453E"/>
    <w:rsid w:val="005D4EED"/>
    <w:rsid w:val="005D5BEE"/>
    <w:rsid w:val="005D60CC"/>
    <w:rsid w:val="005E34EF"/>
    <w:rsid w:val="005E4522"/>
    <w:rsid w:val="005E6226"/>
    <w:rsid w:val="005E6D48"/>
    <w:rsid w:val="005E77DC"/>
    <w:rsid w:val="005F2895"/>
    <w:rsid w:val="005F5B77"/>
    <w:rsid w:val="005F5DD0"/>
    <w:rsid w:val="00600F55"/>
    <w:rsid w:val="00602A7C"/>
    <w:rsid w:val="00605D85"/>
    <w:rsid w:val="00611429"/>
    <w:rsid w:val="006134DB"/>
    <w:rsid w:val="00614281"/>
    <w:rsid w:val="0061706C"/>
    <w:rsid w:val="00625598"/>
    <w:rsid w:val="00625B98"/>
    <w:rsid w:val="00626898"/>
    <w:rsid w:val="0063241F"/>
    <w:rsid w:val="00636CBC"/>
    <w:rsid w:val="00637130"/>
    <w:rsid w:val="00655814"/>
    <w:rsid w:val="006608DB"/>
    <w:rsid w:val="00663A18"/>
    <w:rsid w:val="006651E7"/>
    <w:rsid w:val="0066731C"/>
    <w:rsid w:val="006748A8"/>
    <w:rsid w:val="006756FE"/>
    <w:rsid w:val="00676D63"/>
    <w:rsid w:val="0067738E"/>
    <w:rsid w:val="0068139C"/>
    <w:rsid w:val="006828D4"/>
    <w:rsid w:val="00690D03"/>
    <w:rsid w:val="00697614"/>
    <w:rsid w:val="006A11E7"/>
    <w:rsid w:val="006A4DA9"/>
    <w:rsid w:val="006B01E5"/>
    <w:rsid w:val="006B034A"/>
    <w:rsid w:val="006B29EA"/>
    <w:rsid w:val="006C055F"/>
    <w:rsid w:val="006C0C6F"/>
    <w:rsid w:val="006C1054"/>
    <w:rsid w:val="006C1133"/>
    <w:rsid w:val="006C1503"/>
    <w:rsid w:val="006C234D"/>
    <w:rsid w:val="006C243F"/>
    <w:rsid w:val="006C36E6"/>
    <w:rsid w:val="006C3D73"/>
    <w:rsid w:val="006D0773"/>
    <w:rsid w:val="006D5EEA"/>
    <w:rsid w:val="006D7064"/>
    <w:rsid w:val="006E078C"/>
    <w:rsid w:val="006E1842"/>
    <w:rsid w:val="006E1F0C"/>
    <w:rsid w:val="006E52A8"/>
    <w:rsid w:val="006E56CD"/>
    <w:rsid w:val="006E6BE7"/>
    <w:rsid w:val="00711AC0"/>
    <w:rsid w:val="00720DB8"/>
    <w:rsid w:val="0073009B"/>
    <w:rsid w:val="0073071F"/>
    <w:rsid w:val="00730769"/>
    <w:rsid w:val="0073234D"/>
    <w:rsid w:val="00732764"/>
    <w:rsid w:val="00733B44"/>
    <w:rsid w:val="00734707"/>
    <w:rsid w:val="00741230"/>
    <w:rsid w:val="007522C4"/>
    <w:rsid w:val="00753CFA"/>
    <w:rsid w:val="0075436F"/>
    <w:rsid w:val="0076611D"/>
    <w:rsid w:val="007725D2"/>
    <w:rsid w:val="00773E1D"/>
    <w:rsid w:val="00775E32"/>
    <w:rsid w:val="007808F3"/>
    <w:rsid w:val="00780E3B"/>
    <w:rsid w:val="00782BEC"/>
    <w:rsid w:val="00783900"/>
    <w:rsid w:val="0078554E"/>
    <w:rsid w:val="00786750"/>
    <w:rsid w:val="007872B6"/>
    <w:rsid w:val="007937C4"/>
    <w:rsid w:val="0079585A"/>
    <w:rsid w:val="007A1F89"/>
    <w:rsid w:val="007A433F"/>
    <w:rsid w:val="007A5EF5"/>
    <w:rsid w:val="007B48C4"/>
    <w:rsid w:val="007B4B0B"/>
    <w:rsid w:val="007B7CCC"/>
    <w:rsid w:val="007C34B0"/>
    <w:rsid w:val="007D7654"/>
    <w:rsid w:val="007E3997"/>
    <w:rsid w:val="007E501E"/>
    <w:rsid w:val="007E68C5"/>
    <w:rsid w:val="007F37F3"/>
    <w:rsid w:val="007F3CD9"/>
    <w:rsid w:val="007F60E9"/>
    <w:rsid w:val="00802B15"/>
    <w:rsid w:val="00805255"/>
    <w:rsid w:val="00805A42"/>
    <w:rsid w:val="00810F3D"/>
    <w:rsid w:val="008110E6"/>
    <w:rsid w:val="00812BDD"/>
    <w:rsid w:val="008173E3"/>
    <w:rsid w:val="00824F42"/>
    <w:rsid w:val="0082542E"/>
    <w:rsid w:val="008261C1"/>
    <w:rsid w:val="008266F5"/>
    <w:rsid w:val="0083115B"/>
    <w:rsid w:val="00834A51"/>
    <w:rsid w:val="00836D75"/>
    <w:rsid w:val="0083749A"/>
    <w:rsid w:val="008426BF"/>
    <w:rsid w:val="00850C69"/>
    <w:rsid w:val="00852882"/>
    <w:rsid w:val="008551AC"/>
    <w:rsid w:val="008554B8"/>
    <w:rsid w:val="0085587A"/>
    <w:rsid w:val="00856C53"/>
    <w:rsid w:val="00857C12"/>
    <w:rsid w:val="008703E4"/>
    <w:rsid w:val="0087224E"/>
    <w:rsid w:val="0087361C"/>
    <w:rsid w:val="0087417A"/>
    <w:rsid w:val="008754A3"/>
    <w:rsid w:val="00875C60"/>
    <w:rsid w:val="00877117"/>
    <w:rsid w:val="008939A3"/>
    <w:rsid w:val="008967F2"/>
    <w:rsid w:val="008A7178"/>
    <w:rsid w:val="008B5F93"/>
    <w:rsid w:val="008C4E1F"/>
    <w:rsid w:val="008C62F7"/>
    <w:rsid w:val="008D0B57"/>
    <w:rsid w:val="008D13E2"/>
    <w:rsid w:val="008D3CEA"/>
    <w:rsid w:val="008E46B3"/>
    <w:rsid w:val="008F02E3"/>
    <w:rsid w:val="008F4248"/>
    <w:rsid w:val="008F66ED"/>
    <w:rsid w:val="008F7FC2"/>
    <w:rsid w:val="00905FF1"/>
    <w:rsid w:val="00907DDE"/>
    <w:rsid w:val="00916332"/>
    <w:rsid w:val="0092262F"/>
    <w:rsid w:val="00923024"/>
    <w:rsid w:val="00923EF2"/>
    <w:rsid w:val="0092478F"/>
    <w:rsid w:val="00924CDC"/>
    <w:rsid w:val="00925509"/>
    <w:rsid w:val="009262CF"/>
    <w:rsid w:val="00926CC5"/>
    <w:rsid w:val="009352A9"/>
    <w:rsid w:val="00944914"/>
    <w:rsid w:val="009479A8"/>
    <w:rsid w:val="009539D0"/>
    <w:rsid w:val="00962FF8"/>
    <w:rsid w:val="00963406"/>
    <w:rsid w:val="00965ABB"/>
    <w:rsid w:val="0097081F"/>
    <w:rsid w:val="00972C77"/>
    <w:rsid w:val="009734D3"/>
    <w:rsid w:val="00975D7A"/>
    <w:rsid w:val="009765D2"/>
    <w:rsid w:val="009820F0"/>
    <w:rsid w:val="00987048"/>
    <w:rsid w:val="00995040"/>
    <w:rsid w:val="009A08F5"/>
    <w:rsid w:val="009A54B4"/>
    <w:rsid w:val="009B5BCF"/>
    <w:rsid w:val="009B6B30"/>
    <w:rsid w:val="009B7DFF"/>
    <w:rsid w:val="009C29F1"/>
    <w:rsid w:val="009D1A97"/>
    <w:rsid w:val="009D1F59"/>
    <w:rsid w:val="009D3624"/>
    <w:rsid w:val="009D4F14"/>
    <w:rsid w:val="009D634A"/>
    <w:rsid w:val="009D6C64"/>
    <w:rsid w:val="009F124C"/>
    <w:rsid w:val="00A01424"/>
    <w:rsid w:val="00A07FCD"/>
    <w:rsid w:val="00A11A3C"/>
    <w:rsid w:val="00A13A5D"/>
    <w:rsid w:val="00A13B34"/>
    <w:rsid w:val="00A14E71"/>
    <w:rsid w:val="00A154CE"/>
    <w:rsid w:val="00A17D27"/>
    <w:rsid w:val="00A17EEF"/>
    <w:rsid w:val="00A210B7"/>
    <w:rsid w:val="00A21FAD"/>
    <w:rsid w:val="00A22593"/>
    <w:rsid w:val="00A34F17"/>
    <w:rsid w:val="00A362A5"/>
    <w:rsid w:val="00A400F6"/>
    <w:rsid w:val="00A401B5"/>
    <w:rsid w:val="00A40AFB"/>
    <w:rsid w:val="00A46230"/>
    <w:rsid w:val="00A475D8"/>
    <w:rsid w:val="00A50760"/>
    <w:rsid w:val="00A52570"/>
    <w:rsid w:val="00A56D68"/>
    <w:rsid w:val="00A6500C"/>
    <w:rsid w:val="00A7004F"/>
    <w:rsid w:val="00A753C4"/>
    <w:rsid w:val="00A8125C"/>
    <w:rsid w:val="00A84A35"/>
    <w:rsid w:val="00A862A5"/>
    <w:rsid w:val="00A86E03"/>
    <w:rsid w:val="00AA030D"/>
    <w:rsid w:val="00AB1E25"/>
    <w:rsid w:val="00AC0CFE"/>
    <w:rsid w:val="00AC6D93"/>
    <w:rsid w:val="00AD188E"/>
    <w:rsid w:val="00AD1F65"/>
    <w:rsid w:val="00AD71B9"/>
    <w:rsid w:val="00AE1A48"/>
    <w:rsid w:val="00AE2DA7"/>
    <w:rsid w:val="00AE4430"/>
    <w:rsid w:val="00AE5A61"/>
    <w:rsid w:val="00AF145C"/>
    <w:rsid w:val="00AF5C6D"/>
    <w:rsid w:val="00B003FC"/>
    <w:rsid w:val="00B02282"/>
    <w:rsid w:val="00B0699D"/>
    <w:rsid w:val="00B07EB1"/>
    <w:rsid w:val="00B15B82"/>
    <w:rsid w:val="00B22CF1"/>
    <w:rsid w:val="00B24390"/>
    <w:rsid w:val="00B24DE6"/>
    <w:rsid w:val="00B26E90"/>
    <w:rsid w:val="00B308C3"/>
    <w:rsid w:val="00B32C42"/>
    <w:rsid w:val="00B35C4F"/>
    <w:rsid w:val="00B44CDA"/>
    <w:rsid w:val="00B51D65"/>
    <w:rsid w:val="00B54F57"/>
    <w:rsid w:val="00B552B1"/>
    <w:rsid w:val="00B56AF7"/>
    <w:rsid w:val="00B61D56"/>
    <w:rsid w:val="00B6437C"/>
    <w:rsid w:val="00B655FD"/>
    <w:rsid w:val="00B65C93"/>
    <w:rsid w:val="00B7001D"/>
    <w:rsid w:val="00B71143"/>
    <w:rsid w:val="00B715A6"/>
    <w:rsid w:val="00B72367"/>
    <w:rsid w:val="00B729D1"/>
    <w:rsid w:val="00B74216"/>
    <w:rsid w:val="00B76E6B"/>
    <w:rsid w:val="00B80406"/>
    <w:rsid w:val="00B80698"/>
    <w:rsid w:val="00B83E86"/>
    <w:rsid w:val="00B907E8"/>
    <w:rsid w:val="00B91BBB"/>
    <w:rsid w:val="00B93745"/>
    <w:rsid w:val="00B95342"/>
    <w:rsid w:val="00B9624F"/>
    <w:rsid w:val="00BA73FE"/>
    <w:rsid w:val="00BB2238"/>
    <w:rsid w:val="00BC3859"/>
    <w:rsid w:val="00BC446E"/>
    <w:rsid w:val="00BD3D04"/>
    <w:rsid w:val="00BD3EE8"/>
    <w:rsid w:val="00BD70A3"/>
    <w:rsid w:val="00BE0AF9"/>
    <w:rsid w:val="00BE2647"/>
    <w:rsid w:val="00BF061A"/>
    <w:rsid w:val="00BF2510"/>
    <w:rsid w:val="00BF28C6"/>
    <w:rsid w:val="00BF46A8"/>
    <w:rsid w:val="00BF5DA1"/>
    <w:rsid w:val="00C00134"/>
    <w:rsid w:val="00C009BB"/>
    <w:rsid w:val="00C0678D"/>
    <w:rsid w:val="00C07479"/>
    <w:rsid w:val="00C16039"/>
    <w:rsid w:val="00C21CB3"/>
    <w:rsid w:val="00C23DBC"/>
    <w:rsid w:val="00C2590A"/>
    <w:rsid w:val="00C32B36"/>
    <w:rsid w:val="00C342D2"/>
    <w:rsid w:val="00C3586E"/>
    <w:rsid w:val="00C35DE2"/>
    <w:rsid w:val="00C4034A"/>
    <w:rsid w:val="00C4499D"/>
    <w:rsid w:val="00C47BA0"/>
    <w:rsid w:val="00C53E51"/>
    <w:rsid w:val="00C541A4"/>
    <w:rsid w:val="00C56C0A"/>
    <w:rsid w:val="00C615E0"/>
    <w:rsid w:val="00C713A6"/>
    <w:rsid w:val="00C75003"/>
    <w:rsid w:val="00C76F6F"/>
    <w:rsid w:val="00C80AE5"/>
    <w:rsid w:val="00C81121"/>
    <w:rsid w:val="00C94226"/>
    <w:rsid w:val="00CA163D"/>
    <w:rsid w:val="00CA3EF8"/>
    <w:rsid w:val="00CA46D2"/>
    <w:rsid w:val="00CA728A"/>
    <w:rsid w:val="00CB13D5"/>
    <w:rsid w:val="00CB2BF3"/>
    <w:rsid w:val="00CB752B"/>
    <w:rsid w:val="00CC63D4"/>
    <w:rsid w:val="00CD69EB"/>
    <w:rsid w:val="00CD7831"/>
    <w:rsid w:val="00CE6F68"/>
    <w:rsid w:val="00CF0F75"/>
    <w:rsid w:val="00D00B0D"/>
    <w:rsid w:val="00D0600F"/>
    <w:rsid w:val="00D077CE"/>
    <w:rsid w:val="00D10E1D"/>
    <w:rsid w:val="00D11D2D"/>
    <w:rsid w:val="00D128A8"/>
    <w:rsid w:val="00D13BB6"/>
    <w:rsid w:val="00D15630"/>
    <w:rsid w:val="00D1713D"/>
    <w:rsid w:val="00D21C0B"/>
    <w:rsid w:val="00D2398B"/>
    <w:rsid w:val="00D23BB6"/>
    <w:rsid w:val="00D2648E"/>
    <w:rsid w:val="00D3114D"/>
    <w:rsid w:val="00D3329A"/>
    <w:rsid w:val="00D34F92"/>
    <w:rsid w:val="00D36519"/>
    <w:rsid w:val="00D46578"/>
    <w:rsid w:val="00D5155F"/>
    <w:rsid w:val="00D541CF"/>
    <w:rsid w:val="00D568BC"/>
    <w:rsid w:val="00D60014"/>
    <w:rsid w:val="00D63376"/>
    <w:rsid w:val="00D65D31"/>
    <w:rsid w:val="00D6640F"/>
    <w:rsid w:val="00D75F6E"/>
    <w:rsid w:val="00D76A98"/>
    <w:rsid w:val="00D826AB"/>
    <w:rsid w:val="00D82E44"/>
    <w:rsid w:val="00D92EFB"/>
    <w:rsid w:val="00D92F7C"/>
    <w:rsid w:val="00DA6A74"/>
    <w:rsid w:val="00DB20B8"/>
    <w:rsid w:val="00DB6E66"/>
    <w:rsid w:val="00DC4A94"/>
    <w:rsid w:val="00DC78B8"/>
    <w:rsid w:val="00DD2429"/>
    <w:rsid w:val="00DD4A80"/>
    <w:rsid w:val="00DD7539"/>
    <w:rsid w:val="00DE17D3"/>
    <w:rsid w:val="00DE187C"/>
    <w:rsid w:val="00DE3108"/>
    <w:rsid w:val="00DE3831"/>
    <w:rsid w:val="00DE3B5E"/>
    <w:rsid w:val="00DE6A52"/>
    <w:rsid w:val="00DF2472"/>
    <w:rsid w:val="00DF3488"/>
    <w:rsid w:val="00DF3E06"/>
    <w:rsid w:val="00DF5E9B"/>
    <w:rsid w:val="00E03F5B"/>
    <w:rsid w:val="00E06444"/>
    <w:rsid w:val="00E106BE"/>
    <w:rsid w:val="00E10CA7"/>
    <w:rsid w:val="00E12713"/>
    <w:rsid w:val="00E24804"/>
    <w:rsid w:val="00E349E9"/>
    <w:rsid w:val="00E356BC"/>
    <w:rsid w:val="00E41225"/>
    <w:rsid w:val="00E52A8A"/>
    <w:rsid w:val="00E55A4D"/>
    <w:rsid w:val="00E568EA"/>
    <w:rsid w:val="00E57B21"/>
    <w:rsid w:val="00E64103"/>
    <w:rsid w:val="00E65166"/>
    <w:rsid w:val="00E67D26"/>
    <w:rsid w:val="00E71F3D"/>
    <w:rsid w:val="00E768CC"/>
    <w:rsid w:val="00E82C3C"/>
    <w:rsid w:val="00E84E04"/>
    <w:rsid w:val="00E9099F"/>
    <w:rsid w:val="00E946D6"/>
    <w:rsid w:val="00EA0FBE"/>
    <w:rsid w:val="00EA2495"/>
    <w:rsid w:val="00EA27C5"/>
    <w:rsid w:val="00EA352A"/>
    <w:rsid w:val="00EA698D"/>
    <w:rsid w:val="00EB528C"/>
    <w:rsid w:val="00EB5D06"/>
    <w:rsid w:val="00EB6873"/>
    <w:rsid w:val="00EB68C1"/>
    <w:rsid w:val="00EC5A00"/>
    <w:rsid w:val="00EC5A24"/>
    <w:rsid w:val="00EC6EB5"/>
    <w:rsid w:val="00EC7C1B"/>
    <w:rsid w:val="00ED0017"/>
    <w:rsid w:val="00ED1626"/>
    <w:rsid w:val="00ED3554"/>
    <w:rsid w:val="00ED6DA8"/>
    <w:rsid w:val="00EE3ABF"/>
    <w:rsid w:val="00EE6E7C"/>
    <w:rsid w:val="00EF174E"/>
    <w:rsid w:val="00EF4CCA"/>
    <w:rsid w:val="00EF7F00"/>
    <w:rsid w:val="00F04FB0"/>
    <w:rsid w:val="00F07465"/>
    <w:rsid w:val="00F12006"/>
    <w:rsid w:val="00F1236C"/>
    <w:rsid w:val="00F1244A"/>
    <w:rsid w:val="00F12AD3"/>
    <w:rsid w:val="00F156F9"/>
    <w:rsid w:val="00F17373"/>
    <w:rsid w:val="00F202D5"/>
    <w:rsid w:val="00F21973"/>
    <w:rsid w:val="00F21FDC"/>
    <w:rsid w:val="00F315C6"/>
    <w:rsid w:val="00F33EFD"/>
    <w:rsid w:val="00F365D0"/>
    <w:rsid w:val="00F36948"/>
    <w:rsid w:val="00F40730"/>
    <w:rsid w:val="00F4515E"/>
    <w:rsid w:val="00F47127"/>
    <w:rsid w:val="00F50C45"/>
    <w:rsid w:val="00F51150"/>
    <w:rsid w:val="00F52C47"/>
    <w:rsid w:val="00F55CE8"/>
    <w:rsid w:val="00F56255"/>
    <w:rsid w:val="00F62A50"/>
    <w:rsid w:val="00F644C9"/>
    <w:rsid w:val="00F64786"/>
    <w:rsid w:val="00F667B8"/>
    <w:rsid w:val="00F84E6F"/>
    <w:rsid w:val="00F8561F"/>
    <w:rsid w:val="00F92F8D"/>
    <w:rsid w:val="00F96BB3"/>
    <w:rsid w:val="00F97A82"/>
    <w:rsid w:val="00FA00D5"/>
    <w:rsid w:val="00FA08BD"/>
    <w:rsid w:val="00FA1B2D"/>
    <w:rsid w:val="00FA28AE"/>
    <w:rsid w:val="00FB02B8"/>
    <w:rsid w:val="00FB0B19"/>
    <w:rsid w:val="00FB449E"/>
    <w:rsid w:val="00FB645B"/>
    <w:rsid w:val="00FB76FA"/>
    <w:rsid w:val="00FC0E64"/>
    <w:rsid w:val="00FC2F1F"/>
    <w:rsid w:val="00FC6AF1"/>
    <w:rsid w:val="00FD14F1"/>
    <w:rsid w:val="00FD551E"/>
    <w:rsid w:val="00FD60F8"/>
    <w:rsid w:val="00FD6792"/>
    <w:rsid w:val="00FD6952"/>
    <w:rsid w:val="00FE427D"/>
    <w:rsid w:val="00FF2329"/>
    <w:rsid w:val="00FF5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45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15445D"/>
    <w:pPr>
      <w:keepNext/>
      <w:keepLines/>
      <w:spacing w:before="120" w:line="480" w:lineRule="auto"/>
      <w:outlineLvl w:val="0"/>
    </w:pPr>
    <w:rPr>
      <w:b/>
      <w:bCs/>
      <w:szCs w:val="28"/>
    </w:rPr>
  </w:style>
  <w:style w:type="paragraph" w:styleId="Heading2">
    <w:name w:val="heading 2"/>
    <w:basedOn w:val="Normal"/>
    <w:next w:val="Normal"/>
    <w:link w:val="Heading2Char"/>
    <w:uiPriority w:val="9"/>
    <w:qFormat/>
    <w:rsid w:val="0015445D"/>
    <w:pPr>
      <w:keepNext/>
      <w:keepLines/>
      <w:spacing w:line="480" w:lineRule="auto"/>
      <w:jc w:val="both"/>
      <w:outlineLvl w:val="1"/>
    </w:pPr>
    <w:rPr>
      <w:b/>
      <w:bCs/>
      <w:color w:val="000000"/>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45D"/>
    <w:rPr>
      <w:rFonts w:ascii="Times New Roman" w:eastAsia="Times New Roman" w:hAnsi="Times New Roman" w:cs="Times New Roman"/>
      <w:b/>
      <w:bCs/>
      <w:sz w:val="24"/>
      <w:szCs w:val="28"/>
      <w:lang w:val="en-US"/>
    </w:rPr>
  </w:style>
  <w:style w:type="character" w:customStyle="1" w:styleId="Heading2Char">
    <w:name w:val="Heading 2 Char"/>
    <w:basedOn w:val="DefaultParagraphFont"/>
    <w:link w:val="Heading2"/>
    <w:uiPriority w:val="9"/>
    <w:rsid w:val="0015445D"/>
    <w:rPr>
      <w:rFonts w:ascii="Times New Roman" w:eastAsia="Times New Roman" w:hAnsi="Times New Roman" w:cs="Times New Roman"/>
      <w:b/>
      <w:bCs/>
      <w:color w:val="000000"/>
      <w:szCs w:val="26"/>
      <w:lang w:val="en-US"/>
    </w:rPr>
  </w:style>
  <w:style w:type="paragraph" w:styleId="FootnoteText">
    <w:name w:val="footnote text"/>
    <w:basedOn w:val="Normal"/>
    <w:link w:val="FootnoteTextChar"/>
    <w:uiPriority w:val="99"/>
    <w:rsid w:val="0015445D"/>
    <w:rPr>
      <w:sz w:val="20"/>
      <w:szCs w:val="20"/>
    </w:rPr>
  </w:style>
  <w:style w:type="character" w:customStyle="1" w:styleId="FootnoteTextChar">
    <w:name w:val="Footnote Text Char"/>
    <w:basedOn w:val="DefaultParagraphFont"/>
    <w:link w:val="FootnoteText"/>
    <w:uiPriority w:val="99"/>
    <w:rsid w:val="0015445D"/>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15445D"/>
    <w:rPr>
      <w:rFonts w:cs="Times New Roman"/>
      <w:vertAlign w:val="superscript"/>
    </w:rPr>
  </w:style>
  <w:style w:type="paragraph" w:customStyle="1" w:styleId="MTDisplayEquation">
    <w:name w:val="MTDisplayEquation"/>
    <w:basedOn w:val="Normal"/>
    <w:next w:val="Normal"/>
    <w:link w:val="MTDisplayEquationChar"/>
    <w:rsid w:val="0015445D"/>
    <w:pPr>
      <w:tabs>
        <w:tab w:val="center" w:pos="4320"/>
        <w:tab w:val="right" w:pos="8640"/>
      </w:tabs>
      <w:spacing w:line="360" w:lineRule="auto"/>
      <w:jc w:val="center"/>
    </w:pPr>
  </w:style>
  <w:style w:type="character" w:customStyle="1" w:styleId="MTDisplayEquationChar">
    <w:name w:val="MTDisplayEquation Char"/>
    <w:basedOn w:val="DefaultParagraphFont"/>
    <w:link w:val="MTDisplayEquation"/>
    <w:rsid w:val="0015445D"/>
    <w:rPr>
      <w:rFonts w:ascii="Times New Roman" w:eastAsia="Times New Roman" w:hAnsi="Times New Roman" w:cs="Times New Roman"/>
      <w:sz w:val="24"/>
      <w:szCs w:val="24"/>
      <w:lang w:val="en-US"/>
    </w:rPr>
  </w:style>
  <w:style w:type="paragraph" w:styleId="Footer">
    <w:name w:val="footer"/>
    <w:basedOn w:val="Normal"/>
    <w:link w:val="FooterChar"/>
    <w:uiPriority w:val="99"/>
    <w:rsid w:val="0015445D"/>
    <w:pPr>
      <w:tabs>
        <w:tab w:val="center" w:pos="4320"/>
        <w:tab w:val="right" w:pos="8640"/>
      </w:tabs>
    </w:pPr>
  </w:style>
  <w:style w:type="character" w:customStyle="1" w:styleId="FooterChar">
    <w:name w:val="Footer Char"/>
    <w:basedOn w:val="DefaultParagraphFont"/>
    <w:link w:val="Footer"/>
    <w:uiPriority w:val="99"/>
    <w:rsid w:val="0015445D"/>
    <w:rPr>
      <w:rFonts w:ascii="Times New Roman" w:eastAsia="Times New Roman" w:hAnsi="Times New Roman" w:cs="Times New Roman"/>
      <w:sz w:val="24"/>
      <w:szCs w:val="24"/>
      <w:lang w:val="en-US"/>
    </w:rPr>
  </w:style>
  <w:style w:type="character" w:styleId="PageNumber">
    <w:name w:val="page number"/>
    <w:basedOn w:val="DefaultParagraphFont"/>
    <w:rsid w:val="0015445D"/>
    <w:rPr>
      <w:rFonts w:cs="Times New Roman"/>
    </w:rPr>
  </w:style>
  <w:style w:type="character" w:customStyle="1" w:styleId="MTEquationSection">
    <w:name w:val="MTEquationSection"/>
    <w:basedOn w:val="DefaultParagraphFont"/>
    <w:rsid w:val="0015445D"/>
    <w:rPr>
      <w:rFonts w:cs="Times New Roman"/>
      <w:b/>
      <w:vanish/>
      <w:color w:val="FF0000"/>
    </w:rPr>
  </w:style>
  <w:style w:type="paragraph" w:styleId="Header">
    <w:name w:val="header"/>
    <w:basedOn w:val="Normal"/>
    <w:link w:val="HeaderChar"/>
    <w:uiPriority w:val="99"/>
    <w:rsid w:val="0015445D"/>
    <w:pPr>
      <w:tabs>
        <w:tab w:val="center" w:pos="4680"/>
        <w:tab w:val="right" w:pos="9360"/>
      </w:tabs>
    </w:pPr>
  </w:style>
  <w:style w:type="character" w:customStyle="1" w:styleId="HeaderChar">
    <w:name w:val="Header Char"/>
    <w:basedOn w:val="DefaultParagraphFont"/>
    <w:link w:val="Header"/>
    <w:uiPriority w:val="99"/>
    <w:rsid w:val="0015445D"/>
    <w:rPr>
      <w:rFonts w:ascii="Times New Roman" w:eastAsia="Times New Roman" w:hAnsi="Times New Roman" w:cs="Times New Roman"/>
      <w:sz w:val="24"/>
      <w:szCs w:val="24"/>
      <w:lang w:val="en-US"/>
    </w:rPr>
  </w:style>
  <w:style w:type="paragraph" w:customStyle="1" w:styleId="AbstractMngSc">
    <w:name w:val="Abstract Mng Sc"/>
    <w:basedOn w:val="Normal"/>
    <w:link w:val="AbstractMngScChar"/>
    <w:qFormat/>
    <w:rsid w:val="0015445D"/>
    <w:pPr>
      <w:spacing w:before="600" w:after="360" w:line="480" w:lineRule="auto"/>
      <w:ind w:left="360" w:right="360"/>
      <w:jc w:val="both"/>
    </w:pPr>
    <w:rPr>
      <w:sz w:val="20"/>
      <w:szCs w:val="20"/>
    </w:rPr>
  </w:style>
  <w:style w:type="character" w:customStyle="1" w:styleId="AbstractMngScChar">
    <w:name w:val="Abstract Mng Sc Char"/>
    <w:basedOn w:val="DefaultParagraphFont"/>
    <w:link w:val="AbstractMngSc"/>
    <w:locked/>
    <w:rsid w:val="0015445D"/>
    <w:rPr>
      <w:rFonts w:ascii="Times New Roman" w:eastAsia="Times New Roman" w:hAnsi="Times New Roman" w:cs="Times New Roman"/>
      <w:sz w:val="20"/>
      <w:szCs w:val="20"/>
      <w:lang w:val="en-US"/>
    </w:rPr>
  </w:style>
  <w:style w:type="paragraph" w:customStyle="1" w:styleId="Keywords">
    <w:name w:val="Keywords"/>
    <w:link w:val="KeywordsChar"/>
    <w:qFormat/>
    <w:rsid w:val="0015445D"/>
    <w:pPr>
      <w:tabs>
        <w:tab w:val="left" w:pos="4320"/>
      </w:tabs>
      <w:spacing w:after="0" w:line="480" w:lineRule="auto"/>
      <w:ind w:left="360" w:right="360"/>
      <w:jc w:val="both"/>
    </w:pPr>
    <w:rPr>
      <w:rFonts w:ascii="Times New Roman" w:eastAsia="Times New Roman" w:hAnsi="Times New Roman" w:cs="Times New Roman"/>
      <w:sz w:val="20"/>
      <w:szCs w:val="20"/>
      <w:lang w:val="en-US"/>
    </w:rPr>
  </w:style>
  <w:style w:type="character" w:customStyle="1" w:styleId="KeywordsChar">
    <w:name w:val="Keywords Char"/>
    <w:basedOn w:val="DefaultParagraphFont"/>
    <w:link w:val="Keywords"/>
    <w:locked/>
    <w:rsid w:val="0015445D"/>
    <w:rPr>
      <w:rFonts w:ascii="Times New Roman" w:eastAsia="Times New Roman" w:hAnsi="Times New Roman" w:cs="Times New Roman"/>
      <w:sz w:val="20"/>
      <w:szCs w:val="20"/>
      <w:lang w:val="en-US"/>
    </w:rPr>
  </w:style>
  <w:style w:type="character" w:customStyle="1" w:styleId="CharChar">
    <w:name w:val="Char Char"/>
    <w:basedOn w:val="DefaultParagraphFont"/>
    <w:uiPriority w:val="99"/>
    <w:rsid w:val="0015445D"/>
    <w:rPr>
      <w:rFonts w:cs="Times New Roman"/>
      <w:sz w:val="24"/>
      <w:szCs w:val="24"/>
      <w:lang w:val="en-US" w:eastAsia="en-US" w:bidi="ar-SA"/>
    </w:rPr>
  </w:style>
  <w:style w:type="character" w:customStyle="1" w:styleId="BodyTextIndentChar">
    <w:name w:val="Body Text Indent Char"/>
    <w:basedOn w:val="DefaultParagraphFont"/>
    <w:link w:val="BodyTextIndent"/>
    <w:semiHidden/>
    <w:rsid w:val="0015445D"/>
    <w:rPr>
      <w:rFonts w:ascii="Times New Roman" w:eastAsia="Times New Roman" w:hAnsi="Times New Roman" w:cs="Times New Roman"/>
      <w:lang w:val="en-US"/>
    </w:rPr>
  </w:style>
  <w:style w:type="paragraph" w:styleId="BodyTextIndent">
    <w:name w:val="Body Text Indent"/>
    <w:basedOn w:val="Normal"/>
    <w:link w:val="BodyTextIndentChar"/>
    <w:semiHidden/>
    <w:rsid w:val="0015445D"/>
    <w:pPr>
      <w:spacing w:line="480" w:lineRule="auto"/>
      <w:ind w:firstLine="720"/>
      <w:jc w:val="both"/>
    </w:pPr>
    <w:rPr>
      <w:sz w:val="22"/>
      <w:szCs w:val="22"/>
    </w:rPr>
  </w:style>
  <w:style w:type="character" w:customStyle="1" w:styleId="BodyTextIndentChar1">
    <w:name w:val="Body Text Indent Char1"/>
    <w:basedOn w:val="DefaultParagraphFont"/>
    <w:uiPriority w:val="99"/>
    <w:semiHidden/>
    <w:rsid w:val="0015445D"/>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15445D"/>
    <w:rPr>
      <w:rFonts w:ascii="Times New Roman" w:eastAsia="Times New Roman" w:hAnsi="Times New Roman" w:cs="Times New Roman"/>
      <w:lang w:val="en-US"/>
    </w:rPr>
  </w:style>
  <w:style w:type="paragraph" w:styleId="BodyText">
    <w:name w:val="Body Text"/>
    <w:basedOn w:val="Normal"/>
    <w:link w:val="BodyTextChar"/>
    <w:semiHidden/>
    <w:rsid w:val="0015445D"/>
    <w:pPr>
      <w:spacing w:line="480" w:lineRule="auto"/>
      <w:ind w:firstLine="187"/>
      <w:jc w:val="both"/>
    </w:pPr>
    <w:rPr>
      <w:sz w:val="22"/>
      <w:szCs w:val="22"/>
    </w:rPr>
  </w:style>
  <w:style w:type="character" w:customStyle="1" w:styleId="BodyTextChar1">
    <w:name w:val="Body Text Char1"/>
    <w:basedOn w:val="DefaultParagraphFont"/>
    <w:uiPriority w:val="99"/>
    <w:semiHidden/>
    <w:rsid w:val="0015445D"/>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semiHidden/>
    <w:rsid w:val="0015445D"/>
    <w:rPr>
      <w:rFonts w:ascii="Times New Roman" w:eastAsia="Times New Roman" w:hAnsi="Times New Roman" w:cs="Times New Roman"/>
      <w:lang w:val="en-US"/>
    </w:rPr>
  </w:style>
  <w:style w:type="paragraph" w:styleId="BodyTextIndent2">
    <w:name w:val="Body Text Indent 2"/>
    <w:basedOn w:val="Normal"/>
    <w:link w:val="BodyTextIndent2Char"/>
    <w:semiHidden/>
    <w:rsid w:val="0015445D"/>
    <w:pPr>
      <w:spacing w:line="480" w:lineRule="auto"/>
      <w:ind w:firstLine="360"/>
      <w:jc w:val="both"/>
    </w:pPr>
    <w:rPr>
      <w:sz w:val="22"/>
      <w:szCs w:val="22"/>
    </w:rPr>
  </w:style>
  <w:style w:type="character" w:customStyle="1" w:styleId="BodyTextIndent2Char1">
    <w:name w:val="Body Text Indent 2 Char1"/>
    <w:basedOn w:val="DefaultParagraphFont"/>
    <w:uiPriority w:val="99"/>
    <w:semiHidden/>
    <w:rsid w:val="0015445D"/>
    <w:rPr>
      <w:rFonts w:ascii="Times New Roman" w:eastAsia="Times New Roman" w:hAnsi="Times New Roman" w:cs="Times New Roman"/>
      <w:sz w:val="24"/>
      <w:szCs w:val="24"/>
      <w:lang w:val="en-US"/>
    </w:rPr>
  </w:style>
  <w:style w:type="paragraph" w:styleId="BlockText">
    <w:name w:val="Block Text"/>
    <w:basedOn w:val="Normal"/>
    <w:link w:val="BlockTextChar"/>
    <w:semiHidden/>
    <w:rsid w:val="0015445D"/>
    <w:pPr>
      <w:spacing w:line="360" w:lineRule="auto"/>
      <w:ind w:left="360" w:right="360" w:firstLine="187"/>
      <w:jc w:val="both"/>
    </w:pPr>
    <w:rPr>
      <w:sz w:val="18"/>
      <w:szCs w:val="22"/>
    </w:rPr>
  </w:style>
  <w:style w:type="character" w:customStyle="1" w:styleId="BlockTextChar">
    <w:name w:val="Block Text Char"/>
    <w:basedOn w:val="DefaultParagraphFont"/>
    <w:link w:val="BlockText"/>
    <w:semiHidden/>
    <w:rsid w:val="0015445D"/>
    <w:rPr>
      <w:rFonts w:ascii="Times New Roman" w:eastAsia="Times New Roman" w:hAnsi="Times New Roman" w:cs="Times New Roman"/>
      <w:sz w:val="18"/>
      <w:lang w:val="en-US"/>
    </w:rPr>
  </w:style>
  <w:style w:type="character" w:styleId="Hyperlink">
    <w:name w:val="Hyperlink"/>
    <w:basedOn w:val="DefaultParagraphFont"/>
    <w:rsid w:val="0015445D"/>
    <w:rPr>
      <w:color w:val="0000FF"/>
      <w:u w:val="single"/>
    </w:rPr>
  </w:style>
  <w:style w:type="paragraph" w:customStyle="1" w:styleId="Abstract">
    <w:name w:val="Abstract"/>
    <w:basedOn w:val="BlockText"/>
    <w:link w:val="AbstractChar"/>
    <w:rsid w:val="0015445D"/>
  </w:style>
  <w:style w:type="character" w:customStyle="1" w:styleId="AbstractChar">
    <w:name w:val="Abstract Char"/>
    <w:basedOn w:val="BlockTextChar"/>
    <w:link w:val="Abstract"/>
    <w:rsid w:val="0015445D"/>
    <w:rPr>
      <w:rFonts w:ascii="Times New Roman" w:eastAsia="Times New Roman" w:hAnsi="Times New Roman" w:cs="Times New Roman"/>
      <w:sz w:val="18"/>
      <w:lang w:val="en-US"/>
    </w:rPr>
  </w:style>
  <w:style w:type="paragraph" w:styleId="Title">
    <w:name w:val="Title"/>
    <w:link w:val="TitleChar"/>
    <w:qFormat/>
    <w:rsid w:val="0015445D"/>
    <w:pPr>
      <w:spacing w:before="360" w:after="240" w:line="240" w:lineRule="auto"/>
      <w:jc w:val="center"/>
      <w:outlineLvl w:val="0"/>
    </w:pPr>
    <w:rPr>
      <w:rFonts w:ascii="Times New Roman" w:eastAsia="Times New Roman" w:hAnsi="Times New Roman" w:cs="Arial"/>
      <w:b/>
      <w:bCs/>
      <w:kern w:val="28"/>
      <w:sz w:val="32"/>
      <w:szCs w:val="32"/>
      <w:lang w:val="en-US"/>
    </w:rPr>
  </w:style>
  <w:style w:type="character" w:customStyle="1" w:styleId="TitleChar">
    <w:name w:val="Title Char"/>
    <w:basedOn w:val="DefaultParagraphFont"/>
    <w:link w:val="Title"/>
    <w:rsid w:val="0015445D"/>
    <w:rPr>
      <w:rFonts w:ascii="Times New Roman" w:eastAsia="Times New Roman" w:hAnsi="Times New Roman" w:cs="Arial"/>
      <w:b/>
      <w:bCs/>
      <w:kern w:val="28"/>
      <w:sz w:val="32"/>
      <w:szCs w:val="32"/>
      <w:lang w:val="en-US"/>
    </w:rPr>
  </w:style>
  <w:style w:type="paragraph" w:customStyle="1" w:styleId="Descriptionitem1">
    <w:name w:val="Description item 1"/>
    <w:basedOn w:val="Normal"/>
    <w:rsid w:val="0015445D"/>
    <w:pPr>
      <w:spacing w:line="480" w:lineRule="auto"/>
      <w:ind w:left="360" w:firstLine="187"/>
      <w:jc w:val="both"/>
    </w:pPr>
    <w:rPr>
      <w:sz w:val="22"/>
      <w:szCs w:val="22"/>
    </w:rPr>
  </w:style>
  <w:style w:type="character" w:customStyle="1" w:styleId="BalloonTextChar">
    <w:name w:val="Balloon Text Char"/>
    <w:basedOn w:val="DefaultParagraphFont"/>
    <w:link w:val="BalloonText"/>
    <w:uiPriority w:val="99"/>
    <w:semiHidden/>
    <w:rsid w:val="0015445D"/>
    <w:rPr>
      <w:rFonts w:ascii="Tahoma" w:hAnsi="Tahoma" w:cs="Tahoma"/>
      <w:sz w:val="16"/>
      <w:szCs w:val="16"/>
    </w:rPr>
  </w:style>
  <w:style w:type="paragraph" w:styleId="BalloonText">
    <w:name w:val="Balloon Text"/>
    <w:basedOn w:val="Normal"/>
    <w:link w:val="BalloonTextChar"/>
    <w:uiPriority w:val="99"/>
    <w:semiHidden/>
    <w:unhideWhenUsed/>
    <w:rsid w:val="0015445D"/>
    <w:pPr>
      <w:spacing w:line="480" w:lineRule="auto"/>
      <w:ind w:firstLine="187"/>
      <w:jc w:val="both"/>
    </w:pPr>
    <w:rPr>
      <w:rFonts w:ascii="Tahoma" w:eastAsiaTheme="minorHAnsi" w:hAnsi="Tahoma" w:cs="Tahoma"/>
      <w:sz w:val="16"/>
      <w:szCs w:val="16"/>
      <w:lang w:val="en-SG"/>
    </w:rPr>
  </w:style>
  <w:style w:type="character" w:customStyle="1" w:styleId="BalloonTextChar1">
    <w:name w:val="Balloon Text Char1"/>
    <w:basedOn w:val="DefaultParagraphFont"/>
    <w:uiPriority w:val="99"/>
    <w:semiHidden/>
    <w:rsid w:val="0015445D"/>
    <w:rPr>
      <w:rFonts w:ascii="Tahoma" w:eastAsia="Times New Roman" w:hAnsi="Tahoma" w:cs="Tahoma"/>
      <w:sz w:val="16"/>
      <w:szCs w:val="16"/>
      <w:lang w:val="en-US"/>
    </w:rPr>
  </w:style>
  <w:style w:type="paragraph" w:styleId="ListParagraph">
    <w:name w:val="List Paragraph"/>
    <w:basedOn w:val="Normal"/>
    <w:uiPriority w:val="34"/>
    <w:qFormat/>
    <w:rsid w:val="0015445D"/>
    <w:pPr>
      <w:spacing w:line="480" w:lineRule="auto"/>
      <w:ind w:left="720" w:firstLine="187"/>
      <w:contextualSpacing/>
      <w:jc w:val="both"/>
    </w:pPr>
    <w:rPr>
      <w:rFonts w:ascii="Calibri" w:eastAsia="Calibri" w:hAnsi="Calibri"/>
      <w:sz w:val="22"/>
      <w:szCs w:val="22"/>
    </w:rPr>
  </w:style>
  <w:style w:type="paragraph" w:styleId="Subtitle">
    <w:name w:val="Subtitle"/>
    <w:basedOn w:val="Normal"/>
    <w:next w:val="Normal"/>
    <w:link w:val="SubtitleChar"/>
    <w:uiPriority w:val="11"/>
    <w:qFormat/>
    <w:rsid w:val="0015445D"/>
    <w:pPr>
      <w:numPr>
        <w:ilvl w:val="1"/>
      </w:numPr>
      <w:spacing w:line="480" w:lineRule="auto"/>
      <w:ind w:firstLine="187"/>
      <w:jc w:val="both"/>
    </w:pPr>
    <w:rPr>
      <w:iCs/>
      <w:spacing w:val="15"/>
      <w:sz w:val="16"/>
    </w:rPr>
  </w:style>
  <w:style w:type="character" w:customStyle="1" w:styleId="SubtitleChar">
    <w:name w:val="Subtitle Char"/>
    <w:basedOn w:val="DefaultParagraphFont"/>
    <w:link w:val="Subtitle"/>
    <w:uiPriority w:val="11"/>
    <w:rsid w:val="0015445D"/>
    <w:rPr>
      <w:rFonts w:ascii="Times New Roman" w:eastAsia="Times New Roman" w:hAnsi="Times New Roman" w:cs="Times New Roman"/>
      <w:iCs/>
      <w:spacing w:val="15"/>
      <w:sz w:val="16"/>
      <w:szCs w:val="24"/>
      <w:lang w:val="en-US"/>
    </w:rPr>
  </w:style>
  <w:style w:type="paragraph" w:customStyle="1" w:styleId="Authorship">
    <w:name w:val="Authorship"/>
    <w:link w:val="AuthorshipChar"/>
    <w:qFormat/>
    <w:rsid w:val="0015445D"/>
    <w:pPr>
      <w:spacing w:after="0" w:line="240" w:lineRule="auto"/>
      <w:jc w:val="center"/>
    </w:pPr>
    <w:rPr>
      <w:rFonts w:ascii="Times New Roman" w:eastAsia="Times New Roman" w:hAnsi="Times New Roman" w:cs="Times New Roman"/>
      <w:lang w:val="en-US"/>
    </w:rPr>
  </w:style>
  <w:style w:type="character" w:customStyle="1" w:styleId="AuthorshipChar">
    <w:name w:val="Authorship Char"/>
    <w:basedOn w:val="DefaultParagraphFont"/>
    <w:link w:val="Authorship"/>
    <w:rsid w:val="0015445D"/>
    <w:rPr>
      <w:rFonts w:ascii="Times New Roman" w:eastAsia="Times New Roman" w:hAnsi="Times New Roman" w:cs="Times New Roman"/>
      <w:lang w:val="en-US"/>
    </w:rPr>
  </w:style>
  <w:style w:type="paragraph" w:customStyle="1" w:styleId="HeaderFooter">
    <w:name w:val="Header / Footer"/>
    <w:link w:val="HeaderFooterChar"/>
    <w:qFormat/>
    <w:rsid w:val="0015445D"/>
    <w:pPr>
      <w:spacing w:after="0" w:line="240" w:lineRule="auto"/>
    </w:pPr>
    <w:rPr>
      <w:rFonts w:ascii="Times New Roman" w:eastAsia="Times New Roman" w:hAnsi="Times New Roman" w:cs="Times New Roman"/>
      <w:b/>
      <w:sz w:val="16"/>
      <w:szCs w:val="16"/>
      <w:lang w:val="en-US"/>
    </w:rPr>
  </w:style>
  <w:style w:type="character" w:customStyle="1" w:styleId="HeaderFooterChar">
    <w:name w:val="Header / Footer Char"/>
    <w:basedOn w:val="HeaderChar"/>
    <w:link w:val="HeaderFooter"/>
    <w:rsid w:val="0015445D"/>
    <w:rPr>
      <w:rFonts w:ascii="Times New Roman" w:eastAsia="Times New Roman" w:hAnsi="Times New Roman" w:cs="Times New Roman"/>
      <w:b/>
      <w:sz w:val="16"/>
      <w:szCs w:val="16"/>
      <w:lang w:val="en-US"/>
    </w:rPr>
  </w:style>
  <w:style w:type="table" w:styleId="TableGrid">
    <w:name w:val="Table Grid"/>
    <w:basedOn w:val="TableNormal"/>
    <w:uiPriority w:val="59"/>
    <w:rsid w:val="0015445D"/>
    <w:pPr>
      <w:spacing w:after="0" w:line="240" w:lineRule="auto"/>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ndnoteTextChar">
    <w:name w:val="Endnote Text Char"/>
    <w:basedOn w:val="DefaultParagraphFont"/>
    <w:link w:val="EndnoteText"/>
    <w:uiPriority w:val="99"/>
    <w:semiHidden/>
    <w:rsid w:val="0015445D"/>
    <w:rPr>
      <w:sz w:val="20"/>
      <w:szCs w:val="20"/>
    </w:rPr>
  </w:style>
  <w:style w:type="paragraph" w:styleId="EndnoteText">
    <w:name w:val="endnote text"/>
    <w:basedOn w:val="Normal"/>
    <w:link w:val="EndnoteTextChar"/>
    <w:uiPriority w:val="99"/>
    <w:semiHidden/>
    <w:unhideWhenUsed/>
    <w:rsid w:val="0015445D"/>
    <w:pPr>
      <w:ind w:firstLine="187"/>
      <w:jc w:val="both"/>
    </w:pPr>
    <w:rPr>
      <w:rFonts w:asciiTheme="minorHAnsi" w:eastAsiaTheme="minorHAnsi" w:hAnsiTheme="minorHAnsi" w:cstheme="minorBidi"/>
      <w:sz w:val="20"/>
      <w:szCs w:val="20"/>
      <w:lang w:val="en-SG"/>
    </w:rPr>
  </w:style>
  <w:style w:type="character" w:customStyle="1" w:styleId="EndnoteTextChar1">
    <w:name w:val="Endnote Text Char1"/>
    <w:basedOn w:val="DefaultParagraphFont"/>
    <w:uiPriority w:val="99"/>
    <w:semiHidden/>
    <w:rsid w:val="0015445D"/>
    <w:rPr>
      <w:rFonts w:ascii="Times New Roman" w:eastAsia="Times New Roman" w:hAnsi="Times New Roman" w:cs="Times New Roman"/>
      <w:sz w:val="20"/>
      <w:szCs w:val="20"/>
      <w:lang w:val="en-US"/>
    </w:rPr>
  </w:style>
  <w:style w:type="character" w:customStyle="1" w:styleId="CharChar1">
    <w:name w:val="Char Char1"/>
    <w:basedOn w:val="DefaultParagraphFont"/>
    <w:rsid w:val="0015445D"/>
    <w:rPr>
      <w:noProof w:val="0"/>
      <w:lang w:val="en-US" w:eastAsia="en-US" w:bidi="ar-SA"/>
    </w:rPr>
  </w:style>
  <w:style w:type="character" w:styleId="Strong">
    <w:name w:val="Strong"/>
    <w:basedOn w:val="DefaultParagraphFont"/>
    <w:qFormat/>
    <w:rsid w:val="0015445D"/>
    <w:rPr>
      <w:b/>
      <w:bCs/>
    </w:rPr>
  </w:style>
  <w:style w:type="paragraph" w:styleId="NormalWeb">
    <w:name w:val="Normal (Web)"/>
    <w:basedOn w:val="Normal"/>
    <w:rsid w:val="0015445D"/>
    <w:pPr>
      <w:spacing w:before="100" w:beforeAutospacing="1" w:after="100" w:afterAutospacing="1"/>
    </w:pPr>
  </w:style>
  <w:style w:type="character" w:styleId="CommentReference">
    <w:name w:val="annotation reference"/>
    <w:basedOn w:val="DefaultParagraphFont"/>
    <w:rsid w:val="0015445D"/>
    <w:rPr>
      <w:sz w:val="16"/>
      <w:szCs w:val="16"/>
    </w:rPr>
  </w:style>
  <w:style w:type="character" w:styleId="PlaceholderText">
    <w:name w:val="Placeholder Text"/>
    <w:basedOn w:val="DefaultParagraphFont"/>
    <w:uiPriority w:val="99"/>
    <w:semiHidden/>
    <w:rsid w:val="0015445D"/>
    <w:rPr>
      <w:color w:val="808080"/>
    </w:rPr>
  </w:style>
  <w:style w:type="character" w:styleId="EndnoteReference">
    <w:name w:val="endnote reference"/>
    <w:basedOn w:val="DefaultParagraphFont"/>
    <w:uiPriority w:val="99"/>
    <w:semiHidden/>
    <w:unhideWhenUsed/>
    <w:rsid w:val="0015445D"/>
    <w:rPr>
      <w:vertAlign w:val="superscript"/>
    </w:rPr>
  </w:style>
  <w:style w:type="paragraph" w:styleId="Revision">
    <w:name w:val="Revision"/>
    <w:hidden/>
    <w:uiPriority w:val="99"/>
    <w:semiHidden/>
    <w:rsid w:val="0015445D"/>
    <w:pPr>
      <w:spacing w:after="0"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sid w:val="0015445D"/>
    <w:rPr>
      <w:sz w:val="20"/>
      <w:szCs w:val="20"/>
    </w:rPr>
  </w:style>
  <w:style w:type="character" w:customStyle="1" w:styleId="CommentTextChar">
    <w:name w:val="Comment Text Char"/>
    <w:basedOn w:val="DefaultParagraphFont"/>
    <w:link w:val="CommentText"/>
    <w:uiPriority w:val="99"/>
    <w:rsid w:val="0015445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5445D"/>
    <w:rPr>
      <w:b/>
      <w:bCs/>
    </w:rPr>
  </w:style>
  <w:style w:type="character" w:customStyle="1" w:styleId="CommentSubjectChar">
    <w:name w:val="Comment Subject Char"/>
    <w:basedOn w:val="CommentTextChar"/>
    <w:link w:val="CommentSubject"/>
    <w:uiPriority w:val="99"/>
    <w:semiHidden/>
    <w:rsid w:val="0015445D"/>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45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15445D"/>
    <w:pPr>
      <w:keepNext/>
      <w:keepLines/>
      <w:spacing w:before="120" w:line="480" w:lineRule="auto"/>
      <w:outlineLvl w:val="0"/>
    </w:pPr>
    <w:rPr>
      <w:b/>
      <w:bCs/>
      <w:szCs w:val="28"/>
    </w:rPr>
  </w:style>
  <w:style w:type="paragraph" w:styleId="Heading2">
    <w:name w:val="heading 2"/>
    <w:basedOn w:val="Normal"/>
    <w:next w:val="Normal"/>
    <w:link w:val="Heading2Char"/>
    <w:uiPriority w:val="9"/>
    <w:qFormat/>
    <w:rsid w:val="0015445D"/>
    <w:pPr>
      <w:keepNext/>
      <w:keepLines/>
      <w:spacing w:line="480" w:lineRule="auto"/>
      <w:jc w:val="both"/>
      <w:outlineLvl w:val="1"/>
    </w:pPr>
    <w:rPr>
      <w:b/>
      <w:bCs/>
      <w:color w:val="000000"/>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45D"/>
    <w:rPr>
      <w:rFonts w:ascii="Times New Roman" w:eastAsia="Times New Roman" w:hAnsi="Times New Roman" w:cs="Times New Roman"/>
      <w:b/>
      <w:bCs/>
      <w:sz w:val="24"/>
      <w:szCs w:val="28"/>
      <w:lang w:val="en-US"/>
    </w:rPr>
  </w:style>
  <w:style w:type="character" w:customStyle="1" w:styleId="Heading2Char">
    <w:name w:val="Heading 2 Char"/>
    <w:basedOn w:val="DefaultParagraphFont"/>
    <w:link w:val="Heading2"/>
    <w:uiPriority w:val="9"/>
    <w:rsid w:val="0015445D"/>
    <w:rPr>
      <w:rFonts w:ascii="Times New Roman" w:eastAsia="Times New Roman" w:hAnsi="Times New Roman" w:cs="Times New Roman"/>
      <w:b/>
      <w:bCs/>
      <w:color w:val="000000"/>
      <w:szCs w:val="26"/>
      <w:lang w:val="en-US"/>
    </w:rPr>
  </w:style>
  <w:style w:type="paragraph" w:styleId="FootnoteText">
    <w:name w:val="footnote text"/>
    <w:basedOn w:val="Normal"/>
    <w:link w:val="FootnoteTextChar"/>
    <w:uiPriority w:val="99"/>
    <w:rsid w:val="0015445D"/>
    <w:rPr>
      <w:sz w:val="20"/>
      <w:szCs w:val="20"/>
    </w:rPr>
  </w:style>
  <w:style w:type="character" w:customStyle="1" w:styleId="FootnoteTextChar">
    <w:name w:val="Footnote Text Char"/>
    <w:basedOn w:val="DefaultParagraphFont"/>
    <w:link w:val="FootnoteText"/>
    <w:uiPriority w:val="99"/>
    <w:rsid w:val="0015445D"/>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15445D"/>
    <w:rPr>
      <w:rFonts w:cs="Times New Roman"/>
      <w:vertAlign w:val="superscript"/>
    </w:rPr>
  </w:style>
  <w:style w:type="paragraph" w:customStyle="1" w:styleId="MTDisplayEquation">
    <w:name w:val="MTDisplayEquation"/>
    <w:basedOn w:val="Normal"/>
    <w:next w:val="Normal"/>
    <w:link w:val="MTDisplayEquationChar"/>
    <w:rsid w:val="0015445D"/>
    <w:pPr>
      <w:tabs>
        <w:tab w:val="center" w:pos="4320"/>
        <w:tab w:val="right" w:pos="8640"/>
      </w:tabs>
      <w:spacing w:line="360" w:lineRule="auto"/>
      <w:jc w:val="center"/>
    </w:pPr>
  </w:style>
  <w:style w:type="character" w:customStyle="1" w:styleId="MTDisplayEquationChar">
    <w:name w:val="MTDisplayEquation Char"/>
    <w:basedOn w:val="DefaultParagraphFont"/>
    <w:link w:val="MTDisplayEquation"/>
    <w:rsid w:val="0015445D"/>
    <w:rPr>
      <w:rFonts w:ascii="Times New Roman" w:eastAsia="Times New Roman" w:hAnsi="Times New Roman" w:cs="Times New Roman"/>
      <w:sz w:val="24"/>
      <w:szCs w:val="24"/>
      <w:lang w:val="en-US"/>
    </w:rPr>
  </w:style>
  <w:style w:type="paragraph" w:styleId="Footer">
    <w:name w:val="footer"/>
    <w:basedOn w:val="Normal"/>
    <w:link w:val="FooterChar"/>
    <w:uiPriority w:val="99"/>
    <w:rsid w:val="0015445D"/>
    <w:pPr>
      <w:tabs>
        <w:tab w:val="center" w:pos="4320"/>
        <w:tab w:val="right" w:pos="8640"/>
      </w:tabs>
    </w:pPr>
  </w:style>
  <w:style w:type="character" w:customStyle="1" w:styleId="FooterChar">
    <w:name w:val="Footer Char"/>
    <w:basedOn w:val="DefaultParagraphFont"/>
    <w:link w:val="Footer"/>
    <w:uiPriority w:val="99"/>
    <w:rsid w:val="0015445D"/>
    <w:rPr>
      <w:rFonts w:ascii="Times New Roman" w:eastAsia="Times New Roman" w:hAnsi="Times New Roman" w:cs="Times New Roman"/>
      <w:sz w:val="24"/>
      <w:szCs w:val="24"/>
      <w:lang w:val="en-US"/>
    </w:rPr>
  </w:style>
  <w:style w:type="character" w:styleId="PageNumber">
    <w:name w:val="page number"/>
    <w:basedOn w:val="DefaultParagraphFont"/>
    <w:rsid w:val="0015445D"/>
    <w:rPr>
      <w:rFonts w:cs="Times New Roman"/>
    </w:rPr>
  </w:style>
  <w:style w:type="character" w:customStyle="1" w:styleId="MTEquationSection">
    <w:name w:val="MTEquationSection"/>
    <w:basedOn w:val="DefaultParagraphFont"/>
    <w:rsid w:val="0015445D"/>
    <w:rPr>
      <w:rFonts w:cs="Times New Roman"/>
      <w:b/>
      <w:vanish/>
      <w:color w:val="FF0000"/>
    </w:rPr>
  </w:style>
  <w:style w:type="paragraph" w:styleId="Header">
    <w:name w:val="header"/>
    <w:basedOn w:val="Normal"/>
    <w:link w:val="HeaderChar"/>
    <w:uiPriority w:val="99"/>
    <w:rsid w:val="0015445D"/>
    <w:pPr>
      <w:tabs>
        <w:tab w:val="center" w:pos="4680"/>
        <w:tab w:val="right" w:pos="9360"/>
      </w:tabs>
    </w:pPr>
  </w:style>
  <w:style w:type="character" w:customStyle="1" w:styleId="HeaderChar">
    <w:name w:val="Header Char"/>
    <w:basedOn w:val="DefaultParagraphFont"/>
    <w:link w:val="Header"/>
    <w:uiPriority w:val="99"/>
    <w:rsid w:val="0015445D"/>
    <w:rPr>
      <w:rFonts w:ascii="Times New Roman" w:eastAsia="Times New Roman" w:hAnsi="Times New Roman" w:cs="Times New Roman"/>
      <w:sz w:val="24"/>
      <w:szCs w:val="24"/>
      <w:lang w:val="en-US"/>
    </w:rPr>
  </w:style>
  <w:style w:type="paragraph" w:customStyle="1" w:styleId="AbstractMngSc">
    <w:name w:val="Abstract Mng Sc"/>
    <w:basedOn w:val="Normal"/>
    <w:link w:val="AbstractMngScChar"/>
    <w:qFormat/>
    <w:rsid w:val="0015445D"/>
    <w:pPr>
      <w:spacing w:before="600" w:after="360" w:line="480" w:lineRule="auto"/>
      <w:ind w:left="360" w:right="360"/>
      <w:jc w:val="both"/>
    </w:pPr>
    <w:rPr>
      <w:sz w:val="20"/>
      <w:szCs w:val="20"/>
    </w:rPr>
  </w:style>
  <w:style w:type="character" w:customStyle="1" w:styleId="AbstractMngScChar">
    <w:name w:val="Abstract Mng Sc Char"/>
    <w:basedOn w:val="DefaultParagraphFont"/>
    <w:link w:val="AbstractMngSc"/>
    <w:locked/>
    <w:rsid w:val="0015445D"/>
    <w:rPr>
      <w:rFonts w:ascii="Times New Roman" w:eastAsia="Times New Roman" w:hAnsi="Times New Roman" w:cs="Times New Roman"/>
      <w:sz w:val="20"/>
      <w:szCs w:val="20"/>
      <w:lang w:val="en-US"/>
    </w:rPr>
  </w:style>
  <w:style w:type="paragraph" w:customStyle="1" w:styleId="Keywords">
    <w:name w:val="Keywords"/>
    <w:link w:val="KeywordsChar"/>
    <w:qFormat/>
    <w:rsid w:val="0015445D"/>
    <w:pPr>
      <w:tabs>
        <w:tab w:val="left" w:pos="4320"/>
      </w:tabs>
      <w:spacing w:after="0" w:line="480" w:lineRule="auto"/>
      <w:ind w:left="360" w:right="360"/>
      <w:jc w:val="both"/>
    </w:pPr>
    <w:rPr>
      <w:rFonts w:ascii="Times New Roman" w:eastAsia="Times New Roman" w:hAnsi="Times New Roman" w:cs="Times New Roman"/>
      <w:sz w:val="20"/>
      <w:szCs w:val="20"/>
      <w:lang w:val="en-US"/>
    </w:rPr>
  </w:style>
  <w:style w:type="character" w:customStyle="1" w:styleId="KeywordsChar">
    <w:name w:val="Keywords Char"/>
    <w:basedOn w:val="DefaultParagraphFont"/>
    <w:link w:val="Keywords"/>
    <w:locked/>
    <w:rsid w:val="0015445D"/>
    <w:rPr>
      <w:rFonts w:ascii="Times New Roman" w:eastAsia="Times New Roman" w:hAnsi="Times New Roman" w:cs="Times New Roman"/>
      <w:sz w:val="20"/>
      <w:szCs w:val="20"/>
      <w:lang w:val="en-US"/>
    </w:rPr>
  </w:style>
  <w:style w:type="character" w:customStyle="1" w:styleId="CharChar">
    <w:name w:val="Char Char"/>
    <w:basedOn w:val="DefaultParagraphFont"/>
    <w:uiPriority w:val="99"/>
    <w:rsid w:val="0015445D"/>
    <w:rPr>
      <w:rFonts w:cs="Times New Roman"/>
      <w:sz w:val="24"/>
      <w:szCs w:val="24"/>
      <w:lang w:val="en-US" w:eastAsia="en-US" w:bidi="ar-SA"/>
    </w:rPr>
  </w:style>
  <w:style w:type="character" w:customStyle="1" w:styleId="BodyTextIndentChar">
    <w:name w:val="Body Text Indent Char"/>
    <w:basedOn w:val="DefaultParagraphFont"/>
    <w:link w:val="BodyTextIndent"/>
    <w:semiHidden/>
    <w:rsid w:val="0015445D"/>
    <w:rPr>
      <w:rFonts w:ascii="Times New Roman" w:eastAsia="Times New Roman" w:hAnsi="Times New Roman" w:cs="Times New Roman"/>
      <w:lang w:val="en-US"/>
    </w:rPr>
  </w:style>
  <w:style w:type="paragraph" w:styleId="BodyTextIndent">
    <w:name w:val="Body Text Indent"/>
    <w:basedOn w:val="Normal"/>
    <w:link w:val="BodyTextIndentChar"/>
    <w:semiHidden/>
    <w:rsid w:val="0015445D"/>
    <w:pPr>
      <w:spacing w:line="480" w:lineRule="auto"/>
      <w:ind w:firstLine="720"/>
      <w:jc w:val="both"/>
    </w:pPr>
    <w:rPr>
      <w:sz w:val="22"/>
      <w:szCs w:val="22"/>
    </w:rPr>
  </w:style>
  <w:style w:type="character" w:customStyle="1" w:styleId="BodyTextIndentChar1">
    <w:name w:val="Body Text Indent Char1"/>
    <w:basedOn w:val="DefaultParagraphFont"/>
    <w:uiPriority w:val="99"/>
    <w:semiHidden/>
    <w:rsid w:val="0015445D"/>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15445D"/>
    <w:rPr>
      <w:rFonts w:ascii="Times New Roman" w:eastAsia="Times New Roman" w:hAnsi="Times New Roman" w:cs="Times New Roman"/>
      <w:lang w:val="en-US"/>
    </w:rPr>
  </w:style>
  <w:style w:type="paragraph" w:styleId="BodyText">
    <w:name w:val="Body Text"/>
    <w:basedOn w:val="Normal"/>
    <w:link w:val="BodyTextChar"/>
    <w:semiHidden/>
    <w:rsid w:val="0015445D"/>
    <w:pPr>
      <w:spacing w:line="480" w:lineRule="auto"/>
      <w:ind w:firstLine="187"/>
      <w:jc w:val="both"/>
    </w:pPr>
    <w:rPr>
      <w:sz w:val="22"/>
      <w:szCs w:val="22"/>
    </w:rPr>
  </w:style>
  <w:style w:type="character" w:customStyle="1" w:styleId="BodyTextChar1">
    <w:name w:val="Body Text Char1"/>
    <w:basedOn w:val="DefaultParagraphFont"/>
    <w:uiPriority w:val="99"/>
    <w:semiHidden/>
    <w:rsid w:val="0015445D"/>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semiHidden/>
    <w:rsid w:val="0015445D"/>
    <w:rPr>
      <w:rFonts w:ascii="Times New Roman" w:eastAsia="Times New Roman" w:hAnsi="Times New Roman" w:cs="Times New Roman"/>
      <w:lang w:val="en-US"/>
    </w:rPr>
  </w:style>
  <w:style w:type="paragraph" w:styleId="BodyTextIndent2">
    <w:name w:val="Body Text Indent 2"/>
    <w:basedOn w:val="Normal"/>
    <w:link w:val="BodyTextIndent2Char"/>
    <w:semiHidden/>
    <w:rsid w:val="0015445D"/>
    <w:pPr>
      <w:spacing w:line="480" w:lineRule="auto"/>
      <w:ind w:firstLine="360"/>
      <w:jc w:val="both"/>
    </w:pPr>
    <w:rPr>
      <w:sz w:val="22"/>
      <w:szCs w:val="22"/>
    </w:rPr>
  </w:style>
  <w:style w:type="character" w:customStyle="1" w:styleId="BodyTextIndent2Char1">
    <w:name w:val="Body Text Indent 2 Char1"/>
    <w:basedOn w:val="DefaultParagraphFont"/>
    <w:uiPriority w:val="99"/>
    <w:semiHidden/>
    <w:rsid w:val="0015445D"/>
    <w:rPr>
      <w:rFonts w:ascii="Times New Roman" w:eastAsia="Times New Roman" w:hAnsi="Times New Roman" w:cs="Times New Roman"/>
      <w:sz w:val="24"/>
      <w:szCs w:val="24"/>
      <w:lang w:val="en-US"/>
    </w:rPr>
  </w:style>
  <w:style w:type="paragraph" w:styleId="BlockText">
    <w:name w:val="Block Text"/>
    <w:basedOn w:val="Normal"/>
    <w:link w:val="BlockTextChar"/>
    <w:semiHidden/>
    <w:rsid w:val="0015445D"/>
    <w:pPr>
      <w:spacing w:line="360" w:lineRule="auto"/>
      <w:ind w:left="360" w:right="360" w:firstLine="187"/>
      <w:jc w:val="both"/>
    </w:pPr>
    <w:rPr>
      <w:sz w:val="18"/>
      <w:szCs w:val="22"/>
    </w:rPr>
  </w:style>
  <w:style w:type="character" w:customStyle="1" w:styleId="BlockTextChar">
    <w:name w:val="Block Text Char"/>
    <w:basedOn w:val="DefaultParagraphFont"/>
    <w:link w:val="BlockText"/>
    <w:semiHidden/>
    <w:rsid w:val="0015445D"/>
    <w:rPr>
      <w:rFonts w:ascii="Times New Roman" w:eastAsia="Times New Roman" w:hAnsi="Times New Roman" w:cs="Times New Roman"/>
      <w:sz w:val="18"/>
      <w:lang w:val="en-US"/>
    </w:rPr>
  </w:style>
  <w:style w:type="character" w:styleId="Hyperlink">
    <w:name w:val="Hyperlink"/>
    <w:basedOn w:val="DefaultParagraphFont"/>
    <w:rsid w:val="0015445D"/>
    <w:rPr>
      <w:color w:val="0000FF"/>
      <w:u w:val="single"/>
    </w:rPr>
  </w:style>
  <w:style w:type="paragraph" w:customStyle="1" w:styleId="Abstract">
    <w:name w:val="Abstract"/>
    <w:basedOn w:val="BlockText"/>
    <w:link w:val="AbstractChar"/>
    <w:rsid w:val="0015445D"/>
  </w:style>
  <w:style w:type="character" w:customStyle="1" w:styleId="AbstractChar">
    <w:name w:val="Abstract Char"/>
    <w:basedOn w:val="BlockTextChar"/>
    <w:link w:val="Abstract"/>
    <w:rsid w:val="0015445D"/>
    <w:rPr>
      <w:rFonts w:ascii="Times New Roman" w:eastAsia="Times New Roman" w:hAnsi="Times New Roman" w:cs="Times New Roman"/>
      <w:sz w:val="18"/>
      <w:lang w:val="en-US"/>
    </w:rPr>
  </w:style>
  <w:style w:type="paragraph" w:styleId="Title">
    <w:name w:val="Title"/>
    <w:link w:val="TitleChar"/>
    <w:qFormat/>
    <w:rsid w:val="0015445D"/>
    <w:pPr>
      <w:spacing w:before="360" w:after="240" w:line="240" w:lineRule="auto"/>
      <w:jc w:val="center"/>
      <w:outlineLvl w:val="0"/>
    </w:pPr>
    <w:rPr>
      <w:rFonts w:ascii="Times New Roman" w:eastAsia="Times New Roman" w:hAnsi="Times New Roman" w:cs="Arial"/>
      <w:b/>
      <w:bCs/>
      <w:kern w:val="28"/>
      <w:sz w:val="32"/>
      <w:szCs w:val="32"/>
      <w:lang w:val="en-US"/>
    </w:rPr>
  </w:style>
  <w:style w:type="character" w:customStyle="1" w:styleId="TitleChar">
    <w:name w:val="Title Char"/>
    <w:basedOn w:val="DefaultParagraphFont"/>
    <w:link w:val="Title"/>
    <w:rsid w:val="0015445D"/>
    <w:rPr>
      <w:rFonts w:ascii="Times New Roman" w:eastAsia="Times New Roman" w:hAnsi="Times New Roman" w:cs="Arial"/>
      <w:b/>
      <w:bCs/>
      <w:kern w:val="28"/>
      <w:sz w:val="32"/>
      <w:szCs w:val="32"/>
      <w:lang w:val="en-US"/>
    </w:rPr>
  </w:style>
  <w:style w:type="paragraph" w:customStyle="1" w:styleId="Descriptionitem1">
    <w:name w:val="Description item 1"/>
    <w:basedOn w:val="Normal"/>
    <w:rsid w:val="0015445D"/>
    <w:pPr>
      <w:spacing w:line="480" w:lineRule="auto"/>
      <w:ind w:left="360" w:firstLine="187"/>
      <w:jc w:val="both"/>
    </w:pPr>
    <w:rPr>
      <w:sz w:val="22"/>
      <w:szCs w:val="22"/>
    </w:rPr>
  </w:style>
  <w:style w:type="character" w:customStyle="1" w:styleId="BalloonTextChar">
    <w:name w:val="Balloon Text Char"/>
    <w:basedOn w:val="DefaultParagraphFont"/>
    <w:link w:val="BalloonText"/>
    <w:uiPriority w:val="99"/>
    <w:semiHidden/>
    <w:rsid w:val="0015445D"/>
    <w:rPr>
      <w:rFonts w:ascii="Tahoma" w:hAnsi="Tahoma" w:cs="Tahoma"/>
      <w:sz w:val="16"/>
      <w:szCs w:val="16"/>
    </w:rPr>
  </w:style>
  <w:style w:type="paragraph" w:styleId="BalloonText">
    <w:name w:val="Balloon Text"/>
    <w:basedOn w:val="Normal"/>
    <w:link w:val="BalloonTextChar"/>
    <w:uiPriority w:val="99"/>
    <w:semiHidden/>
    <w:unhideWhenUsed/>
    <w:rsid w:val="0015445D"/>
    <w:pPr>
      <w:spacing w:line="480" w:lineRule="auto"/>
      <w:ind w:firstLine="187"/>
      <w:jc w:val="both"/>
    </w:pPr>
    <w:rPr>
      <w:rFonts w:ascii="Tahoma" w:eastAsiaTheme="minorHAnsi" w:hAnsi="Tahoma" w:cs="Tahoma"/>
      <w:sz w:val="16"/>
      <w:szCs w:val="16"/>
      <w:lang w:val="en-SG"/>
    </w:rPr>
  </w:style>
  <w:style w:type="character" w:customStyle="1" w:styleId="BalloonTextChar1">
    <w:name w:val="Balloon Text Char1"/>
    <w:basedOn w:val="DefaultParagraphFont"/>
    <w:uiPriority w:val="99"/>
    <w:semiHidden/>
    <w:rsid w:val="0015445D"/>
    <w:rPr>
      <w:rFonts w:ascii="Tahoma" w:eastAsia="Times New Roman" w:hAnsi="Tahoma" w:cs="Tahoma"/>
      <w:sz w:val="16"/>
      <w:szCs w:val="16"/>
      <w:lang w:val="en-US"/>
    </w:rPr>
  </w:style>
  <w:style w:type="paragraph" w:styleId="ListParagraph">
    <w:name w:val="List Paragraph"/>
    <w:basedOn w:val="Normal"/>
    <w:uiPriority w:val="34"/>
    <w:qFormat/>
    <w:rsid w:val="0015445D"/>
    <w:pPr>
      <w:spacing w:line="480" w:lineRule="auto"/>
      <w:ind w:left="720" w:firstLine="187"/>
      <w:contextualSpacing/>
      <w:jc w:val="both"/>
    </w:pPr>
    <w:rPr>
      <w:rFonts w:ascii="Calibri" w:eastAsia="Calibri" w:hAnsi="Calibri"/>
      <w:sz w:val="22"/>
      <w:szCs w:val="22"/>
    </w:rPr>
  </w:style>
  <w:style w:type="paragraph" w:styleId="Subtitle">
    <w:name w:val="Subtitle"/>
    <w:basedOn w:val="Normal"/>
    <w:next w:val="Normal"/>
    <w:link w:val="SubtitleChar"/>
    <w:uiPriority w:val="11"/>
    <w:qFormat/>
    <w:rsid w:val="0015445D"/>
    <w:pPr>
      <w:numPr>
        <w:ilvl w:val="1"/>
      </w:numPr>
      <w:spacing w:line="480" w:lineRule="auto"/>
      <w:ind w:firstLine="187"/>
      <w:jc w:val="both"/>
    </w:pPr>
    <w:rPr>
      <w:iCs/>
      <w:spacing w:val="15"/>
      <w:sz w:val="16"/>
    </w:rPr>
  </w:style>
  <w:style w:type="character" w:customStyle="1" w:styleId="SubtitleChar">
    <w:name w:val="Subtitle Char"/>
    <w:basedOn w:val="DefaultParagraphFont"/>
    <w:link w:val="Subtitle"/>
    <w:uiPriority w:val="11"/>
    <w:rsid w:val="0015445D"/>
    <w:rPr>
      <w:rFonts w:ascii="Times New Roman" w:eastAsia="Times New Roman" w:hAnsi="Times New Roman" w:cs="Times New Roman"/>
      <w:iCs/>
      <w:spacing w:val="15"/>
      <w:sz w:val="16"/>
      <w:szCs w:val="24"/>
      <w:lang w:val="en-US"/>
    </w:rPr>
  </w:style>
  <w:style w:type="paragraph" w:customStyle="1" w:styleId="Authorship">
    <w:name w:val="Authorship"/>
    <w:link w:val="AuthorshipChar"/>
    <w:qFormat/>
    <w:rsid w:val="0015445D"/>
    <w:pPr>
      <w:spacing w:after="0" w:line="240" w:lineRule="auto"/>
      <w:jc w:val="center"/>
    </w:pPr>
    <w:rPr>
      <w:rFonts w:ascii="Times New Roman" w:eastAsia="Times New Roman" w:hAnsi="Times New Roman" w:cs="Times New Roman"/>
      <w:lang w:val="en-US"/>
    </w:rPr>
  </w:style>
  <w:style w:type="character" w:customStyle="1" w:styleId="AuthorshipChar">
    <w:name w:val="Authorship Char"/>
    <w:basedOn w:val="DefaultParagraphFont"/>
    <w:link w:val="Authorship"/>
    <w:rsid w:val="0015445D"/>
    <w:rPr>
      <w:rFonts w:ascii="Times New Roman" w:eastAsia="Times New Roman" w:hAnsi="Times New Roman" w:cs="Times New Roman"/>
      <w:lang w:val="en-US"/>
    </w:rPr>
  </w:style>
  <w:style w:type="paragraph" w:customStyle="1" w:styleId="HeaderFooter">
    <w:name w:val="Header / Footer"/>
    <w:link w:val="HeaderFooterChar"/>
    <w:qFormat/>
    <w:rsid w:val="0015445D"/>
    <w:pPr>
      <w:spacing w:after="0" w:line="240" w:lineRule="auto"/>
    </w:pPr>
    <w:rPr>
      <w:rFonts w:ascii="Times New Roman" w:eastAsia="Times New Roman" w:hAnsi="Times New Roman" w:cs="Times New Roman"/>
      <w:b/>
      <w:sz w:val="16"/>
      <w:szCs w:val="16"/>
      <w:lang w:val="en-US"/>
    </w:rPr>
  </w:style>
  <w:style w:type="character" w:customStyle="1" w:styleId="HeaderFooterChar">
    <w:name w:val="Header / Footer Char"/>
    <w:basedOn w:val="HeaderChar"/>
    <w:link w:val="HeaderFooter"/>
    <w:rsid w:val="0015445D"/>
    <w:rPr>
      <w:rFonts w:ascii="Times New Roman" w:eastAsia="Times New Roman" w:hAnsi="Times New Roman" w:cs="Times New Roman"/>
      <w:b/>
      <w:sz w:val="16"/>
      <w:szCs w:val="16"/>
      <w:lang w:val="en-US"/>
    </w:rPr>
  </w:style>
  <w:style w:type="table" w:styleId="TableGrid">
    <w:name w:val="Table Grid"/>
    <w:basedOn w:val="TableNormal"/>
    <w:uiPriority w:val="59"/>
    <w:rsid w:val="0015445D"/>
    <w:pPr>
      <w:spacing w:after="0" w:line="240" w:lineRule="auto"/>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ndnoteTextChar">
    <w:name w:val="Endnote Text Char"/>
    <w:basedOn w:val="DefaultParagraphFont"/>
    <w:link w:val="EndnoteText"/>
    <w:uiPriority w:val="99"/>
    <w:semiHidden/>
    <w:rsid w:val="0015445D"/>
    <w:rPr>
      <w:sz w:val="20"/>
      <w:szCs w:val="20"/>
    </w:rPr>
  </w:style>
  <w:style w:type="paragraph" w:styleId="EndnoteText">
    <w:name w:val="endnote text"/>
    <w:basedOn w:val="Normal"/>
    <w:link w:val="EndnoteTextChar"/>
    <w:uiPriority w:val="99"/>
    <w:semiHidden/>
    <w:unhideWhenUsed/>
    <w:rsid w:val="0015445D"/>
    <w:pPr>
      <w:ind w:firstLine="187"/>
      <w:jc w:val="both"/>
    </w:pPr>
    <w:rPr>
      <w:rFonts w:asciiTheme="minorHAnsi" w:eastAsiaTheme="minorHAnsi" w:hAnsiTheme="minorHAnsi" w:cstheme="minorBidi"/>
      <w:sz w:val="20"/>
      <w:szCs w:val="20"/>
      <w:lang w:val="en-SG"/>
    </w:rPr>
  </w:style>
  <w:style w:type="character" w:customStyle="1" w:styleId="EndnoteTextChar1">
    <w:name w:val="Endnote Text Char1"/>
    <w:basedOn w:val="DefaultParagraphFont"/>
    <w:uiPriority w:val="99"/>
    <w:semiHidden/>
    <w:rsid w:val="0015445D"/>
    <w:rPr>
      <w:rFonts w:ascii="Times New Roman" w:eastAsia="Times New Roman" w:hAnsi="Times New Roman" w:cs="Times New Roman"/>
      <w:sz w:val="20"/>
      <w:szCs w:val="20"/>
      <w:lang w:val="en-US"/>
    </w:rPr>
  </w:style>
  <w:style w:type="character" w:customStyle="1" w:styleId="CharChar1">
    <w:name w:val="Char Char1"/>
    <w:basedOn w:val="DefaultParagraphFont"/>
    <w:rsid w:val="0015445D"/>
    <w:rPr>
      <w:noProof w:val="0"/>
      <w:lang w:val="en-US" w:eastAsia="en-US" w:bidi="ar-SA"/>
    </w:rPr>
  </w:style>
  <w:style w:type="character" w:styleId="Strong">
    <w:name w:val="Strong"/>
    <w:basedOn w:val="DefaultParagraphFont"/>
    <w:qFormat/>
    <w:rsid w:val="0015445D"/>
    <w:rPr>
      <w:b/>
      <w:bCs/>
    </w:rPr>
  </w:style>
  <w:style w:type="paragraph" w:styleId="NormalWeb">
    <w:name w:val="Normal (Web)"/>
    <w:basedOn w:val="Normal"/>
    <w:rsid w:val="0015445D"/>
    <w:pPr>
      <w:spacing w:before="100" w:beforeAutospacing="1" w:after="100" w:afterAutospacing="1"/>
    </w:pPr>
  </w:style>
  <w:style w:type="character" w:styleId="CommentReference">
    <w:name w:val="annotation reference"/>
    <w:basedOn w:val="DefaultParagraphFont"/>
    <w:rsid w:val="0015445D"/>
    <w:rPr>
      <w:sz w:val="16"/>
      <w:szCs w:val="16"/>
    </w:rPr>
  </w:style>
  <w:style w:type="character" w:styleId="PlaceholderText">
    <w:name w:val="Placeholder Text"/>
    <w:basedOn w:val="DefaultParagraphFont"/>
    <w:uiPriority w:val="99"/>
    <w:semiHidden/>
    <w:rsid w:val="0015445D"/>
    <w:rPr>
      <w:color w:val="808080"/>
    </w:rPr>
  </w:style>
  <w:style w:type="character" w:styleId="EndnoteReference">
    <w:name w:val="endnote reference"/>
    <w:basedOn w:val="DefaultParagraphFont"/>
    <w:uiPriority w:val="99"/>
    <w:semiHidden/>
    <w:unhideWhenUsed/>
    <w:rsid w:val="0015445D"/>
    <w:rPr>
      <w:vertAlign w:val="superscript"/>
    </w:rPr>
  </w:style>
  <w:style w:type="paragraph" w:styleId="Revision">
    <w:name w:val="Revision"/>
    <w:hidden/>
    <w:uiPriority w:val="99"/>
    <w:semiHidden/>
    <w:rsid w:val="0015445D"/>
    <w:pPr>
      <w:spacing w:after="0"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sid w:val="0015445D"/>
    <w:rPr>
      <w:sz w:val="20"/>
      <w:szCs w:val="20"/>
    </w:rPr>
  </w:style>
  <w:style w:type="character" w:customStyle="1" w:styleId="CommentTextChar">
    <w:name w:val="Comment Text Char"/>
    <w:basedOn w:val="DefaultParagraphFont"/>
    <w:link w:val="CommentText"/>
    <w:uiPriority w:val="99"/>
    <w:rsid w:val="0015445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5445D"/>
    <w:rPr>
      <w:b/>
      <w:bCs/>
    </w:rPr>
  </w:style>
  <w:style w:type="character" w:customStyle="1" w:styleId="CommentSubjectChar">
    <w:name w:val="Comment Subject Char"/>
    <w:basedOn w:val="CommentTextChar"/>
    <w:link w:val="CommentSubject"/>
    <w:uiPriority w:val="99"/>
    <w:semiHidden/>
    <w:rsid w:val="0015445D"/>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image" Target="media/image5.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yeung@nus.edu.s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oleObject" Target="embeddings/oleObject9.bin"/><Relationship Id="rId10" Type="http://schemas.openxmlformats.org/officeDocument/2006/relationships/hyperlink" Target="mailto:pachecodealmeida@hec.fr" TargetMode="External"/><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hyperlink" Target="mailto:hawk@fisher.osu.edu" TargetMode="External"/><Relationship Id="rId14" Type="http://schemas.openxmlformats.org/officeDocument/2006/relationships/image" Target="media/image4.emf"/><Relationship Id="rId22" Type="http://schemas.openxmlformats.org/officeDocument/2006/relationships/oleObject" Target="embeddings/oleObject8.bin"/></Relationships>
</file>

<file path=word/_rels/footnotes.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oleObject" Target="embeddings/oleObject2.bin"/><Relationship Id="rId1" Type="http://schemas.openxmlformats.org/officeDocument/2006/relationships/image" Target="media/image2.wmf"/><Relationship Id="rId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E9079-B1F5-413B-B70E-F3AB87E90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12105</Words>
  <Characters>69001</Characters>
  <Application>Microsoft Office Word</Application>
  <DocSecurity>4</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80945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bizdean</dc:creator>
  <cp:lastModifiedBy>T I Fang</cp:lastModifiedBy>
  <cp:revision>2</cp:revision>
  <cp:lastPrinted>2011-08-08T20:16:00Z</cp:lastPrinted>
  <dcterms:created xsi:type="dcterms:W3CDTF">2012-06-05T00:31:00Z</dcterms:created>
  <dcterms:modified xsi:type="dcterms:W3CDTF">2012-06-05T00:31:00Z</dcterms:modified>
</cp:coreProperties>
</file>