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44" w:rsidRPr="00F552F0" w:rsidRDefault="00EF22E6" w:rsidP="00EF22E6">
      <w:pPr>
        <w:rPr>
          <w:sz w:val="22"/>
          <w:szCs w:val="22"/>
        </w:rPr>
      </w:pPr>
      <w:bookmarkStart w:id="0" w:name="_GoBack"/>
      <w:bookmarkEnd w:id="0"/>
      <w:r w:rsidRPr="00F552F0">
        <w:rPr>
          <w:sz w:val="22"/>
          <w:szCs w:val="22"/>
        </w:rPr>
        <w:t xml:space="preserve">This draft:  </w:t>
      </w:r>
      <w:r w:rsidR="00E21501" w:rsidRPr="00F552F0">
        <w:rPr>
          <w:sz w:val="22"/>
          <w:szCs w:val="22"/>
        </w:rPr>
        <w:t xml:space="preserve">Nov. </w:t>
      </w:r>
      <w:proofErr w:type="gramStart"/>
      <w:r w:rsidR="00E21501" w:rsidRPr="00F552F0">
        <w:rPr>
          <w:sz w:val="22"/>
          <w:szCs w:val="22"/>
        </w:rPr>
        <w:t>4</w:t>
      </w:r>
      <w:r w:rsidR="00E21501" w:rsidRPr="00F552F0">
        <w:rPr>
          <w:sz w:val="22"/>
          <w:szCs w:val="22"/>
          <w:vertAlign w:val="superscript"/>
        </w:rPr>
        <w:t>th</w:t>
      </w:r>
      <w:r w:rsidR="00E21501" w:rsidRPr="00F552F0">
        <w:rPr>
          <w:sz w:val="22"/>
          <w:szCs w:val="22"/>
        </w:rPr>
        <w:t xml:space="preserve"> </w:t>
      </w:r>
      <w:r w:rsidR="00883124" w:rsidRPr="00F552F0">
        <w:rPr>
          <w:sz w:val="22"/>
          <w:szCs w:val="22"/>
        </w:rPr>
        <w:t xml:space="preserve"> </w:t>
      </w:r>
      <w:r w:rsidRPr="00F552F0">
        <w:rPr>
          <w:sz w:val="22"/>
          <w:szCs w:val="22"/>
        </w:rPr>
        <w:t>2010</w:t>
      </w:r>
      <w:proofErr w:type="gramEnd"/>
    </w:p>
    <w:p w:rsidR="00EF22E6" w:rsidRPr="00F552F0" w:rsidRDefault="008817E8" w:rsidP="00EF22E6">
      <w:pPr>
        <w:rPr>
          <w:sz w:val="22"/>
          <w:szCs w:val="22"/>
        </w:rPr>
      </w:pPr>
      <w:r w:rsidRPr="00F552F0">
        <w:rPr>
          <w:sz w:val="22"/>
          <w:szCs w:val="22"/>
        </w:rPr>
        <w:t>Forthcoming: Journal of Financial Economics 2010</w:t>
      </w:r>
    </w:p>
    <w:p w:rsidR="00EF22E6" w:rsidRPr="00F552F0" w:rsidRDefault="00EF22E6" w:rsidP="00EF22E6">
      <w:pPr>
        <w:rPr>
          <w:sz w:val="22"/>
          <w:szCs w:val="22"/>
        </w:rPr>
      </w:pPr>
    </w:p>
    <w:p w:rsidR="004C3644" w:rsidRPr="00F552F0" w:rsidRDefault="004C3644">
      <w:pPr>
        <w:jc w:val="center"/>
        <w:rPr>
          <w:b/>
          <w:sz w:val="36"/>
          <w:szCs w:val="36"/>
        </w:rPr>
      </w:pPr>
    </w:p>
    <w:p w:rsidR="004B2466" w:rsidRPr="00F552F0" w:rsidRDefault="004B2466">
      <w:pPr>
        <w:jc w:val="center"/>
        <w:rPr>
          <w:b/>
          <w:sz w:val="36"/>
          <w:szCs w:val="36"/>
        </w:rPr>
      </w:pPr>
    </w:p>
    <w:p w:rsidR="004B2466" w:rsidRPr="00F552F0" w:rsidRDefault="004B2466">
      <w:pPr>
        <w:jc w:val="center"/>
        <w:rPr>
          <w:b/>
          <w:sz w:val="36"/>
          <w:szCs w:val="36"/>
        </w:rPr>
      </w:pPr>
    </w:p>
    <w:p w:rsidR="004B2466" w:rsidRPr="00F552F0" w:rsidRDefault="004B2466">
      <w:pPr>
        <w:jc w:val="center"/>
        <w:rPr>
          <w:b/>
          <w:sz w:val="36"/>
          <w:szCs w:val="36"/>
        </w:rPr>
      </w:pPr>
    </w:p>
    <w:p w:rsidR="004C3644" w:rsidRPr="00F552F0" w:rsidRDefault="004C3644">
      <w:pPr>
        <w:jc w:val="center"/>
        <w:rPr>
          <w:b/>
          <w:sz w:val="36"/>
          <w:szCs w:val="32"/>
        </w:rPr>
      </w:pPr>
    </w:p>
    <w:p w:rsidR="004C3644" w:rsidRPr="00F552F0" w:rsidRDefault="004C3644">
      <w:pPr>
        <w:jc w:val="center"/>
        <w:rPr>
          <w:b/>
          <w:sz w:val="32"/>
          <w:szCs w:val="32"/>
        </w:rPr>
      </w:pPr>
      <w:r w:rsidRPr="00F552F0">
        <w:rPr>
          <w:b/>
          <w:sz w:val="32"/>
          <w:szCs w:val="32"/>
        </w:rPr>
        <w:t>Bank</w:t>
      </w:r>
      <w:r w:rsidR="00C26254" w:rsidRPr="00F552F0">
        <w:rPr>
          <w:b/>
          <w:sz w:val="32"/>
          <w:szCs w:val="32"/>
        </w:rPr>
        <w:t>ing System</w:t>
      </w:r>
      <w:r w:rsidRPr="00F552F0">
        <w:rPr>
          <w:b/>
          <w:sz w:val="32"/>
          <w:szCs w:val="32"/>
        </w:rPr>
        <w:t xml:space="preserve"> Control, Capital Allocation, and Econom</w:t>
      </w:r>
      <w:r w:rsidR="00C26254" w:rsidRPr="00F552F0">
        <w:rPr>
          <w:b/>
          <w:sz w:val="32"/>
          <w:szCs w:val="32"/>
        </w:rPr>
        <w:t>y</w:t>
      </w:r>
      <w:r w:rsidRPr="00F552F0">
        <w:rPr>
          <w:b/>
          <w:sz w:val="32"/>
          <w:szCs w:val="32"/>
        </w:rPr>
        <w:t xml:space="preserve"> Performance</w:t>
      </w:r>
    </w:p>
    <w:p w:rsidR="004C3644" w:rsidRPr="00F552F0" w:rsidRDefault="004C3644">
      <w:pPr>
        <w:jc w:val="center"/>
        <w:rPr>
          <w:b/>
          <w:sz w:val="32"/>
          <w:szCs w:val="32"/>
        </w:rPr>
      </w:pPr>
    </w:p>
    <w:p w:rsidR="004C3644" w:rsidRPr="00F552F0" w:rsidRDefault="004C3644">
      <w:pPr>
        <w:jc w:val="center"/>
        <w:rPr>
          <w:b/>
        </w:rPr>
      </w:pPr>
    </w:p>
    <w:p w:rsidR="004C3644" w:rsidRPr="00F552F0" w:rsidRDefault="004C3644">
      <w:pPr>
        <w:jc w:val="center"/>
        <w:rPr>
          <w:b/>
        </w:rPr>
      </w:pPr>
      <w:r w:rsidRPr="00F552F0">
        <w:rPr>
          <w:b/>
        </w:rPr>
        <w:t>Randall Morck,</w:t>
      </w:r>
      <w:r w:rsidRPr="00F552F0">
        <w:rPr>
          <w:b/>
          <w:sz w:val="4"/>
          <w:szCs w:val="4"/>
          <w:vertAlign w:val="superscript"/>
        </w:rPr>
        <w:t xml:space="preserve"> </w:t>
      </w:r>
      <w:r w:rsidRPr="00F552F0">
        <w:rPr>
          <w:b/>
          <w:vertAlign w:val="superscript"/>
        </w:rPr>
        <w:t>a</w:t>
      </w:r>
      <w:r w:rsidRPr="00F552F0">
        <w:rPr>
          <w:b/>
        </w:rPr>
        <w:t xml:space="preserve"> M. </w:t>
      </w:r>
      <w:smartTag w:uri="urn:schemas-microsoft-com:office:smarttags" w:element="PersonName">
        <w:r w:rsidRPr="00F552F0">
          <w:rPr>
            <w:b/>
          </w:rPr>
          <w:t>Deniz Yavuz</w:t>
        </w:r>
      </w:smartTag>
      <w:r w:rsidRPr="00F552F0">
        <w:rPr>
          <w:b/>
        </w:rPr>
        <w:t>,</w:t>
      </w:r>
      <w:r w:rsidRPr="00F552F0">
        <w:rPr>
          <w:b/>
          <w:sz w:val="4"/>
          <w:szCs w:val="4"/>
          <w:vertAlign w:val="superscript"/>
        </w:rPr>
        <w:t xml:space="preserve"> </w:t>
      </w:r>
      <w:r w:rsidRPr="00F552F0">
        <w:rPr>
          <w:b/>
          <w:vertAlign w:val="superscript"/>
        </w:rPr>
        <w:t>b</w:t>
      </w:r>
      <w:r w:rsidRPr="00F552F0">
        <w:rPr>
          <w:b/>
        </w:rPr>
        <w:t xml:space="preserve"> and Bernard Yeung</w:t>
      </w:r>
      <w:r w:rsidRPr="00F552F0">
        <w:rPr>
          <w:b/>
          <w:sz w:val="4"/>
          <w:szCs w:val="4"/>
          <w:vertAlign w:val="superscript"/>
        </w:rPr>
        <w:t xml:space="preserve"> </w:t>
      </w:r>
      <w:r w:rsidRPr="00F552F0">
        <w:rPr>
          <w:b/>
          <w:vertAlign w:val="superscript"/>
        </w:rPr>
        <w:t>c</w:t>
      </w:r>
    </w:p>
    <w:p w:rsidR="004C3644" w:rsidRPr="00F552F0" w:rsidRDefault="004C3644">
      <w:pPr>
        <w:jc w:val="center"/>
        <w:rPr>
          <w:b/>
        </w:rPr>
      </w:pPr>
    </w:p>
    <w:p w:rsidR="004C3644" w:rsidRPr="00F552F0" w:rsidRDefault="004C3644">
      <w:pPr>
        <w:jc w:val="center"/>
        <w:rPr>
          <w:b/>
        </w:rPr>
      </w:pPr>
    </w:p>
    <w:p w:rsidR="004C3644" w:rsidRPr="00F552F0" w:rsidRDefault="004C3644">
      <w:pPr>
        <w:jc w:val="center"/>
        <w:rPr>
          <w:b/>
        </w:rPr>
      </w:pPr>
    </w:p>
    <w:p w:rsidR="00E21501" w:rsidRPr="00F552F0" w:rsidRDefault="004C3644">
      <w:pPr>
        <w:rPr>
          <w:b/>
          <w:i/>
        </w:rPr>
      </w:pPr>
      <w:r w:rsidRPr="00F552F0">
        <w:rPr>
          <w:b/>
        </w:rPr>
        <w:t>Abstract</w:t>
      </w:r>
    </w:p>
    <w:p w:rsidR="004C3644" w:rsidRPr="00F552F0" w:rsidRDefault="004C3644">
      <w:pPr>
        <w:jc w:val="both"/>
        <w:rPr>
          <w:b/>
          <w:i/>
        </w:rPr>
      </w:pPr>
    </w:p>
    <w:p w:rsidR="004C3644" w:rsidRPr="00F552F0" w:rsidRDefault="003D5871">
      <w:pPr>
        <w:jc w:val="both"/>
      </w:pPr>
      <w:bookmarkStart w:id="1" w:name="OLE_LINK7"/>
      <w:bookmarkStart w:id="2" w:name="OLE_LINK10"/>
      <w:r w:rsidRPr="00F552F0">
        <w:t xml:space="preserve">We observe less efficient capital allocation in countries whose banking systems are more thoroughly controlled by tycoons or families. The magnitude of this effect is similar to that of state control over banking. Unlike state control, tycoon or family control also correlates with slower economic and productivity growth, greater financial instability, and worse income inequality. These findings are consistent with theories that elite-capture of a country’s financial system can embed “crony capitalism.” </w:t>
      </w:r>
    </w:p>
    <w:bookmarkEnd w:id="1"/>
    <w:bookmarkEnd w:id="2"/>
    <w:p w:rsidR="004C3644" w:rsidRPr="00F552F0" w:rsidRDefault="004C3644">
      <w:pPr>
        <w:jc w:val="both"/>
        <w:rPr>
          <w:sz w:val="12"/>
        </w:rPr>
      </w:pPr>
    </w:p>
    <w:p w:rsidR="004C3644" w:rsidRPr="00F552F0" w:rsidRDefault="004C3644">
      <w:pPr>
        <w:jc w:val="both"/>
        <w:rPr>
          <w:sz w:val="12"/>
        </w:rPr>
      </w:pPr>
    </w:p>
    <w:p w:rsidR="004C3644" w:rsidRPr="00F552F0" w:rsidRDefault="004C3644">
      <w:r w:rsidRPr="00F552F0">
        <w:t>KEYWORDS: bank</w:t>
      </w:r>
      <w:r w:rsidR="00294BB4" w:rsidRPr="00F552F0">
        <w:t>ing</w:t>
      </w:r>
      <w:r w:rsidRPr="00F552F0">
        <w:t>, ownership structure, capital allocation, economic growth</w:t>
      </w:r>
      <w:r w:rsidR="005C5F69" w:rsidRPr="00F552F0">
        <w:t xml:space="preserve">, </w:t>
      </w:r>
      <w:r w:rsidRPr="00F552F0">
        <w:t xml:space="preserve">family </w:t>
      </w:r>
      <w:r w:rsidR="00294BB4" w:rsidRPr="00F552F0">
        <w:t>business</w:t>
      </w:r>
      <w:r w:rsidRPr="00F552F0">
        <w:t>.</w:t>
      </w:r>
    </w:p>
    <w:p w:rsidR="004C3644" w:rsidRPr="00F552F0" w:rsidRDefault="004C3644"/>
    <w:p w:rsidR="004C3644" w:rsidRPr="00F552F0" w:rsidRDefault="00692540">
      <w:pPr>
        <w:rPr>
          <w:sz w:val="12"/>
          <w:lang w:val="it-IT"/>
        </w:rPr>
      </w:pPr>
      <w:r w:rsidRPr="00F552F0">
        <w:rPr>
          <w:lang w:val="it-IT"/>
        </w:rPr>
        <w:t>JEL CODES:</w:t>
      </w:r>
      <w:r w:rsidR="00364C39" w:rsidRPr="00F552F0">
        <w:rPr>
          <w:lang w:val="it-IT"/>
        </w:rPr>
        <w:t xml:space="preserve"> </w:t>
      </w:r>
      <w:r w:rsidR="00024762" w:rsidRPr="00F552F0">
        <w:rPr>
          <w:lang w:val="it-IT"/>
        </w:rPr>
        <w:t>G01, G21, G28, G32, O15, O16</w:t>
      </w:r>
      <w:r w:rsidR="004C3644" w:rsidRPr="00F552F0">
        <w:rPr>
          <w:lang w:val="it-IT"/>
        </w:rPr>
        <w:br/>
      </w:r>
    </w:p>
    <w:p w:rsidR="00DF5ABB" w:rsidRPr="00F552F0" w:rsidRDefault="004C3644" w:rsidP="00DF5ABB">
      <w:pPr>
        <w:pBdr>
          <w:top w:val="single" w:sz="4" w:space="0" w:color="auto"/>
        </w:pBdr>
        <w:tabs>
          <w:tab w:val="left" w:pos="270"/>
        </w:tabs>
        <w:ind w:left="270" w:hanging="270"/>
        <w:jc w:val="both"/>
        <w:rPr>
          <w:sz w:val="20"/>
          <w:szCs w:val="20"/>
        </w:rPr>
      </w:pPr>
      <w:proofErr w:type="gramStart"/>
      <w:r w:rsidRPr="00F552F0">
        <w:rPr>
          <w:sz w:val="20"/>
          <w:szCs w:val="20"/>
        </w:rPr>
        <w:t>a</w:t>
      </w:r>
      <w:proofErr w:type="gramEnd"/>
      <w:r w:rsidRPr="00F552F0">
        <w:rPr>
          <w:sz w:val="20"/>
          <w:szCs w:val="20"/>
        </w:rPr>
        <w:t>.</w:t>
      </w:r>
      <w:r w:rsidRPr="00F552F0">
        <w:rPr>
          <w:sz w:val="20"/>
          <w:szCs w:val="20"/>
        </w:rPr>
        <w:tab/>
        <w:t xml:space="preserve">Stephen A. Jarislowsky Distinguished Professor of Finance and </w:t>
      </w:r>
      <w:r w:rsidR="00376925" w:rsidRPr="00F552F0">
        <w:rPr>
          <w:sz w:val="20"/>
          <w:szCs w:val="20"/>
        </w:rPr>
        <w:t xml:space="preserve">Distinguished </w:t>
      </w:r>
      <w:r w:rsidRPr="00F552F0">
        <w:rPr>
          <w:sz w:val="20"/>
          <w:szCs w:val="20"/>
        </w:rPr>
        <w:t xml:space="preserve">University Professor, University of </w:t>
      </w:r>
      <w:smartTag w:uri="urn:schemas-microsoft-com:office:smarttags" w:element="PlaceName">
        <w:r w:rsidRPr="00F552F0">
          <w:rPr>
            <w:sz w:val="20"/>
            <w:szCs w:val="20"/>
          </w:rPr>
          <w:t>Alberta</w:t>
        </w:r>
      </w:smartTag>
      <w:r w:rsidRPr="00F552F0">
        <w:rPr>
          <w:sz w:val="20"/>
          <w:szCs w:val="20"/>
        </w:rPr>
        <w:t xml:space="preserve"> </w:t>
      </w:r>
      <w:smartTag w:uri="urn:schemas-microsoft-com:office:smarttags" w:element="PlaceName">
        <w:r w:rsidRPr="00F552F0">
          <w:rPr>
            <w:sz w:val="20"/>
            <w:szCs w:val="20"/>
          </w:rPr>
          <w:t>Business</w:t>
        </w:r>
      </w:smartTag>
      <w:r w:rsidRPr="00F552F0">
        <w:rPr>
          <w:sz w:val="20"/>
          <w:szCs w:val="20"/>
        </w:rPr>
        <w:t xml:space="preserve"> </w:t>
      </w:r>
      <w:smartTag w:uri="urn:schemas-microsoft-com:office:smarttags" w:element="PlaceType">
        <w:r w:rsidRPr="00F552F0">
          <w:rPr>
            <w:sz w:val="20"/>
            <w:szCs w:val="20"/>
          </w:rPr>
          <w:t>School</w:t>
        </w:r>
      </w:smartTag>
      <w:r w:rsidRPr="00F552F0">
        <w:rPr>
          <w:sz w:val="20"/>
          <w:szCs w:val="20"/>
        </w:rPr>
        <w:t xml:space="preserve">, </w:t>
      </w:r>
      <w:smartTag w:uri="urn:schemas-microsoft-com:office:smarttags" w:element="place">
        <w:smartTag w:uri="urn:schemas-microsoft-com:office:smarttags" w:element="City">
          <w:r w:rsidRPr="00F552F0">
            <w:rPr>
              <w:sz w:val="20"/>
              <w:szCs w:val="20"/>
            </w:rPr>
            <w:t>Edmonton</w:t>
          </w:r>
        </w:smartTag>
        <w:r w:rsidRPr="00F552F0">
          <w:rPr>
            <w:sz w:val="20"/>
            <w:szCs w:val="20"/>
          </w:rPr>
          <w:t xml:space="preserve"> </w:t>
        </w:r>
        <w:smartTag w:uri="urn:schemas-microsoft-com:office:smarttags" w:element="State">
          <w:r w:rsidRPr="00F552F0">
            <w:rPr>
              <w:sz w:val="20"/>
              <w:szCs w:val="20"/>
            </w:rPr>
            <w:t>AB</w:t>
          </w:r>
        </w:smartTag>
        <w:r w:rsidRPr="00F552F0">
          <w:rPr>
            <w:sz w:val="20"/>
            <w:szCs w:val="20"/>
          </w:rPr>
          <w:t xml:space="preserve"> </w:t>
        </w:r>
        <w:smartTag w:uri="urn:schemas-microsoft-com:office:smarttags" w:element="country-region">
          <w:r w:rsidRPr="00F552F0">
            <w:rPr>
              <w:sz w:val="20"/>
              <w:szCs w:val="20"/>
            </w:rPr>
            <w:t>Canada</w:t>
          </w:r>
        </w:smartTag>
        <w:r w:rsidRPr="00F552F0">
          <w:rPr>
            <w:sz w:val="20"/>
            <w:szCs w:val="20"/>
          </w:rPr>
          <w:t xml:space="preserve"> </w:t>
        </w:r>
        <w:smartTag w:uri="urn:schemas-microsoft-com:office:smarttags" w:element="PostalCode">
          <w:r w:rsidRPr="00F552F0">
            <w:rPr>
              <w:sz w:val="20"/>
              <w:szCs w:val="20"/>
            </w:rPr>
            <w:t>T6E 2T9</w:t>
          </w:r>
        </w:smartTag>
      </w:smartTag>
      <w:r w:rsidRPr="00F552F0">
        <w:rPr>
          <w:sz w:val="20"/>
          <w:szCs w:val="20"/>
        </w:rPr>
        <w:t xml:space="preserve">; Research Associate, National Bureau of Economic Research. Phone: +1(780)492-5683. E-mail: randall.morck@ualberta.ca. </w:t>
      </w:r>
    </w:p>
    <w:p w:rsidR="00E21501" w:rsidRPr="00F552F0" w:rsidRDefault="004C3644" w:rsidP="00DF5ABB">
      <w:pPr>
        <w:pBdr>
          <w:top w:val="single" w:sz="4" w:space="0" w:color="auto"/>
        </w:pBdr>
        <w:tabs>
          <w:tab w:val="left" w:pos="240"/>
        </w:tabs>
        <w:ind w:left="270" w:hanging="270"/>
        <w:jc w:val="both"/>
        <w:rPr>
          <w:sz w:val="20"/>
          <w:szCs w:val="20"/>
        </w:rPr>
      </w:pPr>
      <w:r w:rsidRPr="00F552F0">
        <w:rPr>
          <w:sz w:val="20"/>
          <w:szCs w:val="20"/>
        </w:rPr>
        <w:t>b.</w:t>
      </w:r>
      <w:r w:rsidR="00DF5ABB" w:rsidRPr="00F552F0">
        <w:rPr>
          <w:sz w:val="20"/>
          <w:szCs w:val="20"/>
        </w:rPr>
        <w:tab/>
      </w:r>
      <w:r w:rsidRPr="00F552F0">
        <w:rPr>
          <w:sz w:val="20"/>
          <w:szCs w:val="20"/>
        </w:rPr>
        <w:t xml:space="preserve">Contact: Assistant Professor of Finance, </w:t>
      </w:r>
      <w:r w:rsidR="003D5871" w:rsidRPr="00F552F0">
        <w:rPr>
          <w:sz w:val="20"/>
          <w:szCs w:val="20"/>
        </w:rPr>
        <w:t>Kranner</w:t>
      </w:r>
      <w:r w:rsidR="002C144B" w:rsidRPr="00F552F0">
        <w:rPr>
          <w:sz w:val="20"/>
          <w:szCs w:val="20"/>
        </w:rPr>
        <w:t xml:space="preserve">t Graduate School of Management, </w:t>
      </w:r>
      <w:r w:rsidR="003D5871" w:rsidRPr="00F552F0">
        <w:rPr>
          <w:sz w:val="20"/>
          <w:szCs w:val="20"/>
        </w:rPr>
        <w:t xml:space="preserve">Purdue </w:t>
      </w:r>
      <w:proofErr w:type="gramStart"/>
      <w:r w:rsidR="003D5871" w:rsidRPr="00F552F0">
        <w:rPr>
          <w:sz w:val="20"/>
          <w:szCs w:val="20"/>
        </w:rPr>
        <w:t>University</w:t>
      </w:r>
      <w:r w:rsidR="002C144B" w:rsidRPr="00F552F0">
        <w:rPr>
          <w:sz w:val="20"/>
          <w:szCs w:val="20"/>
        </w:rPr>
        <w:t xml:space="preserve"> ,</w:t>
      </w:r>
      <w:r w:rsidR="003D5871" w:rsidRPr="00F552F0">
        <w:rPr>
          <w:sz w:val="20"/>
          <w:szCs w:val="20"/>
        </w:rPr>
        <w:t>403</w:t>
      </w:r>
      <w:proofErr w:type="gramEnd"/>
      <w:r w:rsidR="003D5871" w:rsidRPr="00F552F0">
        <w:rPr>
          <w:sz w:val="20"/>
          <w:szCs w:val="20"/>
        </w:rPr>
        <w:t xml:space="preserve"> W. State Street</w:t>
      </w:r>
      <w:r w:rsidR="002C144B" w:rsidRPr="00F552F0">
        <w:rPr>
          <w:sz w:val="20"/>
          <w:szCs w:val="20"/>
        </w:rPr>
        <w:t xml:space="preserve">, </w:t>
      </w:r>
      <w:r w:rsidR="003D5871" w:rsidRPr="00F552F0">
        <w:rPr>
          <w:sz w:val="20"/>
          <w:szCs w:val="20"/>
        </w:rPr>
        <w:t>West Lafayette, IN 47907-2056</w:t>
      </w:r>
      <w:r w:rsidR="002C144B" w:rsidRPr="00F552F0">
        <w:rPr>
          <w:sz w:val="20"/>
          <w:szCs w:val="20"/>
        </w:rPr>
        <w:t xml:space="preserve">. </w:t>
      </w:r>
      <w:r w:rsidR="003D5871" w:rsidRPr="00F552F0">
        <w:rPr>
          <w:sz w:val="20"/>
          <w:szCs w:val="20"/>
        </w:rPr>
        <w:t>Phone: (765) 494 1337</w:t>
      </w:r>
      <w:r w:rsidR="00DF5ABB" w:rsidRPr="00F552F0">
        <w:rPr>
          <w:sz w:val="20"/>
          <w:szCs w:val="20"/>
        </w:rPr>
        <w:t>.</w:t>
      </w:r>
      <w:r w:rsidR="005C5F69" w:rsidRPr="00F552F0">
        <w:rPr>
          <w:sz w:val="20"/>
          <w:szCs w:val="20"/>
        </w:rPr>
        <w:t xml:space="preserve"> </w:t>
      </w:r>
      <w:r w:rsidR="00DF5ABB" w:rsidRPr="00F552F0">
        <w:rPr>
          <w:sz w:val="20"/>
          <w:szCs w:val="20"/>
        </w:rPr>
        <w:t>E</w:t>
      </w:r>
      <w:r w:rsidR="002C144B" w:rsidRPr="00F552F0">
        <w:rPr>
          <w:sz w:val="20"/>
          <w:szCs w:val="20"/>
        </w:rPr>
        <w:t>-</w:t>
      </w:r>
      <w:proofErr w:type="gramStart"/>
      <w:r w:rsidR="002C144B" w:rsidRPr="00F552F0">
        <w:rPr>
          <w:sz w:val="20"/>
          <w:szCs w:val="20"/>
        </w:rPr>
        <w:t>mail:</w:t>
      </w:r>
      <w:r w:rsidR="003D5871" w:rsidRPr="00F552F0">
        <w:rPr>
          <w:sz w:val="20"/>
          <w:szCs w:val="20"/>
        </w:rPr>
        <w:t>myavuz@purdue.edu</w:t>
      </w:r>
      <w:r w:rsidR="005C5F69" w:rsidRPr="00F552F0">
        <w:rPr>
          <w:sz w:val="20"/>
          <w:szCs w:val="20"/>
        </w:rPr>
        <w:t xml:space="preserve"> .</w:t>
      </w:r>
      <w:proofErr w:type="gramEnd"/>
    </w:p>
    <w:p w:rsidR="004C3644" w:rsidRPr="00F552F0" w:rsidRDefault="004C3644" w:rsidP="00DF5ABB">
      <w:pPr>
        <w:tabs>
          <w:tab w:val="left" w:pos="240"/>
        </w:tabs>
        <w:ind w:left="270" w:hanging="270"/>
        <w:jc w:val="both"/>
        <w:rPr>
          <w:sz w:val="20"/>
          <w:szCs w:val="20"/>
        </w:rPr>
      </w:pPr>
      <w:r w:rsidRPr="00F552F0">
        <w:rPr>
          <w:sz w:val="20"/>
          <w:szCs w:val="20"/>
        </w:rPr>
        <w:t>c.</w:t>
      </w:r>
      <w:r w:rsidRPr="00F552F0">
        <w:rPr>
          <w:sz w:val="20"/>
          <w:szCs w:val="20"/>
        </w:rPr>
        <w:tab/>
        <w:t xml:space="preserve">Dean and Stephen Riady Distinguished Professor of Finance, National University of Singapore Business School, Biz 2 Building Level 6, 1 Business Link, Singapore, 117592. </w:t>
      </w:r>
      <w:r w:rsidR="00DF5ABB" w:rsidRPr="00F552F0">
        <w:rPr>
          <w:sz w:val="20"/>
          <w:szCs w:val="20"/>
        </w:rPr>
        <w:t xml:space="preserve">Phone: </w:t>
      </w:r>
      <w:r w:rsidRPr="00F552F0">
        <w:rPr>
          <w:sz w:val="20"/>
          <w:szCs w:val="20"/>
        </w:rPr>
        <w:t xml:space="preserve">+65 6516 3075, </w:t>
      </w:r>
      <w:r w:rsidR="00DF5ABB" w:rsidRPr="00F552F0">
        <w:rPr>
          <w:sz w:val="20"/>
          <w:szCs w:val="20"/>
        </w:rPr>
        <w:t xml:space="preserve">E-mail: </w:t>
      </w:r>
      <w:r w:rsidRPr="00F552F0">
        <w:rPr>
          <w:sz w:val="20"/>
          <w:szCs w:val="20"/>
        </w:rPr>
        <w:t>byeung@nus.edu.sg</w:t>
      </w:r>
      <w:r w:rsidR="00DF5ABB" w:rsidRPr="00F552F0">
        <w:rPr>
          <w:sz w:val="20"/>
          <w:szCs w:val="20"/>
        </w:rPr>
        <w:t xml:space="preserve"> </w:t>
      </w:r>
    </w:p>
    <w:p w:rsidR="004C3644" w:rsidRPr="00F552F0" w:rsidRDefault="004C3644">
      <w:pPr>
        <w:autoSpaceDE w:val="0"/>
        <w:autoSpaceDN w:val="0"/>
        <w:adjustRightInd w:val="0"/>
        <w:jc w:val="both"/>
        <w:rPr>
          <w:sz w:val="18"/>
          <w:szCs w:val="18"/>
        </w:rPr>
      </w:pPr>
      <w:r w:rsidRPr="00F552F0">
        <w:rPr>
          <w:sz w:val="18"/>
          <w:szCs w:val="18"/>
        </w:rPr>
        <w:t xml:space="preserve">We are grateful for comments from </w:t>
      </w:r>
      <w:r w:rsidR="00A7119A" w:rsidRPr="00F552F0">
        <w:rPr>
          <w:sz w:val="18"/>
          <w:szCs w:val="18"/>
        </w:rPr>
        <w:t xml:space="preserve">Viral </w:t>
      </w:r>
      <w:proofErr w:type="spellStart"/>
      <w:r w:rsidR="00A7119A" w:rsidRPr="00F552F0">
        <w:rPr>
          <w:sz w:val="18"/>
          <w:szCs w:val="18"/>
        </w:rPr>
        <w:t>Acharya</w:t>
      </w:r>
      <w:proofErr w:type="spellEnd"/>
      <w:r w:rsidR="00A7119A" w:rsidRPr="00F552F0">
        <w:rPr>
          <w:sz w:val="18"/>
          <w:szCs w:val="18"/>
        </w:rPr>
        <w:t xml:space="preserve">, </w:t>
      </w:r>
      <w:proofErr w:type="spellStart"/>
      <w:r w:rsidRPr="00F552F0">
        <w:rPr>
          <w:sz w:val="18"/>
          <w:szCs w:val="18"/>
        </w:rPr>
        <w:t>Stijn</w:t>
      </w:r>
      <w:proofErr w:type="spellEnd"/>
      <w:r w:rsidRPr="00F552F0">
        <w:rPr>
          <w:sz w:val="18"/>
          <w:szCs w:val="18"/>
        </w:rPr>
        <w:t xml:space="preserve"> </w:t>
      </w:r>
      <w:proofErr w:type="spellStart"/>
      <w:r w:rsidRPr="00F552F0">
        <w:rPr>
          <w:sz w:val="18"/>
          <w:szCs w:val="18"/>
        </w:rPr>
        <w:t>Claessens</w:t>
      </w:r>
      <w:proofErr w:type="spellEnd"/>
      <w:r w:rsidRPr="00F552F0">
        <w:rPr>
          <w:sz w:val="18"/>
          <w:szCs w:val="18"/>
        </w:rPr>
        <w:t>,</w:t>
      </w:r>
      <w:r w:rsidR="0040368C" w:rsidRPr="00F552F0">
        <w:rPr>
          <w:sz w:val="18"/>
          <w:szCs w:val="18"/>
        </w:rPr>
        <w:t xml:space="preserve"> Harry </w:t>
      </w:r>
      <w:proofErr w:type="spellStart"/>
      <w:r w:rsidR="0040368C" w:rsidRPr="00F552F0">
        <w:rPr>
          <w:sz w:val="18"/>
          <w:szCs w:val="18"/>
        </w:rPr>
        <w:t>DeAngelo</w:t>
      </w:r>
      <w:proofErr w:type="spellEnd"/>
      <w:r w:rsidR="0040368C" w:rsidRPr="00F552F0">
        <w:rPr>
          <w:sz w:val="18"/>
          <w:szCs w:val="18"/>
        </w:rPr>
        <w:t>,</w:t>
      </w:r>
      <w:r w:rsidRPr="00F552F0">
        <w:rPr>
          <w:sz w:val="18"/>
          <w:szCs w:val="18"/>
        </w:rPr>
        <w:t xml:space="preserve"> Mara </w:t>
      </w:r>
      <w:proofErr w:type="spellStart"/>
      <w:r w:rsidRPr="00F552F0">
        <w:rPr>
          <w:sz w:val="18"/>
          <w:szCs w:val="18"/>
        </w:rPr>
        <w:t>Faccio</w:t>
      </w:r>
      <w:proofErr w:type="spellEnd"/>
      <w:r w:rsidRPr="00F552F0">
        <w:rPr>
          <w:sz w:val="18"/>
          <w:szCs w:val="18"/>
        </w:rPr>
        <w:t>,</w:t>
      </w:r>
      <w:r w:rsidR="00C20054" w:rsidRPr="00F552F0">
        <w:rPr>
          <w:sz w:val="18"/>
          <w:szCs w:val="18"/>
        </w:rPr>
        <w:t xml:space="preserve"> </w:t>
      </w:r>
      <w:r w:rsidR="00C20054" w:rsidRPr="00F552F0">
        <w:rPr>
          <w:iCs/>
          <w:sz w:val="18"/>
          <w:szCs w:val="18"/>
        </w:rPr>
        <w:t>Radhakrishnan</w:t>
      </w:r>
      <w:r w:rsidR="00C20054" w:rsidRPr="00F552F0">
        <w:rPr>
          <w:iCs/>
          <w:sz w:val="20"/>
          <w:szCs w:val="20"/>
        </w:rPr>
        <w:t xml:space="preserve"> </w:t>
      </w:r>
      <w:r w:rsidR="00C20054" w:rsidRPr="00F552F0">
        <w:rPr>
          <w:iCs/>
          <w:sz w:val="18"/>
          <w:szCs w:val="18"/>
        </w:rPr>
        <w:t>Gopalan,</w:t>
      </w:r>
      <w:r w:rsidRPr="00F552F0">
        <w:rPr>
          <w:sz w:val="18"/>
          <w:szCs w:val="18"/>
        </w:rPr>
        <w:t xml:space="preserve"> Ross Levine, Kasper Nielsen,</w:t>
      </w:r>
      <w:r w:rsidR="003E451E" w:rsidRPr="00F552F0">
        <w:rPr>
          <w:sz w:val="18"/>
          <w:szCs w:val="18"/>
        </w:rPr>
        <w:t xml:space="preserve"> </w:t>
      </w:r>
      <w:r w:rsidRPr="00F552F0">
        <w:rPr>
          <w:sz w:val="18"/>
          <w:szCs w:val="18"/>
        </w:rPr>
        <w:t xml:space="preserve">Enrico </w:t>
      </w:r>
      <w:proofErr w:type="spellStart"/>
      <w:r w:rsidRPr="00F552F0">
        <w:rPr>
          <w:sz w:val="18"/>
          <w:szCs w:val="18"/>
        </w:rPr>
        <w:t>Perotti</w:t>
      </w:r>
      <w:proofErr w:type="spellEnd"/>
      <w:r w:rsidRPr="00F552F0">
        <w:rPr>
          <w:sz w:val="18"/>
          <w:szCs w:val="18"/>
        </w:rPr>
        <w:t xml:space="preserve">, Alex </w:t>
      </w:r>
      <w:proofErr w:type="spellStart"/>
      <w:r w:rsidRPr="00F552F0">
        <w:rPr>
          <w:sz w:val="18"/>
          <w:szCs w:val="18"/>
        </w:rPr>
        <w:t>Philipov</w:t>
      </w:r>
      <w:proofErr w:type="spellEnd"/>
      <w:r w:rsidRPr="00F552F0">
        <w:rPr>
          <w:sz w:val="18"/>
          <w:szCs w:val="18"/>
        </w:rPr>
        <w:t xml:space="preserve">, Ivan Png, Andrei </w:t>
      </w:r>
      <w:proofErr w:type="spellStart"/>
      <w:r w:rsidRPr="00F552F0">
        <w:rPr>
          <w:sz w:val="18"/>
          <w:szCs w:val="18"/>
        </w:rPr>
        <w:t>Shleifer</w:t>
      </w:r>
      <w:proofErr w:type="spellEnd"/>
      <w:r w:rsidRPr="00F552F0">
        <w:rPr>
          <w:sz w:val="18"/>
          <w:szCs w:val="18"/>
        </w:rPr>
        <w:t xml:space="preserve">, </w:t>
      </w:r>
      <w:proofErr w:type="spellStart"/>
      <w:r w:rsidRPr="00F552F0">
        <w:rPr>
          <w:sz w:val="18"/>
          <w:szCs w:val="18"/>
        </w:rPr>
        <w:t>Fei</w:t>
      </w:r>
      <w:proofErr w:type="spellEnd"/>
      <w:r w:rsidRPr="00F552F0">
        <w:rPr>
          <w:sz w:val="18"/>
          <w:szCs w:val="18"/>
        </w:rPr>
        <w:t xml:space="preserve"> Xie, </w:t>
      </w:r>
      <w:r w:rsidR="00DA531F" w:rsidRPr="00F552F0">
        <w:rPr>
          <w:sz w:val="18"/>
          <w:szCs w:val="18"/>
        </w:rPr>
        <w:t xml:space="preserve">an anonymous referee, </w:t>
      </w:r>
      <w:r w:rsidRPr="00F552F0">
        <w:rPr>
          <w:sz w:val="18"/>
          <w:szCs w:val="18"/>
        </w:rPr>
        <w:t>seminar participants at the AFA 2009 meetings, Arizona State University, Chinese University of Hong Kong, Darden International Finance Conference both US and Singapore Events, George Mason University</w:t>
      </w:r>
      <w:r w:rsidR="00E0028F" w:rsidRPr="00F552F0">
        <w:rPr>
          <w:sz w:val="18"/>
          <w:szCs w:val="18"/>
        </w:rPr>
        <w:t xml:space="preserve">, Hong Kong University of Science and </w:t>
      </w:r>
      <w:r w:rsidR="003E451E" w:rsidRPr="00F552F0">
        <w:rPr>
          <w:sz w:val="18"/>
          <w:szCs w:val="18"/>
        </w:rPr>
        <w:t>Technology, 2</w:t>
      </w:r>
      <w:r w:rsidR="003E451E" w:rsidRPr="00F552F0">
        <w:rPr>
          <w:sz w:val="18"/>
          <w:szCs w:val="18"/>
          <w:vertAlign w:val="superscript"/>
        </w:rPr>
        <w:t>nd</w:t>
      </w:r>
      <w:r w:rsidR="003E451E" w:rsidRPr="00F552F0">
        <w:rPr>
          <w:sz w:val="18"/>
          <w:szCs w:val="18"/>
        </w:rPr>
        <w:t xml:space="preserve"> International Conference on Corporate Governance in Emerging Markets</w:t>
      </w:r>
      <w:r w:rsidR="005922DD" w:rsidRPr="00F552F0">
        <w:rPr>
          <w:sz w:val="18"/>
          <w:szCs w:val="18"/>
        </w:rPr>
        <w:t>,</w:t>
      </w:r>
      <w:r w:rsidR="003E451E" w:rsidRPr="00F552F0">
        <w:rPr>
          <w:sz w:val="18"/>
          <w:szCs w:val="18"/>
        </w:rPr>
        <w:t xml:space="preserve"> </w:t>
      </w:r>
      <w:r w:rsidR="001A3DCD" w:rsidRPr="00F552F0">
        <w:rPr>
          <w:sz w:val="18"/>
          <w:szCs w:val="18"/>
        </w:rPr>
        <w:t xml:space="preserve">Peking University, </w:t>
      </w:r>
      <w:r w:rsidR="003E451E" w:rsidRPr="00F552F0">
        <w:rPr>
          <w:sz w:val="18"/>
          <w:szCs w:val="18"/>
        </w:rPr>
        <w:t>and</w:t>
      </w:r>
      <w:r w:rsidRPr="00F552F0">
        <w:rPr>
          <w:sz w:val="18"/>
          <w:szCs w:val="18"/>
        </w:rPr>
        <w:t xml:space="preserve"> National University of Singapore. </w:t>
      </w:r>
      <w:proofErr w:type="spellStart"/>
      <w:r w:rsidRPr="00F552F0">
        <w:rPr>
          <w:sz w:val="18"/>
          <w:szCs w:val="18"/>
        </w:rPr>
        <w:t>Ching</w:t>
      </w:r>
      <w:proofErr w:type="spellEnd"/>
      <w:r w:rsidRPr="00F552F0">
        <w:rPr>
          <w:sz w:val="18"/>
          <w:szCs w:val="18"/>
        </w:rPr>
        <w:t xml:space="preserve">-Hung Chang, </w:t>
      </w:r>
      <w:proofErr w:type="spellStart"/>
      <w:r w:rsidRPr="00F552F0">
        <w:rPr>
          <w:sz w:val="18"/>
          <w:szCs w:val="18"/>
        </w:rPr>
        <w:t>Chunmei</w:t>
      </w:r>
      <w:proofErr w:type="spellEnd"/>
      <w:r w:rsidRPr="00F552F0">
        <w:rPr>
          <w:sz w:val="18"/>
          <w:szCs w:val="18"/>
        </w:rPr>
        <w:t xml:space="preserve"> Lin, </w:t>
      </w:r>
      <w:proofErr w:type="spellStart"/>
      <w:r w:rsidRPr="00F552F0">
        <w:rPr>
          <w:sz w:val="18"/>
          <w:szCs w:val="18"/>
        </w:rPr>
        <w:t>Minjeong</w:t>
      </w:r>
      <w:proofErr w:type="spellEnd"/>
      <w:r w:rsidRPr="00F552F0">
        <w:rPr>
          <w:sz w:val="18"/>
          <w:szCs w:val="18"/>
        </w:rPr>
        <w:t xml:space="preserve"> Kang, Zhen Shi and </w:t>
      </w:r>
      <w:proofErr w:type="spellStart"/>
      <w:r w:rsidRPr="00F552F0">
        <w:rPr>
          <w:sz w:val="18"/>
          <w:szCs w:val="18"/>
        </w:rPr>
        <w:t>Xiaowei</w:t>
      </w:r>
      <w:proofErr w:type="spellEnd"/>
      <w:r w:rsidRPr="00F552F0">
        <w:rPr>
          <w:sz w:val="18"/>
          <w:szCs w:val="18"/>
        </w:rPr>
        <w:t xml:space="preserve"> Xu provided excellent research assistance.</w:t>
      </w:r>
      <w:r w:rsidR="00B942EC" w:rsidRPr="00F552F0">
        <w:rPr>
          <w:sz w:val="18"/>
          <w:szCs w:val="18"/>
        </w:rPr>
        <w:t xml:space="preserve"> We thank Gerard </w:t>
      </w:r>
      <w:proofErr w:type="spellStart"/>
      <w:r w:rsidR="00B942EC" w:rsidRPr="00F552F0">
        <w:rPr>
          <w:sz w:val="18"/>
          <w:szCs w:val="18"/>
        </w:rPr>
        <w:t>Caprio</w:t>
      </w:r>
      <w:proofErr w:type="spellEnd"/>
      <w:r w:rsidR="00B942EC" w:rsidRPr="00F552F0">
        <w:rPr>
          <w:sz w:val="18"/>
          <w:szCs w:val="18"/>
        </w:rPr>
        <w:t xml:space="preserve">, Luc </w:t>
      </w:r>
      <w:proofErr w:type="spellStart"/>
      <w:r w:rsidR="00B942EC" w:rsidRPr="00F552F0">
        <w:rPr>
          <w:sz w:val="18"/>
          <w:szCs w:val="18"/>
        </w:rPr>
        <w:t>Laeven</w:t>
      </w:r>
      <w:proofErr w:type="spellEnd"/>
      <w:r w:rsidR="0040368C" w:rsidRPr="00F552F0">
        <w:rPr>
          <w:sz w:val="18"/>
          <w:szCs w:val="18"/>
        </w:rPr>
        <w:t>,</w:t>
      </w:r>
      <w:r w:rsidR="00B942EC" w:rsidRPr="00F552F0">
        <w:rPr>
          <w:sz w:val="18"/>
          <w:szCs w:val="18"/>
        </w:rPr>
        <w:t xml:space="preserve"> Ross Levine, and William </w:t>
      </w:r>
      <w:proofErr w:type="spellStart"/>
      <w:r w:rsidR="00B942EC" w:rsidRPr="00F552F0">
        <w:rPr>
          <w:sz w:val="18"/>
          <w:szCs w:val="18"/>
        </w:rPr>
        <w:t>Megginson</w:t>
      </w:r>
      <w:proofErr w:type="spellEnd"/>
      <w:r w:rsidR="00B942EC" w:rsidRPr="00F552F0">
        <w:rPr>
          <w:sz w:val="18"/>
          <w:szCs w:val="18"/>
        </w:rPr>
        <w:t xml:space="preserve"> for making their data available to us. </w:t>
      </w:r>
      <w:r w:rsidR="00CC7216" w:rsidRPr="00F552F0">
        <w:rPr>
          <w:sz w:val="18"/>
          <w:szCs w:val="18"/>
        </w:rPr>
        <w:t xml:space="preserve">Part of this work was carried out while </w:t>
      </w:r>
      <w:r w:rsidR="006F1BEA" w:rsidRPr="00F552F0">
        <w:rPr>
          <w:sz w:val="18"/>
          <w:szCs w:val="18"/>
        </w:rPr>
        <w:t xml:space="preserve">Yavuz </w:t>
      </w:r>
      <w:r w:rsidR="00CC7216" w:rsidRPr="00F552F0">
        <w:rPr>
          <w:sz w:val="18"/>
          <w:szCs w:val="18"/>
        </w:rPr>
        <w:t>was at</w:t>
      </w:r>
      <w:r w:rsidR="00966E7B" w:rsidRPr="00F552F0">
        <w:rPr>
          <w:sz w:val="18"/>
          <w:szCs w:val="18"/>
        </w:rPr>
        <w:t xml:space="preserve"> Washington University in St. Louis</w:t>
      </w:r>
      <w:r w:rsidR="00227D48" w:rsidRPr="00F552F0">
        <w:rPr>
          <w:sz w:val="18"/>
          <w:szCs w:val="18"/>
        </w:rPr>
        <w:t xml:space="preserve"> and Arizona State University</w:t>
      </w:r>
      <w:r w:rsidR="00CC7216" w:rsidRPr="00F552F0">
        <w:rPr>
          <w:sz w:val="18"/>
          <w:szCs w:val="18"/>
        </w:rPr>
        <w:t>.</w:t>
      </w:r>
      <w:r w:rsidR="00966E7B" w:rsidRPr="00F552F0">
        <w:rPr>
          <w:sz w:val="18"/>
          <w:szCs w:val="18"/>
        </w:rPr>
        <w:t xml:space="preserve"> </w:t>
      </w:r>
      <w:r w:rsidR="00E241AF" w:rsidRPr="00F552F0">
        <w:rPr>
          <w:sz w:val="18"/>
          <w:szCs w:val="18"/>
        </w:rPr>
        <w:t>Morck thanks</w:t>
      </w:r>
      <w:r w:rsidR="00E21501" w:rsidRPr="00F552F0">
        <w:rPr>
          <w:sz w:val="18"/>
          <w:szCs w:val="18"/>
        </w:rPr>
        <w:t xml:space="preserve"> the SSHRC </w:t>
      </w:r>
      <w:r w:rsidR="00966E7B" w:rsidRPr="00F552F0">
        <w:rPr>
          <w:sz w:val="18"/>
          <w:szCs w:val="18"/>
        </w:rPr>
        <w:t xml:space="preserve">for </w:t>
      </w:r>
      <w:r w:rsidR="00E21501" w:rsidRPr="00F552F0">
        <w:rPr>
          <w:sz w:val="18"/>
          <w:szCs w:val="18"/>
        </w:rPr>
        <w:t xml:space="preserve">financial </w:t>
      </w:r>
      <w:r w:rsidR="00966E7B" w:rsidRPr="00F552F0">
        <w:rPr>
          <w:sz w:val="18"/>
          <w:szCs w:val="18"/>
        </w:rPr>
        <w:t xml:space="preserve">support. </w:t>
      </w:r>
      <w:r w:rsidR="00B942EC" w:rsidRPr="00F552F0">
        <w:rPr>
          <w:sz w:val="18"/>
          <w:szCs w:val="18"/>
        </w:rPr>
        <w:t xml:space="preserve"> </w:t>
      </w:r>
      <w:r w:rsidR="00E21501" w:rsidRPr="00F552F0">
        <w:rPr>
          <w:sz w:val="18"/>
          <w:szCs w:val="18"/>
        </w:rPr>
        <w:t xml:space="preserve"> </w:t>
      </w:r>
    </w:p>
    <w:p w:rsidR="001D2881" w:rsidRPr="00F552F0" w:rsidRDefault="004C3644" w:rsidP="001D2881">
      <w:pPr>
        <w:rPr>
          <w:b/>
          <w:sz w:val="32"/>
        </w:rPr>
      </w:pPr>
      <w:r w:rsidRPr="00F552F0">
        <w:rPr>
          <w:b/>
        </w:rPr>
        <w:br w:type="page"/>
      </w:r>
      <w:r w:rsidR="001D2881" w:rsidRPr="00F552F0">
        <w:rPr>
          <w:b/>
          <w:sz w:val="32"/>
        </w:rPr>
        <w:lastRenderedPageBreak/>
        <w:t>1.</w:t>
      </w:r>
      <w:r w:rsidR="001D2881" w:rsidRPr="00F552F0">
        <w:rPr>
          <w:b/>
          <w:sz w:val="32"/>
        </w:rPr>
        <w:tab/>
        <w:t>Introduction</w:t>
      </w:r>
    </w:p>
    <w:p w:rsidR="00E21501" w:rsidRPr="00F552F0" w:rsidRDefault="001D2881">
      <w:pPr>
        <w:spacing w:line="440" w:lineRule="exact"/>
        <w:ind w:firstLine="720"/>
        <w:jc w:val="both"/>
        <w:rPr>
          <w:color w:val="000000"/>
          <w:sz w:val="22"/>
          <w:szCs w:val="22"/>
        </w:rPr>
      </w:pPr>
      <w:r w:rsidRPr="00F552F0">
        <w:rPr>
          <w:sz w:val="22"/>
          <w:szCs w:val="22"/>
        </w:rPr>
        <w:t xml:space="preserve">The social purpose of the financial system is to allocate </w:t>
      </w:r>
      <w:r w:rsidR="00895697" w:rsidRPr="00F552F0">
        <w:rPr>
          <w:sz w:val="22"/>
          <w:szCs w:val="22"/>
        </w:rPr>
        <w:t>an</w:t>
      </w:r>
      <w:r w:rsidRPr="00F552F0">
        <w:rPr>
          <w:sz w:val="22"/>
          <w:szCs w:val="22"/>
        </w:rPr>
        <w:t xml:space="preserve"> economy’s savings to their highest value uses (</w:t>
      </w:r>
      <w:r w:rsidR="00954882" w:rsidRPr="00F552F0">
        <w:rPr>
          <w:sz w:val="22"/>
          <w:szCs w:val="22"/>
        </w:rPr>
        <w:t>Schumpeter</w:t>
      </w:r>
      <w:r w:rsidR="00E82874" w:rsidRPr="00F552F0">
        <w:rPr>
          <w:sz w:val="22"/>
          <w:szCs w:val="22"/>
        </w:rPr>
        <w:t>,</w:t>
      </w:r>
      <w:r w:rsidR="00954882" w:rsidRPr="00F552F0">
        <w:rPr>
          <w:sz w:val="22"/>
          <w:szCs w:val="22"/>
        </w:rPr>
        <w:t xml:space="preserve"> 1912, 1942; </w:t>
      </w:r>
      <w:r w:rsidRPr="00F552F0">
        <w:rPr>
          <w:sz w:val="22"/>
          <w:szCs w:val="22"/>
        </w:rPr>
        <w:t>Tobin</w:t>
      </w:r>
      <w:r w:rsidR="00E82874" w:rsidRPr="00F552F0">
        <w:rPr>
          <w:sz w:val="22"/>
          <w:szCs w:val="22"/>
        </w:rPr>
        <w:t>,</w:t>
      </w:r>
      <w:r w:rsidRPr="00F552F0">
        <w:rPr>
          <w:sz w:val="22"/>
          <w:szCs w:val="22"/>
        </w:rPr>
        <w:t xml:space="preserve"> 1989; </w:t>
      </w:r>
      <w:proofErr w:type="spellStart"/>
      <w:r w:rsidR="00E834B3" w:rsidRPr="00F552F0">
        <w:rPr>
          <w:sz w:val="22"/>
          <w:szCs w:val="22"/>
        </w:rPr>
        <w:t>Aghion</w:t>
      </w:r>
      <w:proofErr w:type="spellEnd"/>
      <w:r w:rsidR="00E834B3" w:rsidRPr="00F552F0">
        <w:rPr>
          <w:sz w:val="22"/>
          <w:szCs w:val="22"/>
        </w:rPr>
        <w:t xml:space="preserve"> </w:t>
      </w:r>
      <w:r w:rsidR="00E82874" w:rsidRPr="00F552F0">
        <w:rPr>
          <w:sz w:val="22"/>
          <w:szCs w:val="22"/>
        </w:rPr>
        <w:t>and</w:t>
      </w:r>
      <w:r w:rsidR="00E834B3" w:rsidRPr="00F552F0">
        <w:rPr>
          <w:sz w:val="22"/>
          <w:szCs w:val="22"/>
        </w:rPr>
        <w:t xml:space="preserve"> </w:t>
      </w:r>
      <w:proofErr w:type="spellStart"/>
      <w:r w:rsidR="00E834B3" w:rsidRPr="00F552F0">
        <w:rPr>
          <w:sz w:val="22"/>
          <w:szCs w:val="22"/>
        </w:rPr>
        <w:t>Howitt</w:t>
      </w:r>
      <w:proofErr w:type="spellEnd"/>
      <w:r w:rsidR="00E834B3" w:rsidRPr="00F552F0">
        <w:rPr>
          <w:sz w:val="22"/>
          <w:szCs w:val="22"/>
        </w:rPr>
        <w:t xml:space="preserve"> 1997; </w:t>
      </w:r>
      <w:proofErr w:type="spellStart"/>
      <w:r w:rsidRPr="00F552F0">
        <w:rPr>
          <w:sz w:val="22"/>
          <w:szCs w:val="22"/>
        </w:rPr>
        <w:t>Wurgler</w:t>
      </w:r>
      <w:proofErr w:type="spellEnd"/>
      <w:r w:rsidR="00C8580A" w:rsidRPr="00F552F0">
        <w:rPr>
          <w:sz w:val="22"/>
          <w:szCs w:val="22"/>
        </w:rPr>
        <w:t>,</w:t>
      </w:r>
      <w:r w:rsidRPr="00F552F0">
        <w:rPr>
          <w:sz w:val="22"/>
          <w:szCs w:val="22"/>
        </w:rPr>
        <w:t xml:space="preserve"> 2000)</w:t>
      </w:r>
      <w:r w:rsidR="00EA5CFD" w:rsidRPr="00F552F0">
        <w:rPr>
          <w:sz w:val="22"/>
          <w:szCs w:val="22"/>
        </w:rPr>
        <w:t>. E</w:t>
      </w:r>
      <w:r w:rsidR="00895697" w:rsidRPr="00F552F0">
        <w:rPr>
          <w:sz w:val="22"/>
          <w:szCs w:val="22"/>
        </w:rPr>
        <w:t xml:space="preserve">conomic growth </w:t>
      </w:r>
      <w:r w:rsidR="00EA5CFD" w:rsidRPr="00F552F0">
        <w:rPr>
          <w:sz w:val="22"/>
          <w:szCs w:val="22"/>
        </w:rPr>
        <w:t xml:space="preserve">thus </w:t>
      </w:r>
      <w:r w:rsidR="00895697" w:rsidRPr="00F552F0">
        <w:rPr>
          <w:sz w:val="22"/>
          <w:szCs w:val="22"/>
        </w:rPr>
        <w:t>correlates strongly with</w:t>
      </w:r>
      <w:r w:rsidR="00EA5CFD" w:rsidRPr="00F552F0">
        <w:rPr>
          <w:sz w:val="22"/>
          <w:szCs w:val="22"/>
        </w:rPr>
        <w:t xml:space="preserve"> </w:t>
      </w:r>
      <w:r w:rsidRPr="00F552F0">
        <w:rPr>
          <w:sz w:val="22"/>
          <w:szCs w:val="22"/>
        </w:rPr>
        <w:t xml:space="preserve">financial development (King </w:t>
      </w:r>
      <w:r w:rsidR="00E82874" w:rsidRPr="00F552F0">
        <w:rPr>
          <w:sz w:val="22"/>
          <w:szCs w:val="22"/>
        </w:rPr>
        <w:t>and</w:t>
      </w:r>
      <w:r w:rsidRPr="00F552F0">
        <w:rPr>
          <w:sz w:val="22"/>
          <w:szCs w:val="22"/>
        </w:rPr>
        <w:t xml:space="preserve"> Levine</w:t>
      </w:r>
      <w:r w:rsidR="00C8580A" w:rsidRPr="00F552F0">
        <w:rPr>
          <w:sz w:val="22"/>
          <w:szCs w:val="22"/>
        </w:rPr>
        <w:t>,</w:t>
      </w:r>
      <w:r w:rsidRPr="00F552F0">
        <w:rPr>
          <w:sz w:val="22"/>
          <w:szCs w:val="22"/>
        </w:rPr>
        <w:t xml:space="preserve"> 1993ab; </w:t>
      </w:r>
      <w:proofErr w:type="spellStart"/>
      <w:r w:rsidRPr="00F552F0">
        <w:rPr>
          <w:sz w:val="22"/>
          <w:szCs w:val="22"/>
        </w:rPr>
        <w:t>Demirguc-Kunt</w:t>
      </w:r>
      <w:proofErr w:type="spellEnd"/>
      <w:r w:rsidRPr="00F552F0">
        <w:rPr>
          <w:sz w:val="22"/>
          <w:szCs w:val="22"/>
        </w:rPr>
        <w:t xml:space="preserve"> </w:t>
      </w:r>
      <w:r w:rsidR="00E82874" w:rsidRPr="00F552F0">
        <w:rPr>
          <w:sz w:val="22"/>
          <w:szCs w:val="22"/>
        </w:rPr>
        <w:t>and</w:t>
      </w:r>
      <w:r w:rsidRPr="00F552F0">
        <w:rPr>
          <w:sz w:val="22"/>
          <w:szCs w:val="22"/>
        </w:rPr>
        <w:t xml:space="preserve"> Levine</w:t>
      </w:r>
      <w:r w:rsidR="00C8580A" w:rsidRPr="00F552F0">
        <w:rPr>
          <w:sz w:val="22"/>
          <w:szCs w:val="22"/>
        </w:rPr>
        <w:t>,</w:t>
      </w:r>
      <w:r w:rsidRPr="00F552F0">
        <w:rPr>
          <w:sz w:val="22"/>
          <w:szCs w:val="22"/>
        </w:rPr>
        <w:t xml:space="preserve"> 1996; Levine</w:t>
      </w:r>
      <w:r w:rsidR="00C8580A" w:rsidRPr="00F552F0">
        <w:rPr>
          <w:sz w:val="22"/>
          <w:szCs w:val="22"/>
        </w:rPr>
        <w:t>,</w:t>
      </w:r>
      <w:r w:rsidRPr="00F552F0">
        <w:rPr>
          <w:sz w:val="22"/>
          <w:szCs w:val="22"/>
        </w:rPr>
        <w:t xml:space="preserve"> 1996; </w:t>
      </w:r>
      <w:proofErr w:type="spellStart"/>
      <w:r w:rsidR="00F57623" w:rsidRPr="00F552F0">
        <w:rPr>
          <w:sz w:val="22"/>
          <w:szCs w:val="22"/>
        </w:rPr>
        <w:t>Demirguc-Kunt</w:t>
      </w:r>
      <w:proofErr w:type="spellEnd"/>
      <w:r w:rsidR="00F57623" w:rsidRPr="00F552F0">
        <w:rPr>
          <w:sz w:val="22"/>
          <w:szCs w:val="22"/>
        </w:rPr>
        <w:t xml:space="preserve"> </w:t>
      </w:r>
      <w:r w:rsidR="00E82874" w:rsidRPr="00F552F0">
        <w:rPr>
          <w:sz w:val="22"/>
          <w:szCs w:val="22"/>
        </w:rPr>
        <w:t>and</w:t>
      </w:r>
      <w:r w:rsidR="00F57623" w:rsidRPr="00F552F0">
        <w:rPr>
          <w:sz w:val="22"/>
          <w:szCs w:val="22"/>
        </w:rPr>
        <w:t xml:space="preserve"> </w:t>
      </w:r>
      <w:proofErr w:type="spellStart"/>
      <w:r w:rsidR="00F57623" w:rsidRPr="00F552F0">
        <w:rPr>
          <w:sz w:val="22"/>
          <w:szCs w:val="22"/>
        </w:rPr>
        <w:t>Maksimovic</w:t>
      </w:r>
      <w:proofErr w:type="spellEnd"/>
      <w:r w:rsidR="00C8580A" w:rsidRPr="00F552F0">
        <w:rPr>
          <w:sz w:val="22"/>
          <w:szCs w:val="22"/>
        </w:rPr>
        <w:t>,</w:t>
      </w:r>
      <w:r w:rsidR="00F57623" w:rsidRPr="00F552F0">
        <w:rPr>
          <w:sz w:val="22"/>
          <w:szCs w:val="22"/>
        </w:rPr>
        <w:t xml:space="preserve"> 1998; </w:t>
      </w:r>
      <w:r w:rsidRPr="00F552F0">
        <w:rPr>
          <w:sz w:val="22"/>
          <w:szCs w:val="22"/>
        </w:rPr>
        <w:t xml:space="preserve">Levine </w:t>
      </w:r>
      <w:r w:rsidR="00E82874" w:rsidRPr="00F552F0">
        <w:rPr>
          <w:sz w:val="22"/>
          <w:szCs w:val="22"/>
        </w:rPr>
        <w:t>and</w:t>
      </w:r>
      <w:r w:rsidRPr="00F552F0">
        <w:rPr>
          <w:sz w:val="22"/>
          <w:szCs w:val="22"/>
        </w:rPr>
        <w:t xml:space="preserve"> </w:t>
      </w:r>
      <w:proofErr w:type="spellStart"/>
      <w:r w:rsidRPr="00F552F0">
        <w:rPr>
          <w:sz w:val="22"/>
          <w:szCs w:val="22"/>
        </w:rPr>
        <w:t>Zervos</w:t>
      </w:r>
      <w:proofErr w:type="spellEnd"/>
      <w:r w:rsidR="00C8580A" w:rsidRPr="00F552F0">
        <w:rPr>
          <w:sz w:val="22"/>
          <w:szCs w:val="22"/>
        </w:rPr>
        <w:t>,</w:t>
      </w:r>
      <w:r w:rsidRPr="00F552F0">
        <w:rPr>
          <w:sz w:val="22"/>
          <w:szCs w:val="22"/>
        </w:rPr>
        <w:t xml:space="preserve"> 1998; </w:t>
      </w:r>
      <w:proofErr w:type="spellStart"/>
      <w:r w:rsidRPr="00F552F0">
        <w:rPr>
          <w:sz w:val="22"/>
          <w:szCs w:val="22"/>
        </w:rPr>
        <w:t>Rajan</w:t>
      </w:r>
      <w:proofErr w:type="spellEnd"/>
      <w:r w:rsidRPr="00F552F0">
        <w:rPr>
          <w:sz w:val="22"/>
          <w:szCs w:val="22"/>
        </w:rPr>
        <w:t xml:space="preserve"> </w:t>
      </w:r>
      <w:r w:rsidR="00E82874" w:rsidRPr="00F552F0">
        <w:rPr>
          <w:sz w:val="22"/>
          <w:szCs w:val="22"/>
        </w:rPr>
        <w:t>and</w:t>
      </w:r>
      <w:r w:rsidRPr="00F552F0">
        <w:rPr>
          <w:sz w:val="22"/>
          <w:szCs w:val="22"/>
        </w:rPr>
        <w:t xml:space="preserve"> </w:t>
      </w:r>
      <w:proofErr w:type="spellStart"/>
      <w:r w:rsidRPr="00F552F0">
        <w:rPr>
          <w:sz w:val="22"/>
          <w:szCs w:val="22"/>
        </w:rPr>
        <w:t>Zingales</w:t>
      </w:r>
      <w:proofErr w:type="spellEnd"/>
      <w:r w:rsidR="00C8580A" w:rsidRPr="00F552F0">
        <w:rPr>
          <w:sz w:val="22"/>
          <w:szCs w:val="22"/>
        </w:rPr>
        <w:t>,</w:t>
      </w:r>
      <w:r w:rsidRPr="00F552F0">
        <w:rPr>
          <w:sz w:val="22"/>
          <w:szCs w:val="22"/>
        </w:rPr>
        <w:t xml:space="preserve"> 1998; Beck </w:t>
      </w:r>
      <w:r w:rsidR="003D5871" w:rsidRPr="00F552F0">
        <w:rPr>
          <w:sz w:val="22"/>
          <w:szCs w:val="22"/>
        </w:rPr>
        <w:t>et al.</w:t>
      </w:r>
      <w:r w:rsidR="00C8580A" w:rsidRPr="00F552F0">
        <w:rPr>
          <w:sz w:val="22"/>
          <w:szCs w:val="22"/>
        </w:rPr>
        <w:t>,</w:t>
      </w:r>
      <w:r w:rsidRPr="00F552F0">
        <w:rPr>
          <w:sz w:val="22"/>
          <w:szCs w:val="22"/>
        </w:rPr>
        <w:t xml:space="preserve"> 2000; Levine </w:t>
      </w:r>
      <w:r w:rsidR="003D5871" w:rsidRPr="00F552F0">
        <w:rPr>
          <w:sz w:val="22"/>
          <w:szCs w:val="22"/>
        </w:rPr>
        <w:t>et al.</w:t>
      </w:r>
      <w:r w:rsidR="00C8580A" w:rsidRPr="00F552F0">
        <w:rPr>
          <w:sz w:val="22"/>
          <w:szCs w:val="22"/>
        </w:rPr>
        <w:t>,</w:t>
      </w:r>
      <w:r w:rsidRPr="00F552F0">
        <w:rPr>
          <w:sz w:val="22"/>
          <w:szCs w:val="22"/>
        </w:rPr>
        <w:t xml:space="preserve"> 2000; Beck </w:t>
      </w:r>
      <w:r w:rsidR="00E82874" w:rsidRPr="00F552F0">
        <w:rPr>
          <w:sz w:val="22"/>
          <w:szCs w:val="22"/>
        </w:rPr>
        <w:t>and</w:t>
      </w:r>
      <w:r w:rsidRPr="00F552F0">
        <w:rPr>
          <w:sz w:val="22"/>
          <w:szCs w:val="22"/>
        </w:rPr>
        <w:t xml:space="preserve"> Levine</w:t>
      </w:r>
      <w:r w:rsidR="00C8580A" w:rsidRPr="00F552F0">
        <w:rPr>
          <w:sz w:val="22"/>
          <w:szCs w:val="22"/>
        </w:rPr>
        <w:t>,</w:t>
      </w:r>
      <w:r w:rsidRPr="00F552F0">
        <w:rPr>
          <w:sz w:val="22"/>
          <w:szCs w:val="22"/>
        </w:rPr>
        <w:t xml:space="preserve"> 2002). </w:t>
      </w:r>
      <w:proofErr w:type="spellStart"/>
      <w:r w:rsidR="005C58F0" w:rsidRPr="00F552F0">
        <w:rPr>
          <w:sz w:val="22"/>
          <w:szCs w:val="22"/>
        </w:rPr>
        <w:t>Rajan</w:t>
      </w:r>
      <w:proofErr w:type="spellEnd"/>
      <w:r w:rsidR="005C58F0" w:rsidRPr="00F552F0">
        <w:rPr>
          <w:sz w:val="22"/>
          <w:szCs w:val="22"/>
        </w:rPr>
        <w:t xml:space="preserve"> and </w:t>
      </w:r>
      <w:proofErr w:type="spellStart"/>
      <w:r w:rsidR="005C58F0" w:rsidRPr="00F552F0">
        <w:rPr>
          <w:sz w:val="22"/>
          <w:szCs w:val="22"/>
        </w:rPr>
        <w:t>Zingales</w:t>
      </w:r>
      <w:proofErr w:type="spellEnd"/>
      <w:r w:rsidR="005C58F0" w:rsidRPr="00F552F0">
        <w:rPr>
          <w:sz w:val="22"/>
          <w:szCs w:val="22"/>
        </w:rPr>
        <w:t xml:space="preserve"> (2003, 2004), </w:t>
      </w:r>
      <w:r w:rsidR="00EA5CFD" w:rsidRPr="00F552F0">
        <w:rPr>
          <w:sz w:val="22"/>
          <w:szCs w:val="22"/>
        </w:rPr>
        <w:t>noting the</w:t>
      </w:r>
      <w:r w:rsidR="005C58F0" w:rsidRPr="00F552F0">
        <w:rPr>
          <w:sz w:val="22"/>
          <w:szCs w:val="22"/>
        </w:rPr>
        <w:t xml:space="preserve"> persistent financial underdevelopment </w:t>
      </w:r>
      <w:r w:rsidR="00EA5CFD" w:rsidRPr="00F552F0">
        <w:rPr>
          <w:sz w:val="22"/>
          <w:szCs w:val="22"/>
        </w:rPr>
        <w:t>of</w:t>
      </w:r>
      <w:r w:rsidR="005C58F0" w:rsidRPr="00F552F0">
        <w:rPr>
          <w:sz w:val="22"/>
          <w:szCs w:val="22"/>
        </w:rPr>
        <w:t xml:space="preserve"> some </w:t>
      </w:r>
      <w:r w:rsidR="00EA5CFD" w:rsidRPr="00F552F0">
        <w:rPr>
          <w:sz w:val="22"/>
          <w:szCs w:val="22"/>
        </w:rPr>
        <w:t>economies</w:t>
      </w:r>
      <w:r w:rsidR="005C58F0" w:rsidRPr="00F552F0">
        <w:rPr>
          <w:sz w:val="22"/>
          <w:szCs w:val="22"/>
        </w:rPr>
        <w:t xml:space="preserve"> and the full-scale reversal of financial development in others</w:t>
      </w:r>
      <w:r w:rsidR="00EA5CFD" w:rsidRPr="00F552F0">
        <w:rPr>
          <w:sz w:val="22"/>
          <w:szCs w:val="22"/>
        </w:rPr>
        <w:t>,</w:t>
      </w:r>
      <w:r w:rsidR="005C58F0" w:rsidRPr="00F552F0">
        <w:rPr>
          <w:sz w:val="22"/>
          <w:szCs w:val="22"/>
        </w:rPr>
        <w:t xml:space="preserve"> </w:t>
      </w:r>
      <w:r w:rsidR="00F2447A" w:rsidRPr="00F552F0">
        <w:rPr>
          <w:sz w:val="22"/>
          <w:szCs w:val="22"/>
        </w:rPr>
        <w:t>posit</w:t>
      </w:r>
      <w:r w:rsidR="002031AC" w:rsidRPr="00F552F0">
        <w:rPr>
          <w:sz w:val="22"/>
          <w:szCs w:val="22"/>
        </w:rPr>
        <w:t xml:space="preserve"> </w:t>
      </w:r>
      <w:r w:rsidR="00EA5CFD" w:rsidRPr="00F552F0">
        <w:rPr>
          <w:sz w:val="22"/>
          <w:szCs w:val="22"/>
        </w:rPr>
        <w:t xml:space="preserve">the </w:t>
      </w:r>
      <w:r w:rsidR="002031AC" w:rsidRPr="00F552F0">
        <w:rPr>
          <w:sz w:val="22"/>
          <w:szCs w:val="22"/>
        </w:rPr>
        <w:t>“elite capture” of countries</w:t>
      </w:r>
      <w:r w:rsidR="00AC53DA" w:rsidRPr="00F552F0">
        <w:rPr>
          <w:sz w:val="22"/>
          <w:szCs w:val="22"/>
        </w:rPr>
        <w:t>’</w:t>
      </w:r>
      <w:r w:rsidR="002031AC" w:rsidRPr="00F552F0">
        <w:rPr>
          <w:sz w:val="22"/>
          <w:szCs w:val="22"/>
        </w:rPr>
        <w:t xml:space="preserve"> financial systems</w:t>
      </w:r>
      <w:r w:rsidR="005C58F0" w:rsidRPr="00F552F0">
        <w:rPr>
          <w:sz w:val="22"/>
          <w:szCs w:val="22"/>
        </w:rPr>
        <w:t>.</w:t>
      </w:r>
      <w:r w:rsidR="0023208C" w:rsidRPr="00F552F0">
        <w:rPr>
          <w:sz w:val="22"/>
          <w:szCs w:val="22"/>
        </w:rPr>
        <w:t xml:space="preserve"> </w:t>
      </w:r>
      <w:r w:rsidR="005C58F0" w:rsidRPr="00F552F0">
        <w:rPr>
          <w:sz w:val="22"/>
          <w:szCs w:val="22"/>
        </w:rPr>
        <w:t xml:space="preserve">This occurs if </w:t>
      </w:r>
      <w:r w:rsidR="006D1446" w:rsidRPr="00F552F0">
        <w:rPr>
          <w:sz w:val="22"/>
          <w:szCs w:val="22"/>
        </w:rPr>
        <w:t xml:space="preserve">an elite – in this case, </w:t>
      </w:r>
      <w:r w:rsidR="0023208C" w:rsidRPr="00F552F0">
        <w:rPr>
          <w:sz w:val="22"/>
          <w:szCs w:val="22"/>
        </w:rPr>
        <w:t>the already wealthy</w:t>
      </w:r>
      <w:r w:rsidR="006D1446" w:rsidRPr="00F552F0">
        <w:rPr>
          <w:sz w:val="22"/>
          <w:szCs w:val="22"/>
        </w:rPr>
        <w:t xml:space="preserve"> –</w:t>
      </w:r>
      <w:r w:rsidR="005C58F0" w:rsidRPr="00F552F0">
        <w:rPr>
          <w:sz w:val="22"/>
          <w:szCs w:val="22"/>
        </w:rPr>
        <w:t xml:space="preserve"> </w:t>
      </w:r>
      <w:r w:rsidR="00EA5CFD" w:rsidRPr="00F552F0">
        <w:rPr>
          <w:sz w:val="22"/>
          <w:szCs w:val="22"/>
        </w:rPr>
        <w:t xml:space="preserve">attain sufficient control over </w:t>
      </w:r>
      <w:r w:rsidR="00513556" w:rsidRPr="00F552F0">
        <w:rPr>
          <w:sz w:val="22"/>
          <w:szCs w:val="22"/>
        </w:rPr>
        <w:t>an</w:t>
      </w:r>
      <w:r w:rsidR="00EA5CFD" w:rsidRPr="00F552F0">
        <w:rPr>
          <w:sz w:val="22"/>
          <w:szCs w:val="22"/>
        </w:rPr>
        <w:t xml:space="preserve"> economy’s financial sector to skew capital allocation</w:t>
      </w:r>
      <w:r w:rsidR="00953EC2" w:rsidRPr="00F552F0">
        <w:rPr>
          <w:sz w:val="22"/>
          <w:szCs w:val="22"/>
        </w:rPr>
        <w:t xml:space="preserve"> in their favor</w:t>
      </w:r>
      <w:r w:rsidR="00513556" w:rsidRPr="00F552F0">
        <w:rPr>
          <w:sz w:val="22"/>
          <w:szCs w:val="22"/>
        </w:rPr>
        <w:t xml:space="preserve">. </w:t>
      </w:r>
      <w:r w:rsidR="00953EC2" w:rsidRPr="00F552F0">
        <w:rPr>
          <w:sz w:val="22"/>
          <w:szCs w:val="22"/>
        </w:rPr>
        <w:t xml:space="preserve"> </w:t>
      </w:r>
      <w:r w:rsidR="00543DFB" w:rsidRPr="00F552F0">
        <w:rPr>
          <w:sz w:val="22"/>
          <w:szCs w:val="22"/>
        </w:rPr>
        <w:t xml:space="preserve">Elites come in many forms, but </w:t>
      </w:r>
      <w:r w:rsidR="002E0D49" w:rsidRPr="00F552F0">
        <w:rPr>
          <w:sz w:val="22"/>
          <w:szCs w:val="22"/>
        </w:rPr>
        <w:t xml:space="preserve">La </w:t>
      </w:r>
      <w:proofErr w:type="spellStart"/>
      <w:r w:rsidR="002E0D49" w:rsidRPr="00F552F0">
        <w:rPr>
          <w:sz w:val="22"/>
          <w:szCs w:val="22"/>
        </w:rPr>
        <w:t>Porta</w:t>
      </w:r>
      <w:proofErr w:type="spellEnd"/>
      <w:r w:rsidR="002E0D49" w:rsidRPr="00F552F0">
        <w:rPr>
          <w:sz w:val="22"/>
          <w:szCs w:val="22"/>
        </w:rPr>
        <w:t xml:space="preserve"> et al. (1999) show that most large firms in most countries are controlled by wealthy families, so linking “elite” to “business families” makes sense in this first pass investigation.</w:t>
      </w:r>
      <w:r w:rsidR="00513556" w:rsidRPr="00F552F0">
        <w:rPr>
          <w:sz w:val="22"/>
          <w:szCs w:val="22"/>
        </w:rPr>
        <w:t xml:space="preserve"> </w:t>
      </w:r>
      <w:r w:rsidR="00D1076B" w:rsidRPr="00F552F0">
        <w:rPr>
          <w:sz w:val="22"/>
          <w:szCs w:val="22"/>
        </w:rPr>
        <w:t>The ensuing suboptimal capital allocation could substantially retard economic growth (Olson</w:t>
      </w:r>
      <w:r w:rsidR="00C8580A" w:rsidRPr="00F552F0">
        <w:rPr>
          <w:sz w:val="22"/>
          <w:szCs w:val="22"/>
        </w:rPr>
        <w:t>,</w:t>
      </w:r>
      <w:r w:rsidR="00D1076B" w:rsidRPr="00F552F0">
        <w:rPr>
          <w:sz w:val="22"/>
          <w:szCs w:val="22"/>
        </w:rPr>
        <w:t xml:space="preserve"> 1965; </w:t>
      </w:r>
      <w:proofErr w:type="spellStart"/>
      <w:r w:rsidR="00D1076B" w:rsidRPr="00F552F0">
        <w:rPr>
          <w:sz w:val="22"/>
          <w:szCs w:val="22"/>
        </w:rPr>
        <w:t>Acemoglu</w:t>
      </w:r>
      <w:proofErr w:type="spellEnd"/>
      <w:r w:rsidR="00D1076B" w:rsidRPr="00F552F0">
        <w:rPr>
          <w:sz w:val="22"/>
          <w:szCs w:val="22"/>
        </w:rPr>
        <w:t xml:space="preserve">, Johnson </w:t>
      </w:r>
      <w:r w:rsidR="00E82874" w:rsidRPr="00F552F0">
        <w:rPr>
          <w:sz w:val="22"/>
          <w:szCs w:val="22"/>
        </w:rPr>
        <w:t>and</w:t>
      </w:r>
      <w:r w:rsidR="00D1076B" w:rsidRPr="00F552F0">
        <w:rPr>
          <w:sz w:val="22"/>
          <w:szCs w:val="22"/>
        </w:rPr>
        <w:t xml:space="preserve"> Robinson</w:t>
      </w:r>
      <w:r w:rsidR="00C8580A" w:rsidRPr="00F552F0">
        <w:rPr>
          <w:sz w:val="22"/>
          <w:szCs w:val="22"/>
        </w:rPr>
        <w:t>,</w:t>
      </w:r>
      <w:r w:rsidR="00D1076B" w:rsidRPr="00F552F0">
        <w:rPr>
          <w:sz w:val="22"/>
          <w:szCs w:val="22"/>
        </w:rPr>
        <w:t xml:space="preserve"> 2005; </w:t>
      </w:r>
      <w:proofErr w:type="spellStart"/>
      <w:r w:rsidR="00D1076B" w:rsidRPr="00F552F0">
        <w:rPr>
          <w:sz w:val="22"/>
          <w:szCs w:val="22"/>
        </w:rPr>
        <w:t>Morck</w:t>
      </w:r>
      <w:proofErr w:type="spellEnd"/>
      <w:r w:rsidR="00D1076B" w:rsidRPr="00F552F0">
        <w:rPr>
          <w:sz w:val="22"/>
          <w:szCs w:val="22"/>
        </w:rPr>
        <w:t xml:space="preserve">, </w:t>
      </w:r>
      <w:proofErr w:type="spellStart"/>
      <w:r w:rsidR="00D1076B" w:rsidRPr="00F552F0">
        <w:rPr>
          <w:sz w:val="22"/>
          <w:szCs w:val="22"/>
        </w:rPr>
        <w:t>Wolfenzon</w:t>
      </w:r>
      <w:proofErr w:type="spellEnd"/>
      <w:r w:rsidR="00D1076B" w:rsidRPr="00F552F0">
        <w:rPr>
          <w:sz w:val="22"/>
          <w:szCs w:val="22"/>
        </w:rPr>
        <w:t xml:space="preserve"> </w:t>
      </w:r>
      <w:r w:rsidR="00E82874" w:rsidRPr="00F552F0">
        <w:rPr>
          <w:sz w:val="22"/>
          <w:szCs w:val="22"/>
        </w:rPr>
        <w:t>and</w:t>
      </w:r>
      <w:r w:rsidR="00D1076B" w:rsidRPr="00F552F0">
        <w:rPr>
          <w:sz w:val="22"/>
          <w:szCs w:val="22"/>
        </w:rPr>
        <w:t xml:space="preserve"> Yeung</w:t>
      </w:r>
      <w:r w:rsidR="00C8580A" w:rsidRPr="00F552F0">
        <w:rPr>
          <w:sz w:val="22"/>
          <w:szCs w:val="22"/>
        </w:rPr>
        <w:t>,</w:t>
      </w:r>
      <w:r w:rsidR="00D1076B" w:rsidRPr="00F552F0">
        <w:rPr>
          <w:sz w:val="22"/>
          <w:szCs w:val="22"/>
        </w:rPr>
        <w:t xml:space="preserve"> 2005; </w:t>
      </w:r>
      <w:proofErr w:type="spellStart"/>
      <w:r w:rsidR="00D1076B" w:rsidRPr="00F552F0">
        <w:rPr>
          <w:sz w:val="22"/>
          <w:szCs w:val="22"/>
        </w:rPr>
        <w:t>Perotti</w:t>
      </w:r>
      <w:proofErr w:type="spellEnd"/>
      <w:r w:rsidR="00D1076B" w:rsidRPr="00F552F0">
        <w:rPr>
          <w:sz w:val="22"/>
          <w:szCs w:val="22"/>
        </w:rPr>
        <w:t xml:space="preserve"> </w:t>
      </w:r>
      <w:r w:rsidR="00E82874" w:rsidRPr="00F552F0">
        <w:rPr>
          <w:sz w:val="22"/>
          <w:szCs w:val="22"/>
        </w:rPr>
        <w:t>and</w:t>
      </w:r>
      <w:r w:rsidR="00D1076B" w:rsidRPr="00F552F0">
        <w:rPr>
          <w:sz w:val="22"/>
          <w:szCs w:val="22"/>
        </w:rPr>
        <w:t xml:space="preserve"> </w:t>
      </w:r>
      <w:proofErr w:type="spellStart"/>
      <w:r w:rsidR="00D1076B" w:rsidRPr="00F552F0">
        <w:rPr>
          <w:sz w:val="22"/>
          <w:szCs w:val="22"/>
        </w:rPr>
        <w:t>Volpin</w:t>
      </w:r>
      <w:proofErr w:type="spellEnd"/>
      <w:r w:rsidR="00C8580A" w:rsidRPr="00F552F0">
        <w:rPr>
          <w:sz w:val="22"/>
          <w:szCs w:val="22"/>
        </w:rPr>
        <w:t>,</w:t>
      </w:r>
      <w:r w:rsidR="00D1076B" w:rsidRPr="00F552F0">
        <w:rPr>
          <w:sz w:val="22"/>
          <w:szCs w:val="22"/>
        </w:rPr>
        <w:t xml:space="preserve"> 2006; </w:t>
      </w:r>
      <w:proofErr w:type="spellStart"/>
      <w:r w:rsidR="00D1076B" w:rsidRPr="00F552F0">
        <w:rPr>
          <w:sz w:val="22"/>
          <w:szCs w:val="22"/>
        </w:rPr>
        <w:t>Stulz</w:t>
      </w:r>
      <w:proofErr w:type="spellEnd"/>
      <w:r w:rsidR="00C8580A" w:rsidRPr="00F552F0">
        <w:rPr>
          <w:sz w:val="22"/>
          <w:szCs w:val="22"/>
        </w:rPr>
        <w:t>,</w:t>
      </w:r>
      <w:r w:rsidR="00D1076B" w:rsidRPr="00F552F0">
        <w:rPr>
          <w:sz w:val="22"/>
          <w:szCs w:val="22"/>
        </w:rPr>
        <w:t xml:space="preserve"> 2005; </w:t>
      </w:r>
      <w:proofErr w:type="spellStart"/>
      <w:r w:rsidR="00D1076B" w:rsidRPr="00F552F0">
        <w:rPr>
          <w:sz w:val="22"/>
          <w:szCs w:val="22"/>
        </w:rPr>
        <w:t>Fogel</w:t>
      </w:r>
      <w:proofErr w:type="spellEnd"/>
      <w:r w:rsidR="00D1076B" w:rsidRPr="00F552F0">
        <w:rPr>
          <w:sz w:val="22"/>
          <w:szCs w:val="22"/>
        </w:rPr>
        <w:t xml:space="preserve"> et al.</w:t>
      </w:r>
      <w:r w:rsidR="00C8580A" w:rsidRPr="00F552F0">
        <w:rPr>
          <w:sz w:val="22"/>
          <w:szCs w:val="22"/>
        </w:rPr>
        <w:t>,</w:t>
      </w:r>
      <w:r w:rsidR="00D1076B" w:rsidRPr="00F552F0">
        <w:rPr>
          <w:sz w:val="22"/>
          <w:szCs w:val="22"/>
        </w:rPr>
        <w:t xml:space="preserve"> 2008). </w:t>
      </w:r>
      <w:r w:rsidR="001E4697" w:rsidRPr="00F552F0">
        <w:rPr>
          <w:sz w:val="22"/>
        </w:rPr>
        <w:t xml:space="preserve"> </w:t>
      </w:r>
      <w:r w:rsidR="00F2447A" w:rsidRPr="00F552F0">
        <w:rPr>
          <w:sz w:val="22"/>
          <w:szCs w:val="22"/>
        </w:rPr>
        <w:t xml:space="preserve">Consistent with </w:t>
      </w:r>
      <w:r w:rsidR="000E325B" w:rsidRPr="00F552F0">
        <w:rPr>
          <w:sz w:val="22"/>
          <w:szCs w:val="22"/>
        </w:rPr>
        <w:t>elite capture</w:t>
      </w:r>
      <w:r w:rsidR="00F2447A" w:rsidRPr="00F552F0">
        <w:rPr>
          <w:sz w:val="22"/>
          <w:szCs w:val="22"/>
        </w:rPr>
        <w:t xml:space="preserve">, we find less efficient capital allocation amid worse economy performance in countries whose banking systems are more predominantly controlled by wealthy tycoons or business families.  </w:t>
      </w:r>
    </w:p>
    <w:p w:rsidR="00781C69" w:rsidRPr="00F552F0" w:rsidRDefault="00781C69" w:rsidP="001D2881">
      <w:pPr>
        <w:spacing w:line="440" w:lineRule="exact"/>
        <w:jc w:val="both"/>
        <w:rPr>
          <w:sz w:val="22"/>
          <w:szCs w:val="22"/>
        </w:rPr>
      </w:pPr>
      <w:r w:rsidRPr="00F552F0">
        <w:rPr>
          <w:sz w:val="22"/>
          <w:szCs w:val="22"/>
        </w:rPr>
        <w:tab/>
      </w:r>
      <w:proofErr w:type="spellStart"/>
      <w:r w:rsidRPr="00F552F0">
        <w:rPr>
          <w:sz w:val="22"/>
          <w:szCs w:val="22"/>
        </w:rPr>
        <w:t>Caprio</w:t>
      </w:r>
      <w:proofErr w:type="spellEnd"/>
      <w:r w:rsidRPr="00F552F0">
        <w:rPr>
          <w:sz w:val="22"/>
          <w:szCs w:val="22"/>
        </w:rPr>
        <w:t xml:space="preserve"> et al.</w:t>
      </w:r>
      <w:r w:rsidR="009B0368" w:rsidRPr="00F552F0">
        <w:rPr>
          <w:sz w:val="22"/>
          <w:szCs w:val="22"/>
        </w:rPr>
        <w:t xml:space="preserve"> </w:t>
      </w:r>
      <w:r w:rsidRPr="00F552F0">
        <w:rPr>
          <w:sz w:val="22"/>
          <w:szCs w:val="22"/>
        </w:rPr>
        <w:t>(2007) find that banks whose controlling shareholders have large cash flow rights outperform widely held banks. However, a wedge separates efficient bank governance at the bank and economy</w:t>
      </w:r>
      <w:r w:rsidR="007B4E8F" w:rsidRPr="00F552F0">
        <w:rPr>
          <w:sz w:val="22"/>
          <w:szCs w:val="22"/>
        </w:rPr>
        <w:t>-level</w:t>
      </w:r>
      <w:r w:rsidRPr="00F552F0">
        <w:rPr>
          <w:sz w:val="22"/>
          <w:szCs w:val="22"/>
        </w:rPr>
        <w:t>s (Saunders et al.</w:t>
      </w:r>
      <w:r w:rsidR="00C8580A" w:rsidRPr="00F552F0">
        <w:rPr>
          <w:sz w:val="22"/>
          <w:szCs w:val="22"/>
        </w:rPr>
        <w:t>,</w:t>
      </w:r>
      <w:r w:rsidRPr="00F552F0">
        <w:rPr>
          <w:sz w:val="22"/>
          <w:szCs w:val="22"/>
        </w:rPr>
        <w:t xml:space="preserve"> 1990).  For example, aggressively gaming deposit insurance or bailouts might raise bank shareholder value but harm the overall economy, and “excessive” </w:t>
      </w:r>
      <w:r w:rsidR="008311BA" w:rsidRPr="00F552F0">
        <w:rPr>
          <w:sz w:val="22"/>
          <w:szCs w:val="22"/>
        </w:rPr>
        <w:t xml:space="preserve">bank </w:t>
      </w:r>
      <w:r w:rsidRPr="00F552F0">
        <w:rPr>
          <w:sz w:val="22"/>
          <w:szCs w:val="22"/>
        </w:rPr>
        <w:t>CEO risk aversion (Kane</w:t>
      </w:r>
      <w:r w:rsidR="00C8580A" w:rsidRPr="00F552F0">
        <w:rPr>
          <w:sz w:val="22"/>
          <w:szCs w:val="22"/>
        </w:rPr>
        <w:t>,</w:t>
      </w:r>
      <w:r w:rsidRPr="00F552F0">
        <w:rPr>
          <w:sz w:val="22"/>
          <w:szCs w:val="22"/>
        </w:rPr>
        <w:t xml:space="preserve"> 1985; John et al.</w:t>
      </w:r>
      <w:r w:rsidR="00C8580A" w:rsidRPr="00F552F0">
        <w:rPr>
          <w:sz w:val="22"/>
          <w:szCs w:val="22"/>
        </w:rPr>
        <w:t>,</w:t>
      </w:r>
      <w:r w:rsidRPr="00F552F0">
        <w:rPr>
          <w:sz w:val="22"/>
          <w:szCs w:val="22"/>
        </w:rPr>
        <w:t xml:space="preserve"> 2008) that depresses shareholder value might be socially preferable (</w:t>
      </w:r>
      <w:proofErr w:type="spellStart"/>
      <w:r w:rsidRPr="00F552F0">
        <w:rPr>
          <w:sz w:val="22"/>
          <w:szCs w:val="22"/>
        </w:rPr>
        <w:t>Laeven</w:t>
      </w:r>
      <w:proofErr w:type="spellEnd"/>
      <w:r w:rsidRPr="00F552F0">
        <w:rPr>
          <w:sz w:val="22"/>
          <w:szCs w:val="22"/>
        </w:rPr>
        <w:t xml:space="preserve"> </w:t>
      </w:r>
      <w:r w:rsidR="00E82874" w:rsidRPr="00F552F0">
        <w:rPr>
          <w:sz w:val="22"/>
          <w:szCs w:val="22"/>
        </w:rPr>
        <w:t>and</w:t>
      </w:r>
      <w:r w:rsidRPr="00F552F0">
        <w:rPr>
          <w:sz w:val="22"/>
          <w:szCs w:val="22"/>
        </w:rPr>
        <w:t xml:space="preserve"> Levine</w:t>
      </w:r>
      <w:r w:rsidR="00C8580A" w:rsidRPr="00F552F0">
        <w:rPr>
          <w:sz w:val="22"/>
          <w:szCs w:val="22"/>
        </w:rPr>
        <w:t>,</w:t>
      </w:r>
      <w:r w:rsidRPr="00F552F0">
        <w:rPr>
          <w:sz w:val="22"/>
          <w:szCs w:val="22"/>
        </w:rPr>
        <w:t xml:space="preserve"> 2009). Furthermore, loans that finance technology, infrastructure, or other investments with positive spillovers (Jaffe</w:t>
      </w:r>
      <w:r w:rsidR="00C8580A" w:rsidRPr="00F552F0">
        <w:rPr>
          <w:sz w:val="22"/>
          <w:szCs w:val="22"/>
        </w:rPr>
        <w:t>,</w:t>
      </w:r>
      <w:r w:rsidRPr="00F552F0">
        <w:rPr>
          <w:sz w:val="22"/>
          <w:szCs w:val="22"/>
        </w:rPr>
        <w:t xml:space="preserve"> 1986; </w:t>
      </w:r>
      <w:proofErr w:type="spellStart"/>
      <w:r w:rsidRPr="00F552F0">
        <w:rPr>
          <w:sz w:val="22"/>
          <w:szCs w:val="22"/>
        </w:rPr>
        <w:t>Nadiri</w:t>
      </w:r>
      <w:proofErr w:type="spellEnd"/>
      <w:r w:rsidRPr="00F552F0">
        <w:rPr>
          <w:sz w:val="22"/>
          <w:szCs w:val="22"/>
        </w:rPr>
        <w:t xml:space="preserve"> </w:t>
      </w:r>
      <w:r w:rsidR="00E82874" w:rsidRPr="00F552F0">
        <w:rPr>
          <w:sz w:val="22"/>
          <w:szCs w:val="22"/>
        </w:rPr>
        <w:t>and</w:t>
      </w:r>
      <w:r w:rsidRPr="00F552F0">
        <w:rPr>
          <w:sz w:val="22"/>
          <w:szCs w:val="22"/>
        </w:rPr>
        <w:t xml:space="preserve"> </w:t>
      </w:r>
      <w:proofErr w:type="spellStart"/>
      <w:r w:rsidRPr="00F552F0">
        <w:rPr>
          <w:sz w:val="22"/>
          <w:szCs w:val="22"/>
        </w:rPr>
        <w:t>Mamuneas</w:t>
      </w:r>
      <w:proofErr w:type="spellEnd"/>
      <w:r w:rsidR="00C8580A" w:rsidRPr="00F552F0">
        <w:rPr>
          <w:sz w:val="22"/>
          <w:szCs w:val="22"/>
        </w:rPr>
        <w:t>,</w:t>
      </w:r>
      <w:r w:rsidRPr="00F552F0">
        <w:rPr>
          <w:sz w:val="22"/>
          <w:szCs w:val="22"/>
        </w:rPr>
        <w:t xml:space="preserve"> 1994) may augment social welfare even if the borrowers default. Such externalities argue for state-control (Lewis</w:t>
      </w:r>
      <w:r w:rsidR="00C8580A" w:rsidRPr="00F552F0">
        <w:rPr>
          <w:sz w:val="22"/>
          <w:szCs w:val="22"/>
        </w:rPr>
        <w:t>,</w:t>
      </w:r>
      <w:r w:rsidRPr="00F552F0">
        <w:rPr>
          <w:sz w:val="22"/>
          <w:szCs w:val="22"/>
        </w:rPr>
        <w:t xml:space="preserve"> 1950), but empirical work shows “government failure” eclipsing any benefits (</w:t>
      </w:r>
      <w:proofErr w:type="spellStart"/>
      <w:r w:rsidRPr="00F552F0">
        <w:rPr>
          <w:sz w:val="22"/>
          <w:szCs w:val="22"/>
        </w:rPr>
        <w:t>Dornbusch</w:t>
      </w:r>
      <w:proofErr w:type="spellEnd"/>
      <w:r w:rsidRPr="00F552F0">
        <w:rPr>
          <w:sz w:val="22"/>
          <w:szCs w:val="22"/>
        </w:rPr>
        <w:t xml:space="preserve"> </w:t>
      </w:r>
      <w:r w:rsidR="00E82874" w:rsidRPr="00F552F0">
        <w:rPr>
          <w:sz w:val="22"/>
          <w:szCs w:val="22"/>
        </w:rPr>
        <w:t>and</w:t>
      </w:r>
      <w:r w:rsidRPr="00F552F0">
        <w:rPr>
          <w:sz w:val="22"/>
          <w:szCs w:val="22"/>
        </w:rPr>
        <w:t xml:space="preserve"> Edwards</w:t>
      </w:r>
      <w:r w:rsidR="00C8580A" w:rsidRPr="00F552F0">
        <w:rPr>
          <w:sz w:val="22"/>
          <w:szCs w:val="22"/>
        </w:rPr>
        <w:t>,</w:t>
      </w:r>
      <w:r w:rsidRPr="00F552F0">
        <w:rPr>
          <w:sz w:val="22"/>
          <w:szCs w:val="22"/>
        </w:rPr>
        <w:t xml:space="preserve"> 1992; Krueger</w:t>
      </w:r>
      <w:r w:rsidR="00C8580A" w:rsidRPr="00F552F0">
        <w:rPr>
          <w:sz w:val="22"/>
          <w:szCs w:val="22"/>
        </w:rPr>
        <w:t>,</w:t>
      </w:r>
      <w:r w:rsidRPr="00F552F0">
        <w:rPr>
          <w:sz w:val="22"/>
          <w:szCs w:val="22"/>
        </w:rPr>
        <w:t xml:space="preserve"> 2002; La </w:t>
      </w:r>
      <w:proofErr w:type="spellStart"/>
      <w:r w:rsidRPr="00F552F0">
        <w:rPr>
          <w:sz w:val="22"/>
          <w:szCs w:val="22"/>
        </w:rPr>
        <w:t>Porta</w:t>
      </w:r>
      <w:proofErr w:type="spellEnd"/>
      <w:r w:rsidRPr="00F552F0">
        <w:rPr>
          <w:sz w:val="22"/>
          <w:szCs w:val="22"/>
        </w:rPr>
        <w:t xml:space="preserve"> et al.</w:t>
      </w:r>
      <w:r w:rsidR="00C8580A" w:rsidRPr="00F552F0">
        <w:rPr>
          <w:sz w:val="22"/>
          <w:szCs w:val="22"/>
        </w:rPr>
        <w:t>,</w:t>
      </w:r>
      <w:r w:rsidRPr="00F552F0">
        <w:rPr>
          <w:sz w:val="22"/>
          <w:szCs w:val="22"/>
        </w:rPr>
        <w:t xml:space="preserve"> 2002</w:t>
      </w:r>
      <w:r w:rsidR="00863C2F" w:rsidRPr="00F552F0">
        <w:rPr>
          <w:sz w:val="22"/>
          <w:szCs w:val="22"/>
        </w:rPr>
        <w:t>a</w:t>
      </w:r>
      <w:r w:rsidRPr="00F552F0">
        <w:rPr>
          <w:sz w:val="22"/>
          <w:szCs w:val="22"/>
        </w:rPr>
        <w:t xml:space="preserve">; </w:t>
      </w:r>
      <w:proofErr w:type="spellStart"/>
      <w:r w:rsidRPr="00F552F0">
        <w:rPr>
          <w:sz w:val="22"/>
          <w:szCs w:val="22"/>
        </w:rPr>
        <w:t>Dinc</w:t>
      </w:r>
      <w:proofErr w:type="spellEnd"/>
      <w:r w:rsidR="00C8580A" w:rsidRPr="00F552F0">
        <w:rPr>
          <w:sz w:val="22"/>
          <w:szCs w:val="22"/>
        </w:rPr>
        <w:t>,</w:t>
      </w:r>
      <w:r w:rsidRPr="00F552F0">
        <w:rPr>
          <w:sz w:val="22"/>
          <w:szCs w:val="22"/>
        </w:rPr>
        <w:t xml:space="preserve"> 2005). Nonetheless, these considerations make bank-level performance an unreliable indicator of economy-level implications of bank control.     </w:t>
      </w:r>
    </w:p>
    <w:p w:rsidR="00717D39" w:rsidRPr="00F552F0" w:rsidRDefault="00F2447A" w:rsidP="00E56537">
      <w:pPr>
        <w:spacing w:line="440" w:lineRule="exact"/>
        <w:jc w:val="both"/>
        <w:rPr>
          <w:sz w:val="22"/>
          <w:szCs w:val="22"/>
        </w:rPr>
      </w:pPr>
      <w:r w:rsidRPr="00F552F0">
        <w:rPr>
          <w:sz w:val="22"/>
          <w:szCs w:val="22"/>
        </w:rPr>
        <w:lastRenderedPageBreak/>
        <w:tab/>
      </w:r>
      <w:r w:rsidR="007201EB" w:rsidRPr="00F552F0">
        <w:rPr>
          <w:sz w:val="22"/>
          <w:szCs w:val="22"/>
        </w:rPr>
        <w:t xml:space="preserve">The effect of </w:t>
      </w:r>
      <w:r w:rsidR="00513556" w:rsidRPr="00F552F0">
        <w:rPr>
          <w:sz w:val="22"/>
          <w:szCs w:val="22"/>
        </w:rPr>
        <w:t xml:space="preserve">tycoon or </w:t>
      </w:r>
      <w:r w:rsidR="007201EB" w:rsidRPr="00F552F0">
        <w:rPr>
          <w:sz w:val="22"/>
          <w:szCs w:val="22"/>
        </w:rPr>
        <w:t xml:space="preserve">family </w:t>
      </w:r>
      <w:r w:rsidR="00513556" w:rsidRPr="00F552F0">
        <w:rPr>
          <w:sz w:val="22"/>
          <w:szCs w:val="22"/>
        </w:rPr>
        <w:t>control over banks</w:t>
      </w:r>
      <w:r w:rsidR="007201EB" w:rsidRPr="00F552F0">
        <w:rPr>
          <w:sz w:val="22"/>
          <w:szCs w:val="22"/>
        </w:rPr>
        <w:t xml:space="preserve"> on </w:t>
      </w:r>
      <w:r w:rsidR="00781C69" w:rsidRPr="00F552F0">
        <w:rPr>
          <w:sz w:val="22"/>
          <w:szCs w:val="22"/>
        </w:rPr>
        <w:t xml:space="preserve">economy-level </w:t>
      </w:r>
      <w:r w:rsidR="007201EB" w:rsidRPr="00F552F0">
        <w:rPr>
          <w:sz w:val="22"/>
          <w:szCs w:val="22"/>
        </w:rPr>
        <w:t xml:space="preserve">capital allocation efficiency is not </w:t>
      </w:r>
      <w:r w:rsidR="003D5871" w:rsidRPr="00F552F0">
        <w:rPr>
          <w:sz w:val="22"/>
          <w:szCs w:val="22"/>
        </w:rPr>
        <w:t>prima facie</w:t>
      </w:r>
      <w:r w:rsidR="007201EB" w:rsidRPr="00F552F0">
        <w:rPr>
          <w:sz w:val="22"/>
          <w:szCs w:val="22"/>
        </w:rPr>
        <w:t xml:space="preserve"> obvious.  </w:t>
      </w:r>
      <w:r w:rsidR="00EB31DC" w:rsidRPr="00F552F0">
        <w:rPr>
          <w:sz w:val="22"/>
          <w:szCs w:val="22"/>
        </w:rPr>
        <w:t>Schumpeter</w:t>
      </w:r>
      <w:r w:rsidR="00877607" w:rsidRPr="00F552F0">
        <w:rPr>
          <w:sz w:val="22"/>
          <w:szCs w:val="22"/>
        </w:rPr>
        <w:t xml:space="preserve"> (1912)</w:t>
      </w:r>
      <w:r w:rsidR="00EB31DC" w:rsidRPr="00F552F0">
        <w:rPr>
          <w:sz w:val="22"/>
          <w:szCs w:val="22"/>
        </w:rPr>
        <w:t xml:space="preserve"> argues that the</w:t>
      </w:r>
      <w:r w:rsidR="007201EB" w:rsidRPr="00F552F0">
        <w:rPr>
          <w:sz w:val="22"/>
          <w:szCs w:val="22"/>
        </w:rPr>
        <w:t xml:space="preserve"> </w:t>
      </w:r>
      <w:r w:rsidR="00CD5B02" w:rsidRPr="00F552F0">
        <w:rPr>
          <w:sz w:val="22"/>
          <w:szCs w:val="22"/>
        </w:rPr>
        <w:t xml:space="preserve">prospect of founding a </w:t>
      </w:r>
      <w:r w:rsidR="00877607" w:rsidRPr="00F552F0">
        <w:rPr>
          <w:sz w:val="22"/>
          <w:szCs w:val="22"/>
        </w:rPr>
        <w:t xml:space="preserve">private </w:t>
      </w:r>
      <w:r w:rsidR="00CD5B02" w:rsidRPr="00F552F0">
        <w:rPr>
          <w:sz w:val="22"/>
          <w:szCs w:val="22"/>
        </w:rPr>
        <w:t xml:space="preserve">dynasty motivates entrepreneurial effort.  </w:t>
      </w:r>
      <w:r w:rsidR="007201EB" w:rsidRPr="00F552F0">
        <w:rPr>
          <w:sz w:val="22"/>
          <w:szCs w:val="22"/>
        </w:rPr>
        <w:t xml:space="preserve">Shleifer </w:t>
      </w:r>
      <w:r w:rsidR="00E82874" w:rsidRPr="00F552F0">
        <w:rPr>
          <w:sz w:val="22"/>
          <w:szCs w:val="22"/>
        </w:rPr>
        <w:t>and</w:t>
      </w:r>
      <w:r w:rsidR="00BE7518" w:rsidRPr="00F552F0">
        <w:rPr>
          <w:sz w:val="22"/>
          <w:szCs w:val="22"/>
        </w:rPr>
        <w:t xml:space="preserve"> Vishny (1986</w:t>
      </w:r>
      <w:r w:rsidR="007201EB" w:rsidRPr="00F552F0">
        <w:rPr>
          <w:sz w:val="22"/>
          <w:szCs w:val="22"/>
        </w:rPr>
        <w:t xml:space="preserve">) argue that </w:t>
      </w:r>
      <w:r w:rsidR="00EB31DC" w:rsidRPr="00F552F0">
        <w:rPr>
          <w:sz w:val="22"/>
          <w:szCs w:val="22"/>
        </w:rPr>
        <w:t>large</w:t>
      </w:r>
      <w:r w:rsidR="007201EB" w:rsidRPr="00F552F0">
        <w:rPr>
          <w:sz w:val="22"/>
          <w:szCs w:val="22"/>
        </w:rPr>
        <w:t xml:space="preserve"> shareholders limit agency problems (Jensen </w:t>
      </w:r>
      <w:r w:rsidR="00E82874" w:rsidRPr="00F552F0">
        <w:rPr>
          <w:sz w:val="22"/>
          <w:szCs w:val="22"/>
        </w:rPr>
        <w:t>and</w:t>
      </w:r>
      <w:r w:rsidR="007201EB" w:rsidRPr="00F552F0">
        <w:rPr>
          <w:sz w:val="22"/>
          <w:szCs w:val="22"/>
        </w:rPr>
        <w:t xml:space="preserve"> Meckling</w:t>
      </w:r>
      <w:r w:rsidR="00C8580A" w:rsidRPr="00F552F0">
        <w:rPr>
          <w:sz w:val="22"/>
          <w:szCs w:val="22"/>
        </w:rPr>
        <w:t>,</w:t>
      </w:r>
      <w:r w:rsidR="007201EB" w:rsidRPr="00F552F0">
        <w:rPr>
          <w:sz w:val="22"/>
          <w:szCs w:val="22"/>
        </w:rPr>
        <w:t xml:space="preserve"> 1976); and </w:t>
      </w:r>
      <w:r w:rsidR="00513556" w:rsidRPr="00F552F0">
        <w:rPr>
          <w:sz w:val="22"/>
          <w:szCs w:val="22"/>
        </w:rPr>
        <w:t xml:space="preserve">the most common controlling shareholders </w:t>
      </w:r>
      <w:r w:rsidR="007201EB" w:rsidRPr="00F552F0">
        <w:rPr>
          <w:sz w:val="22"/>
          <w:szCs w:val="22"/>
        </w:rPr>
        <w:t xml:space="preserve">in most countries </w:t>
      </w:r>
      <w:r w:rsidR="00513556" w:rsidRPr="00F552F0">
        <w:rPr>
          <w:sz w:val="22"/>
          <w:szCs w:val="22"/>
        </w:rPr>
        <w:t xml:space="preserve">are </w:t>
      </w:r>
      <w:r w:rsidR="007201EB" w:rsidRPr="00F552F0">
        <w:rPr>
          <w:sz w:val="22"/>
          <w:szCs w:val="22"/>
        </w:rPr>
        <w:t xml:space="preserve">wealthy families (La </w:t>
      </w:r>
      <w:proofErr w:type="spellStart"/>
      <w:r w:rsidR="007201EB" w:rsidRPr="00F552F0">
        <w:rPr>
          <w:sz w:val="22"/>
          <w:szCs w:val="22"/>
        </w:rPr>
        <w:t>Porta</w:t>
      </w:r>
      <w:proofErr w:type="spellEnd"/>
      <w:r w:rsidR="007201EB" w:rsidRPr="00F552F0">
        <w:rPr>
          <w:sz w:val="22"/>
          <w:szCs w:val="22"/>
        </w:rPr>
        <w:t xml:space="preserve"> et al.</w:t>
      </w:r>
      <w:r w:rsidR="00C8580A" w:rsidRPr="00F552F0">
        <w:rPr>
          <w:sz w:val="22"/>
          <w:szCs w:val="22"/>
        </w:rPr>
        <w:t>,</w:t>
      </w:r>
      <w:r w:rsidR="007201EB" w:rsidRPr="00F552F0">
        <w:rPr>
          <w:sz w:val="22"/>
          <w:szCs w:val="22"/>
        </w:rPr>
        <w:t xml:space="preserve"> 1999)</w:t>
      </w:r>
      <w:r w:rsidR="00954882" w:rsidRPr="00F552F0">
        <w:rPr>
          <w:sz w:val="22"/>
          <w:szCs w:val="22"/>
        </w:rPr>
        <w:t xml:space="preserve">; and this is also true for banks </w:t>
      </w:r>
      <w:r w:rsidR="007201EB" w:rsidRPr="00F552F0">
        <w:rPr>
          <w:sz w:val="22"/>
          <w:szCs w:val="22"/>
        </w:rPr>
        <w:t>(</w:t>
      </w:r>
      <w:proofErr w:type="spellStart"/>
      <w:r w:rsidR="007201EB" w:rsidRPr="00F552F0">
        <w:rPr>
          <w:sz w:val="22"/>
          <w:szCs w:val="22"/>
        </w:rPr>
        <w:t>Caprio</w:t>
      </w:r>
      <w:proofErr w:type="spellEnd"/>
      <w:r w:rsidR="007201EB" w:rsidRPr="00F552F0">
        <w:rPr>
          <w:sz w:val="22"/>
          <w:szCs w:val="22"/>
        </w:rPr>
        <w:t xml:space="preserve"> et al.</w:t>
      </w:r>
      <w:r w:rsidR="00C8580A" w:rsidRPr="00F552F0">
        <w:rPr>
          <w:sz w:val="22"/>
          <w:szCs w:val="22"/>
        </w:rPr>
        <w:t>,</w:t>
      </w:r>
      <w:r w:rsidR="007201EB" w:rsidRPr="00F552F0">
        <w:rPr>
          <w:sz w:val="22"/>
          <w:szCs w:val="22"/>
        </w:rPr>
        <w:t xml:space="preserve"> 2007). Family control can be a feasible second best</w:t>
      </w:r>
      <w:r w:rsidR="008311BA" w:rsidRPr="00F552F0">
        <w:rPr>
          <w:sz w:val="22"/>
          <w:szCs w:val="22"/>
        </w:rPr>
        <w:t>,</w:t>
      </w:r>
      <w:r w:rsidR="007201EB" w:rsidRPr="00F552F0">
        <w:rPr>
          <w:sz w:val="22"/>
          <w:szCs w:val="22"/>
        </w:rPr>
        <w:t xml:space="preserve"> absent legal systems that protect passive in</w:t>
      </w:r>
      <w:r w:rsidR="00EB31DC" w:rsidRPr="00F552F0">
        <w:rPr>
          <w:sz w:val="22"/>
          <w:szCs w:val="22"/>
        </w:rPr>
        <w:t>vestors (</w:t>
      </w:r>
      <w:proofErr w:type="spellStart"/>
      <w:r w:rsidR="00EB31DC" w:rsidRPr="00F552F0">
        <w:rPr>
          <w:sz w:val="22"/>
          <w:szCs w:val="22"/>
        </w:rPr>
        <w:t>Burkart</w:t>
      </w:r>
      <w:proofErr w:type="spellEnd"/>
      <w:r w:rsidR="00EB31DC" w:rsidRPr="00F552F0">
        <w:rPr>
          <w:sz w:val="22"/>
          <w:szCs w:val="22"/>
        </w:rPr>
        <w:t xml:space="preserve"> et al.</w:t>
      </w:r>
      <w:r w:rsidR="00C8580A" w:rsidRPr="00F552F0">
        <w:rPr>
          <w:sz w:val="22"/>
          <w:szCs w:val="22"/>
        </w:rPr>
        <w:t>,</w:t>
      </w:r>
      <w:r w:rsidR="00EB31DC" w:rsidRPr="00F552F0">
        <w:rPr>
          <w:sz w:val="22"/>
          <w:szCs w:val="22"/>
        </w:rPr>
        <w:t xml:space="preserve"> 2003)</w:t>
      </w:r>
      <w:r w:rsidR="008311BA" w:rsidRPr="00F552F0">
        <w:rPr>
          <w:sz w:val="22"/>
          <w:szCs w:val="22"/>
        </w:rPr>
        <w:t>,</w:t>
      </w:r>
      <w:r w:rsidR="00EB31DC" w:rsidRPr="00F552F0">
        <w:rPr>
          <w:sz w:val="22"/>
          <w:szCs w:val="22"/>
        </w:rPr>
        <w:t xml:space="preserve"> because </w:t>
      </w:r>
      <w:r w:rsidR="007201EB" w:rsidRPr="00F552F0">
        <w:rPr>
          <w:sz w:val="22"/>
          <w:szCs w:val="22"/>
        </w:rPr>
        <w:t>business families might resist predatory governments (</w:t>
      </w:r>
      <w:proofErr w:type="spellStart"/>
      <w:r w:rsidR="007201EB" w:rsidRPr="00F552F0">
        <w:rPr>
          <w:sz w:val="22"/>
          <w:szCs w:val="22"/>
        </w:rPr>
        <w:t>Fisman</w:t>
      </w:r>
      <w:proofErr w:type="spellEnd"/>
      <w:r w:rsidR="007201EB" w:rsidRPr="00F552F0">
        <w:rPr>
          <w:sz w:val="22"/>
          <w:szCs w:val="22"/>
        </w:rPr>
        <w:t xml:space="preserve"> </w:t>
      </w:r>
      <w:r w:rsidR="00E82874" w:rsidRPr="00F552F0">
        <w:rPr>
          <w:sz w:val="22"/>
          <w:szCs w:val="22"/>
        </w:rPr>
        <w:t>and</w:t>
      </w:r>
      <w:r w:rsidR="007201EB" w:rsidRPr="00F552F0">
        <w:rPr>
          <w:sz w:val="22"/>
          <w:szCs w:val="22"/>
        </w:rPr>
        <w:t xml:space="preserve"> </w:t>
      </w:r>
      <w:proofErr w:type="spellStart"/>
      <w:r w:rsidR="007201EB" w:rsidRPr="00F552F0">
        <w:rPr>
          <w:sz w:val="22"/>
          <w:szCs w:val="22"/>
        </w:rPr>
        <w:t>Khanna</w:t>
      </w:r>
      <w:proofErr w:type="spellEnd"/>
      <w:r w:rsidR="00C8580A" w:rsidRPr="00F552F0">
        <w:rPr>
          <w:sz w:val="22"/>
          <w:szCs w:val="22"/>
        </w:rPr>
        <w:t>,</w:t>
      </w:r>
      <w:r w:rsidR="007201EB" w:rsidRPr="00F552F0">
        <w:rPr>
          <w:sz w:val="22"/>
          <w:szCs w:val="22"/>
        </w:rPr>
        <w:t xml:space="preserve"> 2004) or have valuable reputational capital and relationship networks (</w:t>
      </w:r>
      <w:proofErr w:type="spellStart"/>
      <w:r w:rsidR="007201EB" w:rsidRPr="00F552F0">
        <w:rPr>
          <w:sz w:val="22"/>
          <w:szCs w:val="22"/>
        </w:rPr>
        <w:t>Khanna</w:t>
      </w:r>
      <w:proofErr w:type="spellEnd"/>
      <w:r w:rsidR="007201EB" w:rsidRPr="00F552F0">
        <w:rPr>
          <w:sz w:val="22"/>
          <w:szCs w:val="22"/>
        </w:rPr>
        <w:t xml:space="preserve"> </w:t>
      </w:r>
      <w:r w:rsidR="00E82874" w:rsidRPr="00F552F0">
        <w:rPr>
          <w:sz w:val="22"/>
          <w:szCs w:val="22"/>
        </w:rPr>
        <w:t>and</w:t>
      </w:r>
      <w:r w:rsidR="007201EB" w:rsidRPr="00F552F0">
        <w:rPr>
          <w:sz w:val="22"/>
          <w:szCs w:val="22"/>
        </w:rPr>
        <w:t xml:space="preserve"> </w:t>
      </w:r>
      <w:proofErr w:type="spellStart"/>
      <w:r w:rsidR="007201EB" w:rsidRPr="00F552F0">
        <w:rPr>
          <w:sz w:val="22"/>
          <w:szCs w:val="22"/>
        </w:rPr>
        <w:t>Palepu</w:t>
      </w:r>
      <w:proofErr w:type="spellEnd"/>
      <w:r w:rsidR="00C8580A" w:rsidRPr="00F552F0">
        <w:rPr>
          <w:sz w:val="22"/>
          <w:szCs w:val="22"/>
        </w:rPr>
        <w:t>,</w:t>
      </w:r>
      <w:r w:rsidR="00C151B2" w:rsidRPr="00F552F0">
        <w:rPr>
          <w:sz w:val="22"/>
          <w:szCs w:val="22"/>
        </w:rPr>
        <w:t xml:space="preserve"> 2000</w:t>
      </w:r>
      <w:r w:rsidR="007201EB" w:rsidRPr="00F552F0">
        <w:rPr>
          <w:sz w:val="22"/>
          <w:szCs w:val="22"/>
        </w:rPr>
        <w:t xml:space="preserve">; </w:t>
      </w:r>
      <w:proofErr w:type="spellStart"/>
      <w:r w:rsidR="007201EB" w:rsidRPr="00F552F0">
        <w:rPr>
          <w:sz w:val="22"/>
          <w:szCs w:val="22"/>
        </w:rPr>
        <w:t>Khanna</w:t>
      </w:r>
      <w:proofErr w:type="spellEnd"/>
      <w:r w:rsidR="007201EB" w:rsidRPr="00F552F0">
        <w:rPr>
          <w:sz w:val="22"/>
          <w:szCs w:val="22"/>
        </w:rPr>
        <w:t xml:space="preserve"> </w:t>
      </w:r>
      <w:r w:rsidR="00E82874" w:rsidRPr="00F552F0">
        <w:rPr>
          <w:sz w:val="22"/>
          <w:szCs w:val="22"/>
        </w:rPr>
        <w:t>and</w:t>
      </w:r>
      <w:r w:rsidR="007201EB" w:rsidRPr="00F552F0">
        <w:rPr>
          <w:sz w:val="22"/>
          <w:szCs w:val="22"/>
        </w:rPr>
        <w:t xml:space="preserve"> </w:t>
      </w:r>
      <w:proofErr w:type="spellStart"/>
      <w:r w:rsidR="007201EB" w:rsidRPr="00F552F0">
        <w:rPr>
          <w:sz w:val="22"/>
          <w:szCs w:val="22"/>
        </w:rPr>
        <w:t>Yafeh</w:t>
      </w:r>
      <w:proofErr w:type="spellEnd"/>
      <w:r w:rsidR="00C8580A" w:rsidRPr="00F552F0">
        <w:rPr>
          <w:sz w:val="22"/>
          <w:szCs w:val="22"/>
        </w:rPr>
        <w:t>,</w:t>
      </w:r>
      <w:r w:rsidR="007201EB" w:rsidRPr="00F552F0">
        <w:rPr>
          <w:sz w:val="22"/>
          <w:szCs w:val="22"/>
        </w:rPr>
        <w:t xml:space="preserve"> </w:t>
      </w:r>
      <w:r w:rsidR="00C151B2" w:rsidRPr="00F552F0">
        <w:rPr>
          <w:sz w:val="22"/>
          <w:szCs w:val="22"/>
        </w:rPr>
        <w:t xml:space="preserve">2005, </w:t>
      </w:r>
      <w:r w:rsidR="007201EB" w:rsidRPr="00F552F0">
        <w:rPr>
          <w:sz w:val="22"/>
          <w:szCs w:val="22"/>
        </w:rPr>
        <w:t xml:space="preserve">2007). </w:t>
      </w:r>
      <w:r w:rsidR="002D645D" w:rsidRPr="00F552F0">
        <w:rPr>
          <w:sz w:val="22"/>
          <w:szCs w:val="22"/>
        </w:rPr>
        <w:t xml:space="preserve"> </w:t>
      </w:r>
    </w:p>
    <w:p w:rsidR="00567DD4" w:rsidRPr="00F552F0" w:rsidRDefault="00717D39" w:rsidP="00E56537">
      <w:pPr>
        <w:spacing w:line="440" w:lineRule="exact"/>
        <w:jc w:val="both"/>
        <w:rPr>
          <w:sz w:val="22"/>
          <w:szCs w:val="22"/>
        </w:rPr>
      </w:pPr>
      <w:r w:rsidRPr="00F552F0">
        <w:rPr>
          <w:sz w:val="22"/>
          <w:szCs w:val="22"/>
        </w:rPr>
        <w:tab/>
      </w:r>
      <w:r w:rsidR="002D645D" w:rsidRPr="00F552F0">
        <w:rPr>
          <w:sz w:val="22"/>
          <w:szCs w:val="22"/>
        </w:rPr>
        <w:t xml:space="preserve">In most countries, wealthy </w:t>
      </w:r>
      <w:r w:rsidR="00877607" w:rsidRPr="00F552F0">
        <w:rPr>
          <w:sz w:val="22"/>
          <w:szCs w:val="22"/>
        </w:rPr>
        <w:t xml:space="preserve">business </w:t>
      </w:r>
      <w:r w:rsidR="002D645D" w:rsidRPr="00F552F0">
        <w:rPr>
          <w:sz w:val="22"/>
          <w:szCs w:val="22"/>
        </w:rPr>
        <w:t>families use pyramiding, dual class shares, and other control enhancement devices (</w:t>
      </w:r>
      <w:proofErr w:type="spellStart"/>
      <w:r w:rsidR="002D645D" w:rsidRPr="00F552F0">
        <w:rPr>
          <w:sz w:val="22"/>
          <w:szCs w:val="22"/>
        </w:rPr>
        <w:t>Bebchuk</w:t>
      </w:r>
      <w:proofErr w:type="spellEnd"/>
      <w:r w:rsidR="002D645D" w:rsidRPr="00F552F0">
        <w:rPr>
          <w:sz w:val="22"/>
          <w:szCs w:val="22"/>
        </w:rPr>
        <w:t xml:space="preserve"> et al.</w:t>
      </w:r>
      <w:r w:rsidR="00C8580A" w:rsidRPr="00F552F0">
        <w:rPr>
          <w:sz w:val="22"/>
          <w:szCs w:val="22"/>
        </w:rPr>
        <w:t>,</w:t>
      </w:r>
      <w:r w:rsidR="002D645D" w:rsidRPr="00F552F0">
        <w:rPr>
          <w:sz w:val="22"/>
          <w:szCs w:val="22"/>
        </w:rPr>
        <w:t xml:space="preserve"> 2000) to direct large “business groups”, each containing many listed firms (La </w:t>
      </w:r>
      <w:proofErr w:type="spellStart"/>
      <w:r w:rsidR="002D645D" w:rsidRPr="00F552F0">
        <w:rPr>
          <w:sz w:val="22"/>
          <w:szCs w:val="22"/>
        </w:rPr>
        <w:t>Porta</w:t>
      </w:r>
      <w:proofErr w:type="spellEnd"/>
      <w:r w:rsidR="002D645D" w:rsidRPr="00F552F0">
        <w:rPr>
          <w:sz w:val="22"/>
          <w:szCs w:val="22"/>
        </w:rPr>
        <w:t xml:space="preserve"> et al.</w:t>
      </w:r>
      <w:r w:rsidR="00C8580A" w:rsidRPr="00F552F0">
        <w:rPr>
          <w:sz w:val="22"/>
          <w:szCs w:val="22"/>
        </w:rPr>
        <w:t>,</w:t>
      </w:r>
      <w:r w:rsidR="002D645D" w:rsidRPr="00F552F0">
        <w:rPr>
          <w:sz w:val="22"/>
          <w:szCs w:val="22"/>
        </w:rPr>
        <w:t xml:space="preserve"> 1999; </w:t>
      </w:r>
      <w:proofErr w:type="spellStart"/>
      <w:r w:rsidR="002D645D" w:rsidRPr="00F552F0">
        <w:rPr>
          <w:sz w:val="22"/>
          <w:szCs w:val="22"/>
        </w:rPr>
        <w:t>Morck</w:t>
      </w:r>
      <w:proofErr w:type="spellEnd"/>
      <w:r w:rsidR="002D645D" w:rsidRPr="00F552F0">
        <w:rPr>
          <w:sz w:val="22"/>
          <w:szCs w:val="22"/>
        </w:rPr>
        <w:t xml:space="preserve">, </w:t>
      </w:r>
      <w:proofErr w:type="spellStart"/>
      <w:r w:rsidR="002D645D" w:rsidRPr="00F552F0">
        <w:rPr>
          <w:sz w:val="22"/>
          <w:szCs w:val="22"/>
        </w:rPr>
        <w:t>Stangeland</w:t>
      </w:r>
      <w:proofErr w:type="spellEnd"/>
      <w:r w:rsidR="002D645D" w:rsidRPr="00F552F0">
        <w:rPr>
          <w:sz w:val="22"/>
          <w:szCs w:val="22"/>
        </w:rPr>
        <w:t xml:space="preserve"> </w:t>
      </w:r>
      <w:r w:rsidR="00E82874" w:rsidRPr="00F552F0">
        <w:rPr>
          <w:sz w:val="22"/>
          <w:szCs w:val="22"/>
        </w:rPr>
        <w:t>and</w:t>
      </w:r>
      <w:r w:rsidR="002D645D" w:rsidRPr="00F552F0">
        <w:rPr>
          <w:sz w:val="22"/>
          <w:szCs w:val="22"/>
        </w:rPr>
        <w:t xml:space="preserve"> Yeung</w:t>
      </w:r>
      <w:r w:rsidR="00C8580A" w:rsidRPr="00F552F0">
        <w:rPr>
          <w:sz w:val="22"/>
          <w:szCs w:val="22"/>
        </w:rPr>
        <w:t>,</w:t>
      </w:r>
      <w:r w:rsidR="002D645D" w:rsidRPr="00F552F0">
        <w:rPr>
          <w:sz w:val="22"/>
          <w:szCs w:val="22"/>
        </w:rPr>
        <w:t xml:space="preserve"> 2000) in many different industries (Khanna et al.</w:t>
      </w:r>
      <w:r w:rsidR="00C8580A" w:rsidRPr="00F552F0">
        <w:rPr>
          <w:sz w:val="22"/>
          <w:szCs w:val="22"/>
        </w:rPr>
        <w:t>,</w:t>
      </w:r>
      <w:r w:rsidR="002D645D" w:rsidRPr="00F552F0">
        <w:rPr>
          <w:sz w:val="22"/>
          <w:szCs w:val="22"/>
        </w:rPr>
        <w:t xml:space="preserve"> 2000; </w:t>
      </w:r>
      <w:proofErr w:type="spellStart"/>
      <w:r w:rsidR="002D645D" w:rsidRPr="00F552F0">
        <w:rPr>
          <w:sz w:val="22"/>
          <w:szCs w:val="22"/>
        </w:rPr>
        <w:t>Khanna</w:t>
      </w:r>
      <w:proofErr w:type="spellEnd"/>
      <w:r w:rsidR="002D645D" w:rsidRPr="00F552F0">
        <w:rPr>
          <w:sz w:val="22"/>
          <w:szCs w:val="22"/>
        </w:rPr>
        <w:t xml:space="preserve"> and </w:t>
      </w:r>
      <w:proofErr w:type="spellStart"/>
      <w:r w:rsidR="002D645D" w:rsidRPr="00F552F0">
        <w:rPr>
          <w:sz w:val="22"/>
          <w:szCs w:val="22"/>
        </w:rPr>
        <w:t>Palepu</w:t>
      </w:r>
      <w:proofErr w:type="spellEnd"/>
      <w:r w:rsidR="00C8580A" w:rsidRPr="00F552F0">
        <w:rPr>
          <w:sz w:val="22"/>
          <w:szCs w:val="22"/>
        </w:rPr>
        <w:t>,</w:t>
      </w:r>
      <w:r w:rsidR="00C151B2" w:rsidRPr="00F552F0">
        <w:rPr>
          <w:sz w:val="22"/>
          <w:szCs w:val="22"/>
        </w:rPr>
        <w:t xml:space="preserve"> 2000</w:t>
      </w:r>
      <w:r w:rsidR="002D645D" w:rsidRPr="00F552F0">
        <w:rPr>
          <w:sz w:val="22"/>
          <w:szCs w:val="22"/>
        </w:rPr>
        <w:t xml:space="preserve">; </w:t>
      </w:r>
      <w:proofErr w:type="spellStart"/>
      <w:r w:rsidR="002D645D" w:rsidRPr="00F552F0">
        <w:rPr>
          <w:sz w:val="22"/>
          <w:szCs w:val="22"/>
        </w:rPr>
        <w:t>Khanna</w:t>
      </w:r>
      <w:proofErr w:type="spellEnd"/>
      <w:r w:rsidR="002D645D" w:rsidRPr="00F552F0">
        <w:rPr>
          <w:sz w:val="22"/>
          <w:szCs w:val="22"/>
        </w:rPr>
        <w:t xml:space="preserve"> and </w:t>
      </w:r>
      <w:proofErr w:type="spellStart"/>
      <w:r w:rsidR="002D645D" w:rsidRPr="00F552F0">
        <w:rPr>
          <w:sz w:val="22"/>
          <w:szCs w:val="22"/>
        </w:rPr>
        <w:t>Rivkin</w:t>
      </w:r>
      <w:proofErr w:type="spellEnd"/>
      <w:r w:rsidR="00C8580A" w:rsidRPr="00F552F0">
        <w:rPr>
          <w:sz w:val="22"/>
          <w:szCs w:val="22"/>
        </w:rPr>
        <w:t>,</w:t>
      </w:r>
      <w:r w:rsidR="002D645D" w:rsidRPr="00F552F0">
        <w:rPr>
          <w:sz w:val="22"/>
          <w:szCs w:val="22"/>
        </w:rPr>
        <w:t xml:space="preserve"> 2001; </w:t>
      </w:r>
      <w:proofErr w:type="spellStart"/>
      <w:r w:rsidR="002D645D" w:rsidRPr="00F552F0">
        <w:rPr>
          <w:sz w:val="22"/>
          <w:szCs w:val="22"/>
        </w:rPr>
        <w:t>Khanna</w:t>
      </w:r>
      <w:proofErr w:type="spellEnd"/>
      <w:r w:rsidR="002D645D" w:rsidRPr="00F552F0">
        <w:rPr>
          <w:sz w:val="22"/>
          <w:szCs w:val="22"/>
        </w:rPr>
        <w:t xml:space="preserve"> and </w:t>
      </w:r>
      <w:proofErr w:type="spellStart"/>
      <w:r w:rsidR="002D645D" w:rsidRPr="00F552F0">
        <w:rPr>
          <w:sz w:val="22"/>
          <w:szCs w:val="22"/>
        </w:rPr>
        <w:t>Yafeh</w:t>
      </w:r>
      <w:proofErr w:type="spellEnd"/>
      <w:r w:rsidR="00C8580A" w:rsidRPr="00F552F0">
        <w:rPr>
          <w:sz w:val="22"/>
          <w:szCs w:val="22"/>
        </w:rPr>
        <w:t>,</w:t>
      </w:r>
      <w:r w:rsidR="002D645D" w:rsidRPr="00F552F0">
        <w:rPr>
          <w:sz w:val="22"/>
          <w:szCs w:val="22"/>
        </w:rPr>
        <w:t xml:space="preserve"> </w:t>
      </w:r>
      <w:r w:rsidR="00C151B2" w:rsidRPr="00F552F0">
        <w:rPr>
          <w:sz w:val="22"/>
          <w:szCs w:val="22"/>
        </w:rPr>
        <w:t xml:space="preserve">2005, </w:t>
      </w:r>
      <w:r w:rsidR="002D645D" w:rsidRPr="00F552F0">
        <w:rPr>
          <w:sz w:val="22"/>
          <w:szCs w:val="22"/>
        </w:rPr>
        <w:t xml:space="preserve">2007). Morck </w:t>
      </w:r>
      <w:r w:rsidR="00E82874" w:rsidRPr="00F552F0">
        <w:rPr>
          <w:sz w:val="22"/>
          <w:szCs w:val="22"/>
        </w:rPr>
        <w:t>and</w:t>
      </w:r>
      <w:r w:rsidR="002D645D" w:rsidRPr="00F552F0">
        <w:rPr>
          <w:sz w:val="22"/>
          <w:szCs w:val="22"/>
        </w:rPr>
        <w:t xml:space="preserve"> Nakamura (2007) use Meiji Japan to illustrate how large family-controlled business groups might effect “big push” industrialization (Rosenstein-</w:t>
      </w:r>
      <w:proofErr w:type="spellStart"/>
      <w:r w:rsidR="002D645D" w:rsidRPr="00F552F0">
        <w:rPr>
          <w:sz w:val="22"/>
          <w:szCs w:val="22"/>
        </w:rPr>
        <w:t>Rodan</w:t>
      </w:r>
      <w:proofErr w:type="spellEnd"/>
      <w:r w:rsidR="00C8580A" w:rsidRPr="00F552F0">
        <w:rPr>
          <w:sz w:val="22"/>
          <w:szCs w:val="22"/>
        </w:rPr>
        <w:t>,</w:t>
      </w:r>
      <w:r w:rsidR="002D645D" w:rsidRPr="00F552F0">
        <w:rPr>
          <w:sz w:val="22"/>
          <w:szCs w:val="22"/>
        </w:rPr>
        <w:t xml:space="preserve"> 1943; Murphy et al.</w:t>
      </w:r>
      <w:r w:rsidR="00C8580A" w:rsidRPr="00F552F0">
        <w:rPr>
          <w:sz w:val="22"/>
          <w:szCs w:val="22"/>
        </w:rPr>
        <w:t>,</w:t>
      </w:r>
      <w:r w:rsidR="002D645D" w:rsidRPr="00F552F0">
        <w:rPr>
          <w:sz w:val="22"/>
          <w:szCs w:val="22"/>
        </w:rPr>
        <w:t xml:space="preserve"> 1989) using “tunneling” (Johnson et al.</w:t>
      </w:r>
      <w:r w:rsidR="00C8580A" w:rsidRPr="00F552F0">
        <w:rPr>
          <w:sz w:val="22"/>
          <w:szCs w:val="22"/>
        </w:rPr>
        <w:t>,</w:t>
      </w:r>
      <w:r w:rsidR="002D645D" w:rsidRPr="00F552F0">
        <w:rPr>
          <w:sz w:val="22"/>
          <w:szCs w:val="22"/>
        </w:rPr>
        <w:t xml:space="preserve"> 2000) to coordinate capital investment and orchest</w:t>
      </w:r>
      <w:r w:rsidR="00CD5B02" w:rsidRPr="00F552F0">
        <w:rPr>
          <w:sz w:val="22"/>
          <w:szCs w:val="22"/>
        </w:rPr>
        <w:t xml:space="preserve">rate cross-industry subsidies, </w:t>
      </w:r>
      <w:r w:rsidR="002D645D" w:rsidRPr="00F552F0">
        <w:rPr>
          <w:sz w:val="22"/>
          <w:szCs w:val="22"/>
        </w:rPr>
        <w:t xml:space="preserve">as an idealized central planner would.  </w:t>
      </w:r>
      <w:r w:rsidR="007E42CD" w:rsidRPr="00F552F0">
        <w:rPr>
          <w:sz w:val="22"/>
          <w:szCs w:val="22"/>
        </w:rPr>
        <w:t xml:space="preserve">All </w:t>
      </w:r>
      <w:r w:rsidR="00591AA1" w:rsidRPr="00F552F0">
        <w:rPr>
          <w:sz w:val="22"/>
          <w:szCs w:val="22"/>
        </w:rPr>
        <w:t>else equal, t</w:t>
      </w:r>
      <w:r w:rsidR="007E42CD" w:rsidRPr="00F552F0">
        <w:rPr>
          <w:sz w:val="22"/>
          <w:szCs w:val="22"/>
        </w:rPr>
        <w:t xml:space="preserve">hese explanations point to more efficient capital allocation in countries whose banking systems are more thoroughly controlled by tycoons or business families.  </w:t>
      </w:r>
    </w:p>
    <w:p w:rsidR="00567DD4" w:rsidRPr="00F552F0" w:rsidRDefault="00877607" w:rsidP="00E56537">
      <w:pPr>
        <w:spacing w:line="440" w:lineRule="exact"/>
        <w:jc w:val="both"/>
        <w:rPr>
          <w:sz w:val="22"/>
          <w:szCs w:val="22"/>
        </w:rPr>
      </w:pPr>
      <w:r w:rsidRPr="00F552F0">
        <w:rPr>
          <w:sz w:val="22"/>
          <w:szCs w:val="22"/>
        </w:rPr>
        <w:tab/>
      </w:r>
      <w:r w:rsidR="007E42CD" w:rsidRPr="00F552F0">
        <w:rPr>
          <w:sz w:val="22"/>
          <w:szCs w:val="22"/>
        </w:rPr>
        <w:t>In opposition to these stand several less</w:t>
      </w:r>
      <w:r w:rsidRPr="00F552F0">
        <w:rPr>
          <w:sz w:val="22"/>
          <w:szCs w:val="22"/>
        </w:rPr>
        <w:t xml:space="preserve"> </w:t>
      </w:r>
      <w:r w:rsidR="00781C69" w:rsidRPr="00F552F0">
        <w:rPr>
          <w:sz w:val="22"/>
          <w:szCs w:val="22"/>
        </w:rPr>
        <w:t xml:space="preserve">beneficent </w:t>
      </w:r>
      <w:r w:rsidR="00A96BC4" w:rsidRPr="00F552F0">
        <w:rPr>
          <w:sz w:val="22"/>
          <w:szCs w:val="22"/>
        </w:rPr>
        <w:t>explanations of family control</w:t>
      </w:r>
      <w:r w:rsidR="007E42CD" w:rsidRPr="00F552F0">
        <w:rPr>
          <w:sz w:val="22"/>
          <w:szCs w:val="22"/>
        </w:rPr>
        <w:t xml:space="preserve"> over countries’ banking systems. </w:t>
      </w:r>
      <w:r w:rsidR="00A96BC4" w:rsidRPr="00F552F0">
        <w:rPr>
          <w:sz w:val="22"/>
          <w:szCs w:val="22"/>
        </w:rPr>
        <w:t>Family-controlled banks might pass from talented founders to less able heirs</w:t>
      </w:r>
      <w:r w:rsidR="00567DD4" w:rsidRPr="00F552F0">
        <w:rPr>
          <w:sz w:val="22"/>
          <w:szCs w:val="22"/>
        </w:rPr>
        <w:t xml:space="preserve"> (</w:t>
      </w:r>
      <w:proofErr w:type="spellStart"/>
      <w:r w:rsidR="00567DD4" w:rsidRPr="00F552F0">
        <w:rPr>
          <w:sz w:val="22"/>
          <w:szCs w:val="22"/>
        </w:rPr>
        <w:t>Morck</w:t>
      </w:r>
      <w:proofErr w:type="spellEnd"/>
      <w:r w:rsidR="00567DD4" w:rsidRPr="00F552F0">
        <w:rPr>
          <w:sz w:val="22"/>
          <w:szCs w:val="22"/>
        </w:rPr>
        <w:t xml:space="preserve">, </w:t>
      </w:r>
      <w:proofErr w:type="spellStart"/>
      <w:r w:rsidR="00567DD4" w:rsidRPr="00F552F0">
        <w:rPr>
          <w:sz w:val="22"/>
          <w:szCs w:val="22"/>
        </w:rPr>
        <w:t>Stangeland</w:t>
      </w:r>
      <w:proofErr w:type="spellEnd"/>
      <w:r w:rsidR="00567DD4" w:rsidRPr="00F552F0">
        <w:rPr>
          <w:sz w:val="22"/>
          <w:szCs w:val="22"/>
        </w:rPr>
        <w:t xml:space="preserve"> </w:t>
      </w:r>
      <w:r w:rsidR="00E82874" w:rsidRPr="00F552F0">
        <w:rPr>
          <w:sz w:val="22"/>
          <w:szCs w:val="22"/>
        </w:rPr>
        <w:t>and</w:t>
      </w:r>
      <w:r w:rsidR="00567DD4" w:rsidRPr="00F552F0">
        <w:rPr>
          <w:sz w:val="22"/>
          <w:szCs w:val="22"/>
        </w:rPr>
        <w:t xml:space="preserve"> Yeung, 2000; Smith and Amoako-Adu</w:t>
      </w:r>
      <w:r w:rsidR="00C8580A" w:rsidRPr="00F552F0">
        <w:rPr>
          <w:sz w:val="22"/>
          <w:szCs w:val="22"/>
        </w:rPr>
        <w:t>,</w:t>
      </w:r>
      <w:r w:rsidR="00567DD4" w:rsidRPr="00F552F0">
        <w:rPr>
          <w:sz w:val="22"/>
          <w:szCs w:val="22"/>
        </w:rPr>
        <w:t xml:space="preserve"> </w:t>
      </w:r>
      <w:r w:rsidR="00D9438F" w:rsidRPr="00F552F0">
        <w:rPr>
          <w:sz w:val="22"/>
          <w:szCs w:val="22"/>
        </w:rPr>
        <w:t>2005</w:t>
      </w:r>
      <w:r w:rsidR="00567DD4" w:rsidRPr="00F552F0">
        <w:rPr>
          <w:sz w:val="22"/>
          <w:szCs w:val="22"/>
        </w:rPr>
        <w:t>; Perez</w:t>
      </w:r>
      <w:r w:rsidR="0049138A" w:rsidRPr="00F552F0">
        <w:rPr>
          <w:sz w:val="22"/>
          <w:szCs w:val="22"/>
        </w:rPr>
        <w:t>-</w:t>
      </w:r>
      <w:r w:rsidR="00567DD4" w:rsidRPr="00F552F0">
        <w:rPr>
          <w:sz w:val="22"/>
          <w:szCs w:val="22"/>
        </w:rPr>
        <w:t>Gonzales</w:t>
      </w:r>
      <w:r w:rsidR="00C8580A" w:rsidRPr="00F552F0">
        <w:rPr>
          <w:sz w:val="22"/>
          <w:szCs w:val="22"/>
        </w:rPr>
        <w:t>,</w:t>
      </w:r>
      <w:r w:rsidR="00567DD4" w:rsidRPr="00F552F0">
        <w:rPr>
          <w:sz w:val="22"/>
          <w:szCs w:val="22"/>
        </w:rPr>
        <w:t xml:space="preserve"> </w:t>
      </w:r>
      <w:r w:rsidR="00D9438F" w:rsidRPr="00F552F0">
        <w:rPr>
          <w:sz w:val="22"/>
          <w:szCs w:val="22"/>
        </w:rPr>
        <w:t>2006</w:t>
      </w:r>
      <w:r w:rsidR="00567DD4" w:rsidRPr="00F552F0">
        <w:rPr>
          <w:sz w:val="22"/>
          <w:szCs w:val="22"/>
        </w:rPr>
        <w:t>; Bennedsen et al.</w:t>
      </w:r>
      <w:r w:rsidR="00C8580A" w:rsidRPr="00F552F0">
        <w:rPr>
          <w:sz w:val="22"/>
          <w:szCs w:val="22"/>
        </w:rPr>
        <w:t>,</w:t>
      </w:r>
      <w:r w:rsidR="00567DD4" w:rsidRPr="00F552F0">
        <w:rPr>
          <w:sz w:val="22"/>
          <w:szCs w:val="22"/>
        </w:rPr>
        <w:t xml:space="preserve"> </w:t>
      </w:r>
      <w:r w:rsidR="00D9438F" w:rsidRPr="00F552F0">
        <w:rPr>
          <w:sz w:val="22"/>
          <w:szCs w:val="22"/>
        </w:rPr>
        <w:t>200</w:t>
      </w:r>
      <w:r w:rsidR="00863C2F" w:rsidRPr="00F552F0">
        <w:rPr>
          <w:sz w:val="22"/>
          <w:szCs w:val="22"/>
        </w:rPr>
        <w:t>7</w:t>
      </w:r>
      <w:r w:rsidR="00567DD4" w:rsidRPr="00F552F0">
        <w:rPr>
          <w:sz w:val="22"/>
          <w:szCs w:val="22"/>
        </w:rPr>
        <w:t>)</w:t>
      </w:r>
      <w:r w:rsidR="00A96BC4" w:rsidRPr="00F552F0">
        <w:rPr>
          <w:sz w:val="22"/>
          <w:szCs w:val="22"/>
        </w:rPr>
        <w:t>, or might elicit reduced effort from employees who know top positions are reserved for family</w:t>
      </w:r>
      <w:r w:rsidR="00567DD4" w:rsidRPr="00F552F0">
        <w:rPr>
          <w:sz w:val="22"/>
          <w:szCs w:val="22"/>
        </w:rPr>
        <w:t xml:space="preserve"> (</w:t>
      </w:r>
      <w:proofErr w:type="spellStart"/>
      <w:r w:rsidR="00D9438F" w:rsidRPr="00F552F0">
        <w:rPr>
          <w:sz w:val="22"/>
          <w:szCs w:val="22"/>
        </w:rPr>
        <w:t>Aronoff</w:t>
      </w:r>
      <w:proofErr w:type="spellEnd"/>
      <w:r w:rsidR="00D9438F" w:rsidRPr="00F552F0">
        <w:rPr>
          <w:sz w:val="22"/>
          <w:szCs w:val="22"/>
        </w:rPr>
        <w:t xml:space="preserve"> and Ward, 2000).</w:t>
      </w:r>
      <w:r w:rsidR="007E42CD" w:rsidRPr="00F552F0">
        <w:rPr>
          <w:sz w:val="22"/>
          <w:szCs w:val="22"/>
        </w:rPr>
        <w:t xml:space="preserve"> </w:t>
      </w:r>
      <w:r w:rsidR="00567DD4" w:rsidRPr="00F552F0">
        <w:rPr>
          <w:sz w:val="22"/>
          <w:szCs w:val="22"/>
        </w:rPr>
        <w:t>Large shareholders can become entrenched (Morck et al.</w:t>
      </w:r>
      <w:r w:rsidR="00C8580A" w:rsidRPr="00F552F0">
        <w:rPr>
          <w:sz w:val="22"/>
          <w:szCs w:val="22"/>
        </w:rPr>
        <w:t>,</w:t>
      </w:r>
      <w:r w:rsidR="00567DD4" w:rsidRPr="00F552F0">
        <w:rPr>
          <w:sz w:val="22"/>
          <w:szCs w:val="22"/>
        </w:rPr>
        <w:t xml:space="preserve"> 1988; </w:t>
      </w:r>
      <w:proofErr w:type="spellStart"/>
      <w:r w:rsidR="00567DD4" w:rsidRPr="00F552F0">
        <w:rPr>
          <w:sz w:val="22"/>
          <w:szCs w:val="22"/>
        </w:rPr>
        <w:t>Stulz</w:t>
      </w:r>
      <w:proofErr w:type="spellEnd"/>
      <w:r w:rsidR="00C8580A" w:rsidRPr="00F552F0">
        <w:rPr>
          <w:sz w:val="22"/>
          <w:szCs w:val="22"/>
        </w:rPr>
        <w:t>,</w:t>
      </w:r>
      <w:r w:rsidR="00567DD4" w:rsidRPr="00F552F0">
        <w:rPr>
          <w:sz w:val="22"/>
          <w:szCs w:val="22"/>
        </w:rPr>
        <w:t xml:space="preserve"> 1988), extract private benefits of control (</w:t>
      </w:r>
      <w:proofErr w:type="spellStart"/>
      <w:r w:rsidR="00567DD4" w:rsidRPr="00F552F0">
        <w:rPr>
          <w:sz w:val="22"/>
          <w:szCs w:val="22"/>
        </w:rPr>
        <w:t>Nenova</w:t>
      </w:r>
      <w:proofErr w:type="spellEnd"/>
      <w:r w:rsidR="00C8580A" w:rsidRPr="00F552F0">
        <w:rPr>
          <w:sz w:val="22"/>
          <w:szCs w:val="22"/>
        </w:rPr>
        <w:t>,</w:t>
      </w:r>
      <w:r w:rsidR="00567DD4" w:rsidRPr="00F552F0">
        <w:rPr>
          <w:sz w:val="22"/>
          <w:szCs w:val="22"/>
        </w:rPr>
        <w:t xml:space="preserve"> 2003; </w:t>
      </w:r>
      <w:proofErr w:type="spellStart"/>
      <w:r w:rsidR="00567DD4" w:rsidRPr="00F552F0">
        <w:rPr>
          <w:sz w:val="22"/>
          <w:szCs w:val="22"/>
        </w:rPr>
        <w:t>Dyck</w:t>
      </w:r>
      <w:proofErr w:type="spellEnd"/>
      <w:r w:rsidR="00567DD4" w:rsidRPr="00F552F0">
        <w:rPr>
          <w:sz w:val="22"/>
          <w:szCs w:val="22"/>
        </w:rPr>
        <w:t xml:space="preserve"> </w:t>
      </w:r>
      <w:r w:rsidR="00E82874" w:rsidRPr="00F552F0">
        <w:rPr>
          <w:sz w:val="22"/>
          <w:szCs w:val="22"/>
        </w:rPr>
        <w:t>and</w:t>
      </w:r>
      <w:r w:rsidR="00567DD4" w:rsidRPr="00F552F0">
        <w:rPr>
          <w:sz w:val="22"/>
          <w:szCs w:val="22"/>
        </w:rPr>
        <w:t xml:space="preserve"> </w:t>
      </w:r>
      <w:proofErr w:type="spellStart"/>
      <w:r w:rsidR="00567DD4" w:rsidRPr="00F552F0">
        <w:rPr>
          <w:sz w:val="22"/>
          <w:szCs w:val="22"/>
        </w:rPr>
        <w:t>Zingales</w:t>
      </w:r>
      <w:proofErr w:type="spellEnd"/>
      <w:r w:rsidR="00C8580A" w:rsidRPr="00F552F0">
        <w:rPr>
          <w:sz w:val="22"/>
          <w:szCs w:val="22"/>
        </w:rPr>
        <w:t>,</w:t>
      </w:r>
      <w:r w:rsidR="00567DD4" w:rsidRPr="00F552F0">
        <w:rPr>
          <w:sz w:val="22"/>
          <w:szCs w:val="22"/>
        </w:rPr>
        <w:t xml:space="preserve"> 2004), and generate a host of agency problems (</w:t>
      </w:r>
      <w:proofErr w:type="spellStart"/>
      <w:r w:rsidR="00567DD4" w:rsidRPr="00F552F0">
        <w:rPr>
          <w:sz w:val="22"/>
          <w:szCs w:val="22"/>
        </w:rPr>
        <w:t>Bebchuk</w:t>
      </w:r>
      <w:proofErr w:type="spellEnd"/>
      <w:r w:rsidR="00567DD4" w:rsidRPr="00F552F0">
        <w:rPr>
          <w:sz w:val="22"/>
          <w:szCs w:val="22"/>
        </w:rPr>
        <w:t xml:space="preserve"> et al.</w:t>
      </w:r>
      <w:r w:rsidR="00C8580A" w:rsidRPr="00F552F0">
        <w:rPr>
          <w:sz w:val="22"/>
          <w:szCs w:val="22"/>
        </w:rPr>
        <w:t>,</w:t>
      </w:r>
      <w:r w:rsidR="00567DD4" w:rsidRPr="00F552F0">
        <w:rPr>
          <w:sz w:val="22"/>
          <w:szCs w:val="22"/>
        </w:rPr>
        <w:t xml:space="preserve"> 2000; </w:t>
      </w:r>
      <w:proofErr w:type="spellStart"/>
      <w:r w:rsidR="00567DD4" w:rsidRPr="00F552F0">
        <w:rPr>
          <w:sz w:val="22"/>
          <w:szCs w:val="22"/>
        </w:rPr>
        <w:t>Djankov</w:t>
      </w:r>
      <w:proofErr w:type="spellEnd"/>
      <w:r w:rsidR="00567DD4" w:rsidRPr="00F552F0">
        <w:rPr>
          <w:sz w:val="22"/>
          <w:szCs w:val="22"/>
        </w:rPr>
        <w:t xml:space="preserve"> et al.</w:t>
      </w:r>
      <w:r w:rsidR="00C8580A" w:rsidRPr="00F552F0">
        <w:rPr>
          <w:sz w:val="22"/>
          <w:szCs w:val="22"/>
        </w:rPr>
        <w:t>,</w:t>
      </w:r>
      <w:r w:rsidR="00567DD4" w:rsidRPr="00F552F0">
        <w:rPr>
          <w:sz w:val="22"/>
          <w:szCs w:val="22"/>
        </w:rPr>
        <w:t xml:space="preserve"> 2006). Banks in business groups can </w:t>
      </w:r>
      <w:r w:rsidR="00E55470" w:rsidRPr="00F552F0">
        <w:rPr>
          <w:sz w:val="22"/>
          <w:szCs w:val="22"/>
        </w:rPr>
        <w:t xml:space="preserve">thus </w:t>
      </w:r>
      <w:r w:rsidR="00567DD4" w:rsidRPr="00F552F0">
        <w:rPr>
          <w:sz w:val="22"/>
          <w:szCs w:val="22"/>
        </w:rPr>
        <w:t>be exposed to vastly magnified agency problems (</w:t>
      </w:r>
      <w:proofErr w:type="spellStart"/>
      <w:r w:rsidR="00567DD4" w:rsidRPr="00F552F0">
        <w:rPr>
          <w:sz w:val="22"/>
          <w:szCs w:val="22"/>
        </w:rPr>
        <w:t>Bebc</w:t>
      </w:r>
      <w:r w:rsidR="0049138A" w:rsidRPr="00F552F0">
        <w:rPr>
          <w:sz w:val="22"/>
          <w:szCs w:val="22"/>
        </w:rPr>
        <w:t>h</w:t>
      </w:r>
      <w:r w:rsidR="00567DD4" w:rsidRPr="00F552F0">
        <w:rPr>
          <w:sz w:val="22"/>
          <w:szCs w:val="22"/>
        </w:rPr>
        <w:t>uk</w:t>
      </w:r>
      <w:proofErr w:type="spellEnd"/>
      <w:r w:rsidR="00567DD4" w:rsidRPr="00F552F0">
        <w:rPr>
          <w:sz w:val="22"/>
          <w:szCs w:val="22"/>
        </w:rPr>
        <w:t xml:space="preserve"> et al.</w:t>
      </w:r>
      <w:r w:rsidR="00C8580A" w:rsidRPr="00F552F0">
        <w:rPr>
          <w:sz w:val="22"/>
          <w:szCs w:val="22"/>
        </w:rPr>
        <w:t>,</w:t>
      </w:r>
      <w:r w:rsidR="00567DD4" w:rsidRPr="00F552F0">
        <w:rPr>
          <w:sz w:val="22"/>
          <w:szCs w:val="22"/>
        </w:rPr>
        <w:t xml:space="preserve"> 2000) that divert capital towards other group member firms (Almeida </w:t>
      </w:r>
      <w:r w:rsidR="00E82874" w:rsidRPr="00F552F0">
        <w:rPr>
          <w:sz w:val="22"/>
          <w:szCs w:val="22"/>
        </w:rPr>
        <w:t>and</w:t>
      </w:r>
      <w:r w:rsidR="00567DD4" w:rsidRPr="00F552F0">
        <w:rPr>
          <w:sz w:val="22"/>
          <w:szCs w:val="22"/>
        </w:rPr>
        <w:t xml:space="preserve"> </w:t>
      </w:r>
      <w:proofErr w:type="spellStart"/>
      <w:r w:rsidR="00567DD4" w:rsidRPr="00F552F0">
        <w:rPr>
          <w:sz w:val="22"/>
          <w:szCs w:val="22"/>
        </w:rPr>
        <w:t>Wolfenzon</w:t>
      </w:r>
      <w:proofErr w:type="spellEnd"/>
      <w:r w:rsidR="00C8580A" w:rsidRPr="00F552F0">
        <w:rPr>
          <w:sz w:val="22"/>
          <w:szCs w:val="22"/>
        </w:rPr>
        <w:t>,</w:t>
      </w:r>
      <w:r w:rsidR="00567DD4" w:rsidRPr="00F552F0">
        <w:rPr>
          <w:sz w:val="22"/>
          <w:szCs w:val="22"/>
        </w:rPr>
        <w:t xml:space="preserve"> 200</w:t>
      </w:r>
      <w:r w:rsidR="00863C2F" w:rsidRPr="00F552F0">
        <w:rPr>
          <w:sz w:val="22"/>
          <w:szCs w:val="22"/>
        </w:rPr>
        <w:t>6</w:t>
      </w:r>
      <w:r w:rsidR="00BE7518" w:rsidRPr="00F552F0">
        <w:rPr>
          <w:sz w:val="22"/>
          <w:szCs w:val="22"/>
        </w:rPr>
        <w:t>a</w:t>
      </w:r>
      <w:r w:rsidR="00567DD4" w:rsidRPr="00F552F0">
        <w:rPr>
          <w:sz w:val="22"/>
          <w:szCs w:val="22"/>
        </w:rPr>
        <w:t>) or losses into group banks when governments bail out banks but not other firms (</w:t>
      </w:r>
      <w:proofErr w:type="spellStart"/>
      <w:r w:rsidR="00567DD4" w:rsidRPr="00F552F0">
        <w:rPr>
          <w:sz w:val="22"/>
          <w:szCs w:val="22"/>
        </w:rPr>
        <w:t>Perotti</w:t>
      </w:r>
      <w:proofErr w:type="spellEnd"/>
      <w:r w:rsidR="00567DD4" w:rsidRPr="00F552F0">
        <w:rPr>
          <w:sz w:val="22"/>
          <w:szCs w:val="22"/>
        </w:rPr>
        <w:t xml:space="preserve"> </w:t>
      </w:r>
      <w:r w:rsidR="00E82874" w:rsidRPr="00F552F0">
        <w:rPr>
          <w:sz w:val="22"/>
          <w:szCs w:val="22"/>
        </w:rPr>
        <w:t>and</w:t>
      </w:r>
      <w:r w:rsidR="00567DD4" w:rsidRPr="00F552F0">
        <w:rPr>
          <w:sz w:val="22"/>
          <w:szCs w:val="22"/>
        </w:rPr>
        <w:t xml:space="preserve"> </w:t>
      </w:r>
      <w:proofErr w:type="spellStart"/>
      <w:r w:rsidR="00567DD4" w:rsidRPr="00F552F0">
        <w:rPr>
          <w:sz w:val="22"/>
          <w:szCs w:val="22"/>
        </w:rPr>
        <w:t>Vorage</w:t>
      </w:r>
      <w:proofErr w:type="spellEnd"/>
      <w:r w:rsidR="00C8580A" w:rsidRPr="00F552F0">
        <w:rPr>
          <w:sz w:val="22"/>
          <w:szCs w:val="22"/>
        </w:rPr>
        <w:t>,</w:t>
      </w:r>
      <w:r w:rsidR="00567DD4" w:rsidRPr="00F552F0">
        <w:rPr>
          <w:sz w:val="22"/>
          <w:szCs w:val="22"/>
        </w:rPr>
        <w:t xml:space="preserve"> 2008; </w:t>
      </w:r>
      <w:proofErr w:type="spellStart"/>
      <w:r w:rsidR="00567DD4" w:rsidRPr="00F552F0">
        <w:rPr>
          <w:sz w:val="22"/>
          <w:szCs w:val="22"/>
        </w:rPr>
        <w:t>Perotti</w:t>
      </w:r>
      <w:proofErr w:type="spellEnd"/>
      <w:r w:rsidR="00567DD4" w:rsidRPr="00F552F0">
        <w:rPr>
          <w:sz w:val="22"/>
          <w:szCs w:val="22"/>
        </w:rPr>
        <w:t xml:space="preserve"> </w:t>
      </w:r>
      <w:r w:rsidR="00E82874" w:rsidRPr="00F552F0">
        <w:rPr>
          <w:sz w:val="22"/>
          <w:szCs w:val="22"/>
        </w:rPr>
        <w:t>and</w:t>
      </w:r>
      <w:r w:rsidR="00567DD4" w:rsidRPr="00F552F0">
        <w:rPr>
          <w:sz w:val="22"/>
          <w:szCs w:val="22"/>
        </w:rPr>
        <w:t xml:space="preserve"> </w:t>
      </w:r>
      <w:proofErr w:type="spellStart"/>
      <w:r w:rsidR="00567DD4" w:rsidRPr="00F552F0">
        <w:rPr>
          <w:sz w:val="22"/>
          <w:szCs w:val="22"/>
        </w:rPr>
        <w:t>Volpin</w:t>
      </w:r>
      <w:proofErr w:type="spellEnd"/>
      <w:r w:rsidR="00C8580A" w:rsidRPr="00F552F0">
        <w:rPr>
          <w:sz w:val="22"/>
          <w:szCs w:val="22"/>
        </w:rPr>
        <w:t>,</w:t>
      </w:r>
      <w:r w:rsidR="00567DD4" w:rsidRPr="00F552F0">
        <w:rPr>
          <w:sz w:val="22"/>
          <w:szCs w:val="22"/>
        </w:rPr>
        <w:t xml:space="preserve"> 2006).  </w:t>
      </w:r>
      <w:r w:rsidR="007E42CD" w:rsidRPr="00F552F0">
        <w:rPr>
          <w:sz w:val="22"/>
          <w:szCs w:val="22"/>
        </w:rPr>
        <w:t xml:space="preserve"> </w:t>
      </w:r>
    </w:p>
    <w:p w:rsidR="007E6E7A" w:rsidRPr="00F552F0" w:rsidRDefault="00D71ACE">
      <w:pPr>
        <w:spacing w:line="440" w:lineRule="exact"/>
        <w:ind w:firstLine="720"/>
        <w:jc w:val="both"/>
        <w:rPr>
          <w:color w:val="000000"/>
          <w:sz w:val="22"/>
          <w:szCs w:val="22"/>
        </w:rPr>
      </w:pPr>
      <w:r w:rsidRPr="00F552F0">
        <w:rPr>
          <w:sz w:val="22"/>
          <w:szCs w:val="22"/>
        </w:rPr>
        <w:lastRenderedPageBreak/>
        <w:t xml:space="preserve">Families </w:t>
      </w:r>
      <w:r w:rsidR="00A720FB" w:rsidRPr="00F552F0">
        <w:rPr>
          <w:sz w:val="22"/>
          <w:szCs w:val="22"/>
        </w:rPr>
        <w:t>could</w:t>
      </w:r>
      <w:r w:rsidRPr="00F552F0">
        <w:rPr>
          <w:sz w:val="22"/>
          <w:szCs w:val="22"/>
        </w:rPr>
        <w:t xml:space="preserve"> use banks to limit capital to potential competitors, </w:t>
      </w:r>
      <w:r w:rsidR="00954882" w:rsidRPr="00F552F0">
        <w:rPr>
          <w:sz w:val="22"/>
          <w:szCs w:val="22"/>
        </w:rPr>
        <w:t>and this</w:t>
      </w:r>
      <w:r w:rsidRPr="00F552F0">
        <w:rPr>
          <w:sz w:val="22"/>
          <w:szCs w:val="22"/>
        </w:rPr>
        <w:t xml:space="preserve"> </w:t>
      </w:r>
      <w:r w:rsidR="00A720FB" w:rsidRPr="00F552F0">
        <w:rPr>
          <w:sz w:val="22"/>
          <w:szCs w:val="22"/>
        </w:rPr>
        <w:t>could</w:t>
      </w:r>
      <w:r w:rsidRPr="00F552F0">
        <w:rPr>
          <w:sz w:val="22"/>
          <w:szCs w:val="22"/>
        </w:rPr>
        <w:t xml:space="preserve"> </w:t>
      </w:r>
      <w:r w:rsidR="00954882" w:rsidRPr="00F552F0">
        <w:rPr>
          <w:sz w:val="22"/>
          <w:szCs w:val="22"/>
        </w:rPr>
        <w:t>motivate</w:t>
      </w:r>
      <w:r w:rsidRPr="00F552F0">
        <w:rPr>
          <w:sz w:val="22"/>
          <w:szCs w:val="22"/>
        </w:rPr>
        <w:t xml:space="preserve"> family control of banks regardless of whether </w:t>
      </w:r>
      <w:r w:rsidR="00E55470" w:rsidRPr="00F552F0">
        <w:rPr>
          <w:sz w:val="22"/>
          <w:szCs w:val="22"/>
        </w:rPr>
        <w:t>or not this</w:t>
      </w:r>
      <w:r w:rsidRPr="00F552F0">
        <w:rPr>
          <w:sz w:val="22"/>
          <w:szCs w:val="22"/>
        </w:rPr>
        <w:t xml:space="preserve"> is efficient. There are other barriers to entry such as </w:t>
      </w:r>
      <w:r w:rsidR="007E42CD" w:rsidRPr="00F552F0">
        <w:rPr>
          <w:sz w:val="22"/>
          <w:szCs w:val="22"/>
        </w:rPr>
        <w:t>regulat</w:t>
      </w:r>
      <w:r w:rsidRPr="00F552F0">
        <w:rPr>
          <w:sz w:val="22"/>
          <w:szCs w:val="22"/>
        </w:rPr>
        <w:t>ion</w:t>
      </w:r>
      <w:r w:rsidR="007E42CD" w:rsidRPr="00F552F0">
        <w:rPr>
          <w:sz w:val="22"/>
          <w:szCs w:val="22"/>
        </w:rPr>
        <w:t xml:space="preserve"> (</w:t>
      </w:r>
      <w:proofErr w:type="spellStart"/>
      <w:r w:rsidR="007E42CD" w:rsidRPr="00F552F0">
        <w:rPr>
          <w:sz w:val="22"/>
          <w:szCs w:val="22"/>
        </w:rPr>
        <w:t>Djankov</w:t>
      </w:r>
      <w:proofErr w:type="spellEnd"/>
      <w:r w:rsidR="007E42CD" w:rsidRPr="00F552F0">
        <w:rPr>
          <w:sz w:val="22"/>
          <w:szCs w:val="22"/>
        </w:rPr>
        <w:t xml:space="preserve"> et al.</w:t>
      </w:r>
      <w:r w:rsidR="00C8580A" w:rsidRPr="00F552F0">
        <w:rPr>
          <w:sz w:val="22"/>
          <w:szCs w:val="22"/>
        </w:rPr>
        <w:t>,</w:t>
      </w:r>
      <w:r w:rsidR="007E42CD" w:rsidRPr="00F552F0">
        <w:rPr>
          <w:sz w:val="22"/>
          <w:szCs w:val="22"/>
        </w:rPr>
        <w:t xml:space="preserve"> 2002), tax favors (Gentry </w:t>
      </w:r>
      <w:r w:rsidR="00E82874" w:rsidRPr="00F552F0">
        <w:rPr>
          <w:sz w:val="22"/>
          <w:szCs w:val="22"/>
        </w:rPr>
        <w:t>and</w:t>
      </w:r>
      <w:r w:rsidR="007E42CD" w:rsidRPr="00F552F0">
        <w:rPr>
          <w:sz w:val="22"/>
          <w:szCs w:val="22"/>
        </w:rPr>
        <w:t xml:space="preserve"> Hubbard</w:t>
      </w:r>
      <w:r w:rsidR="00C8580A" w:rsidRPr="00F552F0">
        <w:rPr>
          <w:sz w:val="22"/>
          <w:szCs w:val="22"/>
        </w:rPr>
        <w:t>,</w:t>
      </w:r>
      <w:r w:rsidR="007E42CD" w:rsidRPr="00F552F0">
        <w:rPr>
          <w:sz w:val="22"/>
          <w:szCs w:val="22"/>
        </w:rPr>
        <w:t xml:space="preserve"> 2000), subsidies (Krueger</w:t>
      </w:r>
      <w:r w:rsidR="00C8580A" w:rsidRPr="00F552F0">
        <w:rPr>
          <w:sz w:val="22"/>
          <w:szCs w:val="22"/>
        </w:rPr>
        <w:t>,</w:t>
      </w:r>
      <w:r w:rsidR="007E42CD" w:rsidRPr="00F552F0">
        <w:rPr>
          <w:sz w:val="22"/>
          <w:szCs w:val="22"/>
        </w:rPr>
        <w:t xml:space="preserve"> 2002), </w:t>
      </w:r>
      <w:r w:rsidR="00A720FB" w:rsidRPr="00F552F0">
        <w:rPr>
          <w:sz w:val="22"/>
          <w:szCs w:val="22"/>
        </w:rPr>
        <w:t xml:space="preserve">and </w:t>
      </w:r>
      <w:r w:rsidR="007E42CD" w:rsidRPr="00F552F0">
        <w:rPr>
          <w:sz w:val="22"/>
          <w:szCs w:val="22"/>
        </w:rPr>
        <w:t>trade barriers (Krueger</w:t>
      </w:r>
      <w:r w:rsidR="00C8580A" w:rsidRPr="00F552F0">
        <w:rPr>
          <w:sz w:val="22"/>
          <w:szCs w:val="22"/>
        </w:rPr>
        <w:t>,</w:t>
      </w:r>
      <w:r w:rsidR="007E42CD" w:rsidRPr="00F552F0">
        <w:rPr>
          <w:sz w:val="22"/>
          <w:szCs w:val="22"/>
        </w:rPr>
        <w:t xml:space="preserve"> 1974; Krueger</w:t>
      </w:r>
      <w:r w:rsidR="00C8580A" w:rsidRPr="00F552F0">
        <w:rPr>
          <w:sz w:val="22"/>
          <w:szCs w:val="22"/>
        </w:rPr>
        <w:t>,</w:t>
      </w:r>
      <w:r w:rsidR="007E42CD" w:rsidRPr="00F552F0">
        <w:rPr>
          <w:sz w:val="22"/>
          <w:szCs w:val="22"/>
        </w:rPr>
        <w:t xml:space="preserve"> 2004)</w:t>
      </w:r>
      <w:r w:rsidRPr="00F552F0">
        <w:rPr>
          <w:sz w:val="22"/>
          <w:szCs w:val="22"/>
        </w:rPr>
        <w:t>. However,</w:t>
      </w:r>
      <w:r w:rsidR="007E42CD" w:rsidRPr="00F552F0">
        <w:rPr>
          <w:sz w:val="22"/>
          <w:szCs w:val="22"/>
        </w:rPr>
        <w:t xml:space="preserve"> </w:t>
      </w:r>
      <w:r w:rsidR="007E42CD" w:rsidRPr="00F552F0">
        <w:rPr>
          <w:color w:val="000000"/>
          <w:sz w:val="22"/>
          <w:szCs w:val="22"/>
        </w:rPr>
        <w:t>entrants’</w:t>
      </w:r>
      <w:r w:rsidR="00A96BC4" w:rsidRPr="00F552F0">
        <w:rPr>
          <w:color w:val="000000"/>
          <w:sz w:val="22"/>
          <w:szCs w:val="22"/>
        </w:rPr>
        <w:t xml:space="preserve"> most critical need is </w:t>
      </w:r>
      <w:r w:rsidR="00A720FB" w:rsidRPr="00F552F0">
        <w:rPr>
          <w:color w:val="000000"/>
          <w:sz w:val="22"/>
          <w:szCs w:val="22"/>
        </w:rPr>
        <w:t>arguably</w:t>
      </w:r>
      <w:r w:rsidR="00A96BC4" w:rsidRPr="00F552F0">
        <w:rPr>
          <w:color w:val="000000"/>
          <w:sz w:val="22"/>
          <w:szCs w:val="22"/>
        </w:rPr>
        <w:t xml:space="preserve"> capital (Schumpeter</w:t>
      </w:r>
      <w:r w:rsidR="00C8580A" w:rsidRPr="00F552F0">
        <w:rPr>
          <w:color w:val="000000"/>
          <w:sz w:val="22"/>
          <w:szCs w:val="22"/>
        </w:rPr>
        <w:t>,</w:t>
      </w:r>
      <w:r w:rsidR="00A96BC4" w:rsidRPr="00F552F0">
        <w:rPr>
          <w:color w:val="000000"/>
          <w:sz w:val="22"/>
          <w:szCs w:val="22"/>
        </w:rPr>
        <w:t xml:space="preserve"> 1912; Levine</w:t>
      </w:r>
      <w:r w:rsidR="00C8580A" w:rsidRPr="00F552F0">
        <w:rPr>
          <w:color w:val="000000"/>
          <w:sz w:val="22"/>
          <w:szCs w:val="22"/>
        </w:rPr>
        <w:t>,</w:t>
      </w:r>
      <w:r w:rsidR="00A96BC4" w:rsidRPr="00F552F0">
        <w:rPr>
          <w:color w:val="000000"/>
          <w:sz w:val="22"/>
          <w:szCs w:val="22"/>
        </w:rPr>
        <w:t xml:space="preserve"> 1991, 1992; King </w:t>
      </w:r>
      <w:r w:rsidR="00E82874" w:rsidRPr="00F552F0">
        <w:rPr>
          <w:color w:val="000000"/>
          <w:sz w:val="22"/>
          <w:szCs w:val="22"/>
        </w:rPr>
        <w:t>and</w:t>
      </w:r>
      <w:r w:rsidR="00A96BC4" w:rsidRPr="00F552F0">
        <w:rPr>
          <w:color w:val="000000"/>
          <w:sz w:val="22"/>
          <w:szCs w:val="22"/>
        </w:rPr>
        <w:t xml:space="preserve"> Levine</w:t>
      </w:r>
      <w:r w:rsidR="00C8580A" w:rsidRPr="00F552F0">
        <w:rPr>
          <w:color w:val="000000"/>
          <w:sz w:val="22"/>
          <w:szCs w:val="22"/>
        </w:rPr>
        <w:t>,</w:t>
      </w:r>
      <w:r w:rsidR="00A96BC4" w:rsidRPr="00F552F0">
        <w:rPr>
          <w:color w:val="000000"/>
          <w:sz w:val="22"/>
          <w:szCs w:val="22"/>
        </w:rPr>
        <w:t xml:space="preserve"> 1993ab; Beck et al.</w:t>
      </w:r>
      <w:r w:rsidR="00C8580A" w:rsidRPr="00F552F0">
        <w:rPr>
          <w:color w:val="000000"/>
          <w:sz w:val="22"/>
          <w:szCs w:val="22"/>
        </w:rPr>
        <w:t>,</w:t>
      </w:r>
      <w:r w:rsidR="00A96BC4" w:rsidRPr="00F552F0">
        <w:rPr>
          <w:color w:val="000000"/>
          <w:sz w:val="22"/>
          <w:szCs w:val="22"/>
        </w:rPr>
        <w:t xml:space="preserve"> 2000)</w:t>
      </w:r>
      <w:r w:rsidR="00E56537" w:rsidRPr="00F552F0">
        <w:rPr>
          <w:color w:val="000000"/>
          <w:sz w:val="22"/>
          <w:szCs w:val="22"/>
        </w:rPr>
        <w:t>, so c</w:t>
      </w:r>
      <w:r w:rsidR="007E42CD" w:rsidRPr="00F552F0">
        <w:rPr>
          <w:color w:val="000000"/>
          <w:sz w:val="22"/>
          <w:szCs w:val="22"/>
        </w:rPr>
        <w:t xml:space="preserve">ontrolling </w:t>
      </w:r>
      <w:r w:rsidR="00E56537" w:rsidRPr="00F552F0">
        <w:rPr>
          <w:color w:val="000000"/>
          <w:sz w:val="22"/>
          <w:szCs w:val="22"/>
        </w:rPr>
        <w:t>the</w:t>
      </w:r>
      <w:r w:rsidR="007E42CD" w:rsidRPr="00F552F0">
        <w:rPr>
          <w:color w:val="000000"/>
          <w:sz w:val="22"/>
          <w:szCs w:val="22"/>
        </w:rPr>
        <w:t xml:space="preserve"> </w:t>
      </w:r>
      <w:r w:rsidR="00E56537" w:rsidRPr="00F552F0">
        <w:rPr>
          <w:color w:val="000000"/>
          <w:sz w:val="22"/>
          <w:szCs w:val="22"/>
        </w:rPr>
        <w:t>financial sector</w:t>
      </w:r>
      <w:r w:rsidR="007E42CD" w:rsidRPr="00F552F0">
        <w:rPr>
          <w:color w:val="000000"/>
          <w:sz w:val="22"/>
          <w:szCs w:val="22"/>
        </w:rPr>
        <w:t xml:space="preserve"> </w:t>
      </w:r>
      <w:r w:rsidR="00A720FB" w:rsidRPr="00F552F0">
        <w:rPr>
          <w:color w:val="000000"/>
          <w:sz w:val="22"/>
          <w:szCs w:val="22"/>
        </w:rPr>
        <w:t>could let</w:t>
      </w:r>
      <w:r w:rsidR="007E42CD" w:rsidRPr="00F552F0">
        <w:rPr>
          <w:color w:val="000000"/>
          <w:sz w:val="22"/>
          <w:szCs w:val="22"/>
        </w:rPr>
        <w:t xml:space="preserve"> an e</w:t>
      </w:r>
      <w:r w:rsidR="00A96BC4" w:rsidRPr="00F552F0">
        <w:rPr>
          <w:color w:val="000000"/>
          <w:sz w:val="22"/>
          <w:szCs w:val="22"/>
        </w:rPr>
        <w:t>stablished business elite</w:t>
      </w:r>
      <w:r w:rsidR="00E56537" w:rsidRPr="00F552F0">
        <w:rPr>
          <w:color w:val="000000"/>
          <w:sz w:val="22"/>
          <w:szCs w:val="22"/>
        </w:rPr>
        <w:t xml:space="preserve"> protect i</w:t>
      </w:r>
      <w:r w:rsidR="007E42CD" w:rsidRPr="00F552F0">
        <w:rPr>
          <w:color w:val="000000"/>
          <w:sz w:val="22"/>
          <w:szCs w:val="22"/>
        </w:rPr>
        <w:t>ts no</w:t>
      </w:r>
      <w:r w:rsidR="00E56537" w:rsidRPr="00F552F0">
        <w:rPr>
          <w:color w:val="000000"/>
          <w:sz w:val="22"/>
          <w:szCs w:val="22"/>
        </w:rPr>
        <w:t>nfinancial firms from entrants</w:t>
      </w:r>
      <w:r w:rsidR="00A96BC4" w:rsidRPr="00F552F0">
        <w:rPr>
          <w:color w:val="000000"/>
          <w:sz w:val="22"/>
          <w:szCs w:val="22"/>
        </w:rPr>
        <w:t xml:space="preserve"> (</w:t>
      </w:r>
      <w:proofErr w:type="spellStart"/>
      <w:r w:rsidR="00A96BC4" w:rsidRPr="00F552F0">
        <w:rPr>
          <w:color w:val="000000"/>
          <w:sz w:val="22"/>
          <w:szCs w:val="22"/>
        </w:rPr>
        <w:t>Rajan</w:t>
      </w:r>
      <w:proofErr w:type="spellEnd"/>
      <w:r w:rsidR="00A96BC4" w:rsidRPr="00F552F0">
        <w:rPr>
          <w:color w:val="000000"/>
          <w:sz w:val="22"/>
          <w:szCs w:val="22"/>
        </w:rPr>
        <w:t xml:space="preserve"> </w:t>
      </w:r>
      <w:r w:rsidR="00E82874" w:rsidRPr="00F552F0">
        <w:rPr>
          <w:color w:val="000000"/>
          <w:sz w:val="22"/>
          <w:szCs w:val="22"/>
        </w:rPr>
        <w:t>and</w:t>
      </w:r>
      <w:r w:rsidR="00A96BC4" w:rsidRPr="00F552F0">
        <w:rPr>
          <w:color w:val="000000"/>
          <w:sz w:val="22"/>
          <w:szCs w:val="22"/>
        </w:rPr>
        <w:t xml:space="preserve"> </w:t>
      </w:r>
      <w:proofErr w:type="spellStart"/>
      <w:r w:rsidR="00A96BC4" w:rsidRPr="00F552F0">
        <w:rPr>
          <w:color w:val="000000"/>
          <w:sz w:val="22"/>
          <w:szCs w:val="22"/>
        </w:rPr>
        <w:t>Zingales</w:t>
      </w:r>
      <w:proofErr w:type="spellEnd"/>
      <w:r w:rsidR="00C8580A" w:rsidRPr="00F552F0">
        <w:rPr>
          <w:color w:val="000000"/>
          <w:sz w:val="22"/>
          <w:szCs w:val="22"/>
        </w:rPr>
        <w:t>,</w:t>
      </w:r>
      <w:r w:rsidR="00A96BC4" w:rsidRPr="00F552F0">
        <w:rPr>
          <w:color w:val="000000"/>
          <w:sz w:val="22"/>
          <w:szCs w:val="22"/>
        </w:rPr>
        <w:t xml:space="preserve"> 2003, 2004; </w:t>
      </w:r>
      <w:proofErr w:type="spellStart"/>
      <w:r w:rsidR="00A96BC4" w:rsidRPr="00F552F0">
        <w:rPr>
          <w:color w:val="000000"/>
          <w:sz w:val="22"/>
          <w:szCs w:val="22"/>
        </w:rPr>
        <w:t>Morck</w:t>
      </w:r>
      <w:proofErr w:type="spellEnd"/>
      <w:r w:rsidR="00A96BC4" w:rsidRPr="00F552F0">
        <w:rPr>
          <w:color w:val="000000"/>
          <w:sz w:val="22"/>
          <w:szCs w:val="22"/>
        </w:rPr>
        <w:t xml:space="preserve">, </w:t>
      </w:r>
      <w:proofErr w:type="spellStart"/>
      <w:r w:rsidR="00A96BC4" w:rsidRPr="00F552F0">
        <w:rPr>
          <w:color w:val="000000"/>
          <w:sz w:val="22"/>
          <w:szCs w:val="22"/>
        </w:rPr>
        <w:t>Wolfenzon</w:t>
      </w:r>
      <w:proofErr w:type="spellEnd"/>
      <w:r w:rsidR="00A96BC4" w:rsidRPr="00F552F0">
        <w:rPr>
          <w:color w:val="000000"/>
          <w:sz w:val="22"/>
          <w:szCs w:val="22"/>
        </w:rPr>
        <w:t xml:space="preserve"> </w:t>
      </w:r>
      <w:r w:rsidR="00E82874" w:rsidRPr="00F552F0">
        <w:rPr>
          <w:color w:val="000000"/>
          <w:sz w:val="22"/>
          <w:szCs w:val="22"/>
        </w:rPr>
        <w:t>and</w:t>
      </w:r>
      <w:r w:rsidR="00A96BC4" w:rsidRPr="00F552F0">
        <w:rPr>
          <w:color w:val="000000"/>
          <w:sz w:val="22"/>
          <w:szCs w:val="22"/>
        </w:rPr>
        <w:t xml:space="preserve"> Yeung</w:t>
      </w:r>
      <w:r w:rsidR="00C8580A" w:rsidRPr="00F552F0">
        <w:rPr>
          <w:color w:val="000000"/>
          <w:sz w:val="22"/>
          <w:szCs w:val="22"/>
        </w:rPr>
        <w:t>,</w:t>
      </w:r>
      <w:r w:rsidR="00A96BC4" w:rsidRPr="00F552F0">
        <w:rPr>
          <w:color w:val="000000"/>
          <w:sz w:val="22"/>
          <w:szCs w:val="22"/>
        </w:rPr>
        <w:t xml:space="preserve"> 2005; </w:t>
      </w:r>
      <w:proofErr w:type="spellStart"/>
      <w:r w:rsidR="00A96BC4" w:rsidRPr="00F552F0">
        <w:rPr>
          <w:color w:val="000000"/>
          <w:sz w:val="22"/>
          <w:szCs w:val="22"/>
        </w:rPr>
        <w:t>Perotti</w:t>
      </w:r>
      <w:proofErr w:type="spellEnd"/>
      <w:r w:rsidR="00A96BC4" w:rsidRPr="00F552F0">
        <w:rPr>
          <w:color w:val="000000"/>
          <w:sz w:val="22"/>
          <w:szCs w:val="22"/>
        </w:rPr>
        <w:t xml:space="preserve"> </w:t>
      </w:r>
      <w:r w:rsidR="00E82874" w:rsidRPr="00F552F0">
        <w:rPr>
          <w:color w:val="000000"/>
          <w:sz w:val="22"/>
          <w:szCs w:val="22"/>
        </w:rPr>
        <w:t>and</w:t>
      </w:r>
      <w:r w:rsidR="00A96BC4" w:rsidRPr="00F552F0">
        <w:rPr>
          <w:color w:val="000000"/>
          <w:sz w:val="22"/>
          <w:szCs w:val="22"/>
        </w:rPr>
        <w:t xml:space="preserve"> </w:t>
      </w:r>
      <w:proofErr w:type="spellStart"/>
      <w:r w:rsidR="00A96BC4" w:rsidRPr="00F552F0">
        <w:rPr>
          <w:color w:val="000000"/>
          <w:sz w:val="22"/>
          <w:szCs w:val="22"/>
        </w:rPr>
        <w:t>Vorage</w:t>
      </w:r>
      <w:proofErr w:type="spellEnd"/>
      <w:r w:rsidR="00C8580A" w:rsidRPr="00F552F0">
        <w:rPr>
          <w:color w:val="000000"/>
          <w:sz w:val="22"/>
          <w:szCs w:val="22"/>
        </w:rPr>
        <w:t>,</w:t>
      </w:r>
      <w:r w:rsidR="00A96BC4" w:rsidRPr="00F552F0">
        <w:rPr>
          <w:color w:val="000000"/>
          <w:sz w:val="22"/>
          <w:szCs w:val="22"/>
        </w:rPr>
        <w:t xml:space="preserve"> 2008)</w:t>
      </w:r>
      <w:r w:rsidR="00E56537" w:rsidRPr="00F552F0">
        <w:rPr>
          <w:color w:val="000000"/>
          <w:sz w:val="22"/>
          <w:szCs w:val="22"/>
        </w:rPr>
        <w:t xml:space="preserve"> more directly than alternative approaches</w:t>
      </w:r>
      <w:r w:rsidR="00591AA1" w:rsidRPr="00F552F0">
        <w:rPr>
          <w:color w:val="000000"/>
          <w:sz w:val="22"/>
          <w:szCs w:val="22"/>
        </w:rPr>
        <w:t>,</w:t>
      </w:r>
      <w:r w:rsidR="00E56537" w:rsidRPr="00F552F0">
        <w:rPr>
          <w:color w:val="000000"/>
          <w:sz w:val="22"/>
          <w:szCs w:val="22"/>
        </w:rPr>
        <w:t xml:space="preserve"> </w:t>
      </w:r>
      <w:r w:rsidR="00591AA1" w:rsidRPr="00F552F0">
        <w:rPr>
          <w:color w:val="000000"/>
          <w:sz w:val="22"/>
          <w:szCs w:val="22"/>
        </w:rPr>
        <w:t>such as</w:t>
      </w:r>
      <w:r w:rsidR="00E56537" w:rsidRPr="00F552F0">
        <w:rPr>
          <w:color w:val="000000"/>
          <w:sz w:val="22"/>
          <w:szCs w:val="22"/>
        </w:rPr>
        <w:t xml:space="preserve"> ongoing</w:t>
      </w:r>
      <w:r w:rsidR="00A96BC4" w:rsidRPr="00F552F0">
        <w:rPr>
          <w:color w:val="000000"/>
          <w:sz w:val="22"/>
          <w:szCs w:val="22"/>
        </w:rPr>
        <w:t xml:space="preserve"> political rent-seeking (Krueger</w:t>
      </w:r>
      <w:r w:rsidR="00C8580A" w:rsidRPr="00F552F0">
        <w:rPr>
          <w:color w:val="000000"/>
          <w:sz w:val="22"/>
          <w:szCs w:val="22"/>
        </w:rPr>
        <w:t>,</w:t>
      </w:r>
      <w:r w:rsidR="00A96BC4" w:rsidRPr="00F552F0">
        <w:rPr>
          <w:color w:val="000000"/>
          <w:sz w:val="22"/>
          <w:szCs w:val="22"/>
        </w:rPr>
        <w:t xml:space="preserve"> 1974) or</w:t>
      </w:r>
      <w:r w:rsidR="00E56537" w:rsidRPr="00F552F0">
        <w:rPr>
          <w:color w:val="000000"/>
          <w:sz w:val="22"/>
          <w:szCs w:val="22"/>
        </w:rPr>
        <w:t xml:space="preserve"> </w:t>
      </w:r>
      <w:r w:rsidR="00567DD4" w:rsidRPr="00F552F0">
        <w:rPr>
          <w:color w:val="000000"/>
          <w:sz w:val="22"/>
          <w:szCs w:val="22"/>
        </w:rPr>
        <w:t>keeping</w:t>
      </w:r>
      <w:r w:rsidR="00E56537" w:rsidRPr="00F552F0">
        <w:rPr>
          <w:color w:val="000000"/>
          <w:sz w:val="22"/>
          <w:szCs w:val="22"/>
        </w:rPr>
        <w:t xml:space="preserve"> </w:t>
      </w:r>
      <w:r w:rsidR="00591AA1" w:rsidRPr="00F552F0">
        <w:rPr>
          <w:color w:val="000000"/>
          <w:sz w:val="22"/>
          <w:szCs w:val="22"/>
        </w:rPr>
        <w:t>relatives</w:t>
      </w:r>
      <w:r w:rsidR="00E56537" w:rsidRPr="00F552F0">
        <w:rPr>
          <w:color w:val="000000"/>
          <w:sz w:val="22"/>
          <w:szCs w:val="22"/>
        </w:rPr>
        <w:t xml:space="preserve"> in </w:t>
      </w:r>
      <w:r w:rsidR="00591AA1" w:rsidRPr="00F552F0">
        <w:rPr>
          <w:color w:val="000000"/>
          <w:sz w:val="22"/>
          <w:szCs w:val="22"/>
        </w:rPr>
        <w:t>key</w:t>
      </w:r>
      <w:r w:rsidR="00A96BC4" w:rsidRPr="00F552F0">
        <w:rPr>
          <w:color w:val="000000"/>
          <w:sz w:val="22"/>
          <w:szCs w:val="22"/>
        </w:rPr>
        <w:t xml:space="preserve"> </w:t>
      </w:r>
      <w:r w:rsidR="00591AA1" w:rsidRPr="00F552F0">
        <w:rPr>
          <w:color w:val="000000"/>
          <w:sz w:val="22"/>
          <w:szCs w:val="22"/>
        </w:rPr>
        <w:t>government</w:t>
      </w:r>
      <w:r w:rsidR="00A96BC4" w:rsidRPr="00F552F0">
        <w:rPr>
          <w:color w:val="000000"/>
          <w:sz w:val="22"/>
          <w:szCs w:val="22"/>
        </w:rPr>
        <w:t xml:space="preserve"> </w:t>
      </w:r>
      <w:r w:rsidR="00E56537" w:rsidRPr="00F552F0">
        <w:rPr>
          <w:color w:val="000000"/>
          <w:sz w:val="22"/>
          <w:szCs w:val="22"/>
        </w:rPr>
        <w:t>positions</w:t>
      </w:r>
      <w:r w:rsidR="00A96BC4" w:rsidRPr="00F552F0">
        <w:rPr>
          <w:color w:val="000000"/>
          <w:sz w:val="22"/>
          <w:szCs w:val="22"/>
        </w:rPr>
        <w:t xml:space="preserve"> (Faccio</w:t>
      </w:r>
      <w:r w:rsidR="00C8580A" w:rsidRPr="00F552F0">
        <w:rPr>
          <w:color w:val="000000"/>
          <w:sz w:val="22"/>
          <w:szCs w:val="22"/>
        </w:rPr>
        <w:t>,</w:t>
      </w:r>
      <w:r w:rsidR="00A96BC4" w:rsidRPr="00F552F0">
        <w:rPr>
          <w:color w:val="000000"/>
          <w:sz w:val="22"/>
          <w:szCs w:val="22"/>
        </w:rPr>
        <w:t xml:space="preserve"> 2006; Faccio et al.</w:t>
      </w:r>
      <w:r w:rsidR="00C8580A" w:rsidRPr="00F552F0">
        <w:rPr>
          <w:color w:val="000000"/>
          <w:sz w:val="22"/>
          <w:szCs w:val="22"/>
        </w:rPr>
        <w:t>,</w:t>
      </w:r>
      <w:r w:rsidR="00A96BC4" w:rsidRPr="00F552F0">
        <w:rPr>
          <w:color w:val="000000"/>
          <w:sz w:val="22"/>
          <w:szCs w:val="22"/>
        </w:rPr>
        <w:t xml:space="preserve"> 2006).</w:t>
      </w:r>
    </w:p>
    <w:p w:rsidR="00A96BC4" w:rsidRPr="00F552F0" w:rsidRDefault="00717D39" w:rsidP="00E56537">
      <w:pPr>
        <w:spacing w:line="440" w:lineRule="exact"/>
        <w:jc w:val="both"/>
        <w:rPr>
          <w:color w:val="000000"/>
          <w:sz w:val="22"/>
          <w:szCs w:val="22"/>
        </w:rPr>
      </w:pPr>
      <w:r w:rsidRPr="00F552F0">
        <w:rPr>
          <w:color w:val="000000"/>
          <w:sz w:val="22"/>
          <w:szCs w:val="22"/>
        </w:rPr>
        <w:tab/>
      </w:r>
      <w:r w:rsidR="00393762" w:rsidRPr="00F552F0">
        <w:rPr>
          <w:color w:val="000000"/>
          <w:sz w:val="22"/>
          <w:szCs w:val="22"/>
        </w:rPr>
        <w:t xml:space="preserve">A dynamic banking system correlates with sustained prosperity (King </w:t>
      </w:r>
      <w:r w:rsidR="00E82874" w:rsidRPr="00F552F0">
        <w:rPr>
          <w:color w:val="000000"/>
          <w:sz w:val="22"/>
          <w:szCs w:val="22"/>
        </w:rPr>
        <w:t>and</w:t>
      </w:r>
      <w:r w:rsidR="00393762" w:rsidRPr="00F552F0">
        <w:rPr>
          <w:color w:val="000000"/>
          <w:sz w:val="22"/>
          <w:szCs w:val="22"/>
        </w:rPr>
        <w:t xml:space="preserve"> Levine</w:t>
      </w:r>
      <w:r w:rsidR="00C8580A" w:rsidRPr="00F552F0">
        <w:rPr>
          <w:color w:val="000000"/>
          <w:sz w:val="22"/>
          <w:szCs w:val="22"/>
        </w:rPr>
        <w:t>,</w:t>
      </w:r>
      <w:r w:rsidR="00393762" w:rsidRPr="00F552F0">
        <w:rPr>
          <w:color w:val="000000"/>
          <w:sz w:val="22"/>
          <w:szCs w:val="22"/>
        </w:rPr>
        <w:t xml:space="preserve"> 1993a) and the ready financing of entrants (Beck et al.</w:t>
      </w:r>
      <w:r w:rsidR="00C8580A" w:rsidRPr="00F552F0">
        <w:rPr>
          <w:color w:val="000000"/>
          <w:sz w:val="22"/>
          <w:szCs w:val="22"/>
        </w:rPr>
        <w:t>,</w:t>
      </w:r>
      <w:r w:rsidR="00393762" w:rsidRPr="00F552F0">
        <w:rPr>
          <w:color w:val="000000"/>
          <w:sz w:val="22"/>
          <w:szCs w:val="22"/>
        </w:rPr>
        <w:t xml:space="preserve"> 2008), so elite capture of a country’s financial system </w:t>
      </w:r>
      <w:r w:rsidR="003158A8" w:rsidRPr="00F552F0">
        <w:rPr>
          <w:color w:val="000000"/>
          <w:sz w:val="22"/>
          <w:szCs w:val="22"/>
        </w:rPr>
        <w:t>c</w:t>
      </w:r>
      <w:r w:rsidR="00393762" w:rsidRPr="00F552F0">
        <w:rPr>
          <w:color w:val="000000"/>
          <w:sz w:val="22"/>
          <w:szCs w:val="22"/>
        </w:rPr>
        <w:t xml:space="preserve">ould </w:t>
      </w:r>
      <w:r w:rsidR="003158A8" w:rsidRPr="00F552F0">
        <w:rPr>
          <w:color w:val="000000"/>
          <w:sz w:val="22"/>
          <w:szCs w:val="22"/>
        </w:rPr>
        <w:t xml:space="preserve">plausibly </w:t>
      </w:r>
      <w:r w:rsidR="00393762" w:rsidRPr="00F552F0">
        <w:rPr>
          <w:color w:val="000000"/>
          <w:sz w:val="22"/>
          <w:szCs w:val="22"/>
        </w:rPr>
        <w:t xml:space="preserve">be critically incomplete without control over its banks. We therefore focus on banks.  </w:t>
      </w:r>
      <w:r w:rsidR="00591AA1" w:rsidRPr="00F552F0">
        <w:rPr>
          <w:color w:val="000000"/>
          <w:sz w:val="22"/>
          <w:szCs w:val="22"/>
        </w:rPr>
        <w:t xml:space="preserve">All else equal, these explanations posit worse capital allocation in countries whose banking systems are more thoroughly controlled by tycoons or business families.  </w:t>
      </w:r>
    </w:p>
    <w:p w:rsidR="00264E88" w:rsidRPr="00F552F0" w:rsidRDefault="00591AA1" w:rsidP="00591AA1">
      <w:pPr>
        <w:spacing w:line="440" w:lineRule="exact"/>
        <w:ind w:firstLine="720"/>
        <w:jc w:val="both"/>
        <w:rPr>
          <w:sz w:val="22"/>
          <w:szCs w:val="22"/>
        </w:rPr>
      </w:pPr>
      <w:r w:rsidRPr="00F552F0">
        <w:rPr>
          <w:sz w:val="22"/>
          <w:szCs w:val="22"/>
        </w:rPr>
        <w:t xml:space="preserve">To explore these issues, we measure the fraction of each country’s largest banks, listed and unlisted, that is ultimately controlled by a tycoon or business family, state-controlled, or widely held.  For brevity, we refer to the first as </w:t>
      </w:r>
      <w:r w:rsidRPr="00F552F0">
        <w:rPr>
          <w:i/>
          <w:sz w:val="22"/>
          <w:szCs w:val="22"/>
        </w:rPr>
        <w:t>family</w:t>
      </w:r>
      <w:r w:rsidR="000D6F25" w:rsidRPr="00F552F0">
        <w:rPr>
          <w:i/>
          <w:sz w:val="22"/>
          <w:szCs w:val="22"/>
        </w:rPr>
        <w:t>-controlled</w:t>
      </w:r>
      <w:r w:rsidRPr="00F552F0">
        <w:rPr>
          <w:sz w:val="22"/>
          <w:szCs w:val="22"/>
        </w:rPr>
        <w:t xml:space="preserve">. Controlling for banking system size, stock market size, and other relevant factors, we find more predominantly family-controlled banking systems </w:t>
      </w:r>
      <w:r w:rsidR="000D6CB5" w:rsidRPr="00F552F0">
        <w:rPr>
          <w:sz w:val="22"/>
          <w:szCs w:val="22"/>
        </w:rPr>
        <w:t xml:space="preserve">correlated with less efficient </w:t>
      </w:r>
      <w:r w:rsidRPr="00F552F0">
        <w:rPr>
          <w:sz w:val="22"/>
          <w:szCs w:val="22"/>
        </w:rPr>
        <w:t xml:space="preserve">capital </w:t>
      </w:r>
      <w:r w:rsidR="000D6CB5" w:rsidRPr="00F552F0">
        <w:rPr>
          <w:sz w:val="22"/>
          <w:szCs w:val="22"/>
        </w:rPr>
        <w:t xml:space="preserve">allocation. </w:t>
      </w:r>
      <w:r w:rsidRPr="00F552F0">
        <w:rPr>
          <w:sz w:val="22"/>
          <w:szCs w:val="22"/>
        </w:rPr>
        <w:t xml:space="preserve">This </w:t>
      </w:r>
      <w:r w:rsidR="00264E88" w:rsidRPr="00F552F0">
        <w:rPr>
          <w:sz w:val="22"/>
          <w:szCs w:val="22"/>
        </w:rPr>
        <w:t xml:space="preserve">result </w:t>
      </w:r>
      <w:r w:rsidRPr="00F552F0">
        <w:rPr>
          <w:sz w:val="22"/>
          <w:szCs w:val="22"/>
        </w:rPr>
        <w:t xml:space="preserve">holds regardless of whether we gauge capital allocation quality as in </w:t>
      </w:r>
      <w:proofErr w:type="spellStart"/>
      <w:r w:rsidRPr="00F552F0">
        <w:rPr>
          <w:sz w:val="22"/>
          <w:szCs w:val="22"/>
        </w:rPr>
        <w:t>Rajan</w:t>
      </w:r>
      <w:proofErr w:type="spellEnd"/>
      <w:r w:rsidRPr="00F552F0">
        <w:rPr>
          <w:sz w:val="22"/>
          <w:szCs w:val="22"/>
        </w:rPr>
        <w:t xml:space="preserve"> </w:t>
      </w:r>
      <w:r w:rsidR="00E82874" w:rsidRPr="00F552F0">
        <w:rPr>
          <w:sz w:val="22"/>
          <w:szCs w:val="22"/>
        </w:rPr>
        <w:t>and</w:t>
      </w:r>
      <w:r w:rsidRPr="00F552F0">
        <w:rPr>
          <w:sz w:val="22"/>
          <w:szCs w:val="22"/>
        </w:rPr>
        <w:t xml:space="preserve"> </w:t>
      </w:r>
      <w:proofErr w:type="spellStart"/>
      <w:r w:rsidRPr="00F552F0">
        <w:rPr>
          <w:sz w:val="22"/>
          <w:szCs w:val="22"/>
        </w:rPr>
        <w:t>Zingales</w:t>
      </w:r>
      <w:proofErr w:type="spellEnd"/>
      <w:r w:rsidRPr="00F552F0">
        <w:rPr>
          <w:sz w:val="22"/>
          <w:szCs w:val="22"/>
        </w:rPr>
        <w:t xml:space="preserve"> (1998), as in </w:t>
      </w:r>
      <w:proofErr w:type="spellStart"/>
      <w:r w:rsidRPr="00F552F0">
        <w:rPr>
          <w:sz w:val="22"/>
          <w:szCs w:val="22"/>
        </w:rPr>
        <w:t>Wurgler</w:t>
      </w:r>
      <w:proofErr w:type="spellEnd"/>
      <w:r w:rsidRPr="00F552F0">
        <w:rPr>
          <w:sz w:val="22"/>
          <w:szCs w:val="22"/>
        </w:rPr>
        <w:t xml:space="preserve"> (2000), or </w:t>
      </w:r>
      <w:r w:rsidR="00264E88" w:rsidRPr="00F552F0">
        <w:rPr>
          <w:sz w:val="22"/>
          <w:szCs w:val="22"/>
        </w:rPr>
        <w:t xml:space="preserve">by </w:t>
      </w:r>
      <w:r w:rsidR="001578B3" w:rsidRPr="00F552F0">
        <w:rPr>
          <w:sz w:val="22"/>
          <w:szCs w:val="22"/>
        </w:rPr>
        <w:t>nonperforming</w:t>
      </w:r>
      <w:r w:rsidR="00264E88" w:rsidRPr="00F552F0">
        <w:rPr>
          <w:sz w:val="22"/>
          <w:szCs w:val="22"/>
        </w:rPr>
        <w:t xml:space="preserve"> loans; and survives a comprehensive battery of robustness checks.  </w:t>
      </w:r>
    </w:p>
    <w:p w:rsidR="00264E88" w:rsidRPr="00F552F0" w:rsidRDefault="00264E88" w:rsidP="00591AA1">
      <w:pPr>
        <w:spacing w:line="440" w:lineRule="exact"/>
        <w:ind w:firstLine="720"/>
        <w:jc w:val="both"/>
        <w:rPr>
          <w:sz w:val="22"/>
          <w:szCs w:val="22"/>
        </w:rPr>
      </w:pPr>
      <w:r w:rsidRPr="00F552F0">
        <w:rPr>
          <w:sz w:val="22"/>
          <w:szCs w:val="22"/>
        </w:rPr>
        <w:t>The efficiency loss is highly economically significant, and comparable to that associated with state-controlled banking systems (</w:t>
      </w:r>
      <w:proofErr w:type="spellStart"/>
      <w:r w:rsidRPr="00F552F0">
        <w:rPr>
          <w:sz w:val="22"/>
          <w:szCs w:val="22"/>
        </w:rPr>
        <w:t>Wurgler</w:t>
      </w:r>
      <w:proofErr w:type="spellEnd"/>
      <w:r w:rsidR="00C8580A" w:rsidRPr="00F552F0">
        <w:rPr>
          <w:sz w:val="22"/>
          <w:szCs w:val="22"/>
        </w:rPr>
        <w:t>,</w:t>
      </w:r>
      <w:r w:rsidRPr="00F552F0">
        <w:rPr>
          <w:sz w:val="22"/>
          <w:szCs w:val="22"/>
        </w:rPr>
        <w:t xml:space="preserve"> 2000; La </w:t>
      </w:r>
      <w:proofErr w:type="spellStart"/>
      <w:r w:rsidRPr="00F552F0">
        <w:rPr>
          <w:sz w:val="22"/>
          <w:szCs w:val="22"/>
        </w:rPr>
        <w:t>Porta</w:t>
      </w:r>
      <w:proofErr w:type="spellEnd"/>
      <w:r w:rsidRPr="00F552F0">
        <w:rPr>
          <w:sz w:val="22"/>
          <w:szCs w:val="22"/>
        </w:rPr>
        <w:t xml:space="preserve"> et al.</w:t>
      </w:r>
      <w:r w:rsidR="00C8580A" w:rsidRPr="00F552F0">
        <w:rPr>
          <w:sz w:val="22"/>
          <w:szCs w:val="22"/>
        </w:rPr>
        <w:t>,</w:t>
      </w:r>
      <w:r w:rsidRPr="00F552F0">
        <w:rPr>
          <w:sz w:val="22"/>
          <w:szCs w:val="22"/>
        </w:rPr>
        <w:t xml:space="preserve"> 2002</w:t>
      </w:r>
      <w:r w:rsidR="0049138A" w:rsidRPr="00F552F0">
        <w:rPr>
          <w:sz w:val="22"/>
          <w:szCs w:val="22"/>
        </w:rPr>
        <w:t>a</w:t>
      </w:r>
      <w:r w:rsidRPr="00F552F0">
        <w:rPr>
          <w:sz w:val="22"/>
          <w:szCs w:val="22"/>
        </w:rPr>
        <w:t xml:space="preserve">; </w:t>
      </w:r>
      <w:proofErr w:type="spellStart"/>
      <w:r w:rsidRPr="00F552F0">
        <w:rPr>
          <w:sz w:val="22"/>
          <w:szCs w:val="22"/>
        </w:rPr>
        <w:t>Caprio</w:t>
      </w:r>
      <w:proofErr w:type="spellEnd"/>
      <w:r w:rsidRPr="00F552F0">
        <w:rPr>
          <w:sz w:val="22"/>
          <w:szCs w:val="22"/>
        </w:rPr>
        <w:t xml:space="preserve"> et al.</w:t>
      </w:r>
      <w:r w:rsidR="00C8580A" w:rsidRPr="00F552F0">
        <w:rPr>
          <w:sz w:val="22"/>
          <w:szCs w:val="22"/>
        </w:rPr>
        <w:t>,</w:t>
      </w:r>
      <w:r w:rsidRPr="00F552F0">
        <w:rPr>
          <w:sz w:val="22"/>
          <w:szCs w:val="22"/>
        </w:rPr>
        <w:t xml:space="preserve"> 2007; </w:t>
      </w:r>
      <w:proofErr w:type="spellStart"/>
      <w:r w:rsidRPr="00F552F0">
        <w:rPr>
          <w:sz w:val="22"/>
          <w:szCs w:val="22"/>
        </w:rPr>
        <w:t>Taboada</w:t>
      </w:r>
      <w:proofErr w:type="spellEnd"/>
      <w:r w:rsidR="00C8580A" w:rsidRPr="00F552F0">
        <w:rPr>
          <w:sz w:val="22"/>
          <w:szCs w:val="22"/>
        </w:rPr>
        <w:t>,</w:t>
      </w:r>
      <w:r w:rsidRPr="00F552F0">
        <w:rPr>
          <w:sz w:val="22"/>
          <w:szCs w:val="22"/>
        </w:rPr>
        <w:t xml:space="preserve"> 2008). However, family-controlled banking systems also correlate wi</w:t>
      </w:r>
      <w:r w:rsidR="00855CE9" w:rsidRPr="00F552F0">
        <w:rPr>
          <w:sz w:val="22"/>
          <w:szCs w:val="22"/>
        </w:rPr>
        <w:t xml:space="preserve">th financial instability and </w:t>
      </w:r>
      <w:r w:rsidR="007B4E8F" w:rsidRPr="00F552F0">
        <w:rPr>
          <w:sz w:val="22"/>
          <w:szCs w:val="22"/>
        </w:rPr>
        <w:t>inequality</w:t>
      </w:r>
      <w:r w:rsidRPr="00F552F0">
        <w:rPr>
          <w:sz w:val="22"/>
          <w:szCs w:val="22"/>
        </w:rPr>
        <w:t xml:space="preserve">; while state-controlled banking systems do not.  </w:t>
      </w:r>
      <w:r w:rsidR="001A03FF" w:rsidRPr="00F552F0">
        <w:rPr>
          <w:sz w:val="22"/>
          <w:szCs w:val="22"/>
        </w:rPr>
        <w:t>Family-controlled banking thus correlates with both worse inefficiency and worse inequality, escaping the classic welfare economics trade-off between the two</w:t>
      </w:r>
      <w:r w:rsidRPr="00F552F0">
        <w:rPr>
          <w:sz w:val="22"/>
          <w:szCs w:val="22"/>
        </w:rPr>
        <w:t xml:space="preserve">.  </w:t>
      </w:r>
    </w:p>
    <w:p w:rsidR="00264E88" w:rsidRPr="00F552F0" w:rsidRDefault="00264E88" w:rsidP="00F148A2">
      <w:pPr>
        <w:spacing w:line="440" w:lineRule="exact"/>
        <w:ind w:firstLine="720"/>
        <w:jc w:val="both"/>
        <w:rPr>
          <w:sz w:val="22"/>
          <w:szCs w:val="22"/>
        </w:rPr>
      </w:pPr>
      <w:r w:rsidRPr="00F552F0">
        <w:rPr>
          <w:sz w:val="22"/>
          <w:szCs w:val="22"/>
        </w:rPr>
        <w:t xml:space="preserve">We cannot </w:t>
      </w:r>
      <w:r w:rsidR="00980A93" w:rsidRPr="00F552F0">
        <w:rPr>
          <w:sz w:val="22"/>
          <w:szCs w:val="22"/>
        </w:rPr>
        <w:t>preclude revers</w:t>
      </w:r>
      <w:r w:rsidR="00855CE9" w:rsidRPr="00F552F0">
        <w:rPr>
          <w:sz w:val="22"/>
          <w:szCs w:val="22"/>
        </w:rPr>
        <w:t xml:space="preserve">e causation or </w:t>
      </w:r>
      <w:r w:rsidR="001C5C21" w:rsidRPr="00F552F0">
        <w:rPr>
          <w:sz w:val="22"/>
          <w:szCs w:val="22"/>
        </w:rPr>
        <w:t xml:space="preserve">missing </w:t>
      </w:r>
      <w:r w:rsidR="00855CE9" w:rsidRPr="00F552F0">
        <w:rPr>
          <w:sz w:val="22"/>
          <w:szCs w:val="22"/>
        </w:rPr>
        <w:t>latent variables absolutely. Neither event studies nor Granger causality tests are viable because</w:t>
      </w:r>
      <w:r w:rsidR="00E77471" w:rsidRPr="00F552F0">
        <w:rPr>
          <w:sz w:val="22"/>
          <w:szCs w:val="22"/>
        </w:rPr>
        <w:t xml:space="preserve"> </w:t>
      </w:r>
      <w:r w:rsidR="007B4E8F" w:rsidRPr="00F552F0">
        <w:rPr>
          <w:sz w:val="22"/>
          <w:szCs w:val="22"/>
        </w:rPr>
        <w:t xml:space="preserve">our </w:t>
      </w:r>
      <w:r w:rsidR="004D2A37" w:rsidRPr="00F552F0">
        <w:rPr>
          <w:sz w:val="22"/>
          <w:szCs w:val="22"/>
        </w:rPr>
        <w:t xml:space="preserve">banking </w:t>
      </w:r>
      <w:r w:rsidR="007B4E8F" w:rsidRPr="00F552F0">
        <w:rPr>
          <w:sz w:val="22"/>
          <w:szCs w:val="22"/>
        </w:rPr>
        <w:t xml:space="preserve">sector </w:t>
      </w:r>
      <w:r w:rsidR="00980A93" w:rsidRPr="00F552F0">
        <w:rPr>
          <w:sz w:val="22"/>
          <w:szCs w:val="22"/>
        </w:rPr>
        <w:t>control</w:t>
      </w:r>
      <w:r w:rsidR="00E77471" w:rsidRPr="00F552F0">
        <w:rPr>
          <w:sz w:val="22"/>
          <w:szCs w:val="22"/>
        </w:rPr>
        <w:t xml:space="preserve"> </w:t>
      </w:r>
      <w:r w:rsidR="00E55470" w:rsidRPr="00F552F0">
        <w:rPr>
          <w:sz w:val="22"/>
          <w:szCs w:val="22"/>
        </w:rPr>
        <w:t>group</w:t>
      </w:r>
      <w:r w:rsidR="00980A93" w:rsidRPr="00F552F0">
        <w:rPr>
          <w:sz w:val="22"/>
          <w:szCs w:val="22"/>
        </w:rPr>
        <w:t xml:space="preserve"> </w:t>
      </w:r>
      <w:r w:rsidR="007B4E8F" w:rsidRPr="00F552F0">
        <w:rPr>
          <w:sz w:val="22"/>
          <w:szCs w:val="22"/>
        </w:rPr>
        <w:t>variables exhibit</w:t>
      </w:r>
      <w:r w:rsidR="00980A93" w:rsidRPr="00F552F0">
        <w:rPr>
          <w:sz w:val="22"/>
          <w:szCs w:val="22"/>
        </w:rPr>
        <w:t xml:space="preserve"> almost </w:t>
      </w:r>
      <w:r w:rsidR="00980A93" w:rsidRPr="00F552F0">
        <w:rPr>
          <w:sz w:val="22"/>
          <w:szCs w:val="22"/>
        </w:rPr>
        <w:lastRenderedPageBreak/>
        <w:t>no time variation</w:t>
      </w:r>
      <w:r w:rsidR="00855CE9" w:rsidRPr="00F552F0">
        <w:rPr>
          <w:sz w:val="22"/>
          <w:szCs w:val="22"/>
        </w:rPr>
        <w:t>.  Also, the number of control variables we can use is limited because we must use country-level variables, most of which are highly persistent. Finally,</w:t>
      </w:r>
      <w:r w:rsidR="00980A93" w:rsidRPr="00F552F0">
        <w:rPr>
          <w:sz w:val="22"/>
          <w:szCs w:val="22"/>
        </w:rPr>
        <w:t xml:space="preserve"> </w:t>
      </w:r>
      <w:r w:rsidR="009D32D6" w:rsidRPr="00F552F0">
        <w:rPr>
          <w:sz w:val="22"/>
          <w:szCs w:val="22"/>
        </w:rPr>
        <w:t>commonly used</w:t>
      </w:r>
      <w:r w:rsidR="00980A93" w:rsidRPr="00F552F0">
        <w:rPr>
          <w:sz w:val="22"/>
          <w:szCs w:val="22"/>
        </w:rPr>
        <w:t xml:space="preserve"> instruments, such as legal origin and majority religion, are unlikely to act exclusively through banking system control.  Nonetheless, a range of circumstantial evidence argues </w:t>
      </w:r>
      <w:r w:rsidR="000D6CB5" w:rsidRPr="00F552F0">
        <w:rPr>
          <w:sz w:val="22"/>
          <w:szCs w:val="22"/>
        </w:rPr>
        <w:t>against exclusively reverse causality</w:t>
      </w:r>
      <w:r w:rsidR="00980A93" w:rsidRPr="00F552F0">
        <w:rPr>
          <w:sz w:val="22"/>
          <w:szCs w:val="22"/>
        </w:rPr>
        <w:t xml:space="preserve">.  </w:t>
      </w:r>
    </w:p>
    <w:p w:rsidR="00591AA1" w:rsidRPr="00F552F0" w:rsidRDefault="00441E9C" w:rsidP="00591AA1">
      <w:pPr>
        <w:spacing w:line="440" w:lineRule="exact"/>
        <w:jc w:val="both"/>
        <w:rPr>
          <w:sz w:val="22"/>
          <w:szCs w:val="22"/>
        </w:rPr>
      </w:pPr>
      <w:r w:rsidRPr="00F552F0">
        <w:rPr>
          <w:sz w:val="22"/>
          <w:szCs w:val="22"/>
        </w:rPr>
        <w:tab/>
      </w:r>
      <w:r w:rsidR="00591AA1" w:rsidRPr="00F552F0">
        <w:rPr>
          <w:sz w:val="22"/>
          <w:szCs w:val="22"/>
        </w:rPr>
        <w:t xml:space="preserve">We </w:t>
      </w:r>
      <w:r w:rsidRPr="00F552F0">
        <w:rPr>
          <w:sz w:val="22"/>
          <w:szCs w:val="22"/>
        </w:rPr>
        <w:t xml:space="preserve">tentatively </w:t>
      </w:r>
      <w:r w:rsidR="00591AA1" w:rsidRPr="00F552F0">
        <w:rPr>
          <w:sz w:val="22"/>
          <w:szCs w:val="22"/>
        </w:rPr>
        <w:t>conclude that ent</w:t>
      </w:r>
      <w:r w:rsidR="00FC2CE5" w:rsidRPr="00F552F0">
        <w:rPr>
          <w:sz w:val="22"/>
          <w:szCs w:val="22"/>
        </w:rPr>
        <w:t>rusting the control</w:t>
      </w:r>
      <w:r w:rsidR="00591AA1" w:rsidRPr="00F552F0">
        <w:rPr>
          <w:sz w:val="22"/>
          <w:szCs w:val="22"/>
        </w:rPr>
        <w:t xml:space="preserve"> of large banks to tycoons or </w:t>
      </w:r>
      <w:r w:rsidR="000D6CB5" w:rsidRPr="00F552F0">
        <w:rPr>
          <w:sz w:val="22"/>
          <w:szCs w:val="22"/>
        </w:rPr>
        <w:t xml:space="preserve">old-moneyed business </w:t>
      </w:r>
      <w:r w:rsidR="00591AA1" w:rsidRPr="00F552F0">
        <w:rPr>
          <w:sz w:val="22"/>
          <w:szCs w:val="22"/>
        </w:rPr>
        <w:t xml:space="preserve">families provides </w:t>
      </w:r>
      <w:r w:rsidRPr="00F552F0">
        <w:rPr>
          <w:sz w:val="22"/>
          <w:szCs w:val="22"/>
        </w:rPr>
        <w:t xml:space="preserve">capital allocation </w:t>
      </w:r>
      <w:r w:rsidR="00591AA1" w:rsidRPr="00F552F0">
        <w:rPr>
          <w:sz w:val="22"/>
          <w:szCs w:val="22"/>
        </w:rPr>
        <w:t xml:space="preserve">efficiency losses comparable to those </w:t>
      </w:r>
      <w:r w:rsidR="00E55470" w:rsidRPr="00F552F0">
        <w:rPr>
          <w:sz w:val="22"/>
          <w:szCs w:val="22"/>
        </w:rPr>
        <w:t>associated with</w:t>
      </w:r>
      <w:r w:rsidR="00591AA1" w:rsidRPr="00F552F0">
        <w:rPr>
          <w:sz w:val="22"/>
          <w:szCs w:val="22"/>
        </w:rPr>
        <w:t xml:space="preserve"> </w:t>
      </w:r>
      <w:r w:rsidR="00E55470" w:rsidRPr="00F552F0">
        <w:rPr>
          <w:sz w:val="22"/>
          <w:szCs w:val="22"/>
        </w:rPr>
        <w:t>state-controlled banking</w:t>
      </w:r>
      <w:r w:rsidR="00591AA1" w:rsidRPr="00F552F0">
        <w:rPr>
          <w:sz w:val="22"/>
          <w:szCs w:val="22"/>
        </w:rPr>
        <w:t xml:space="preserve">, augmented by the inequality consequences associated with crony capitalism.  Of course, our results imply neither that tycoon and family control </w:t>
      </w:r>
      <w:r w:rsidR="00393762" w:rsidRPr="00F552F0">
        <w:rPr>
          <w:sz w:val="22"/>
          <w:szCs w:val="22"/>
        </w:rPr>
        <w:t>is</w:t>
      </w:r>
      <w:r w:rsidR="00591AA1" w:rsidRPr="00F552F0">
        <w:rPr>
          <w:sz w:val="22"/>
          <w:szCs w:val="22"/>
        </w:rPr>
        <w:t xml:space="preserve"> always inefficient</w:t>
      </w:r>
      <w:r w:rsidRPr="00F552F0">
        <w:rPr>
          <w:sz w:val="22"/>
          <w:szCs w:val="22"/>
        </w:rPr>
        <w:t>,</w:t>
      </w:r>
      <w:r w:rsidR="00591AA1" w:rsidRPr="00F552F0">
        <w:rPr>
          <w:sz w:val="22"/>
          <w:szCs w:val="22"/>
        </w:rPr>
        <w:t xml:space="preserve"> nor that banking systems predominantly controlled by tycoons or families always harm their countries. Our results do, however, </w:t>
      </w:r>
      <w:r w:rsidR="00393762" w:rsidRPr="00F552F0">
        <w:rPr>
          <w:sz w:val="22"/>
          <w:szCs w:val="22"/>
        </w:rPr>
        <w:t>flag</w:t>
      </w:r>
      <w:r w:rsidR="00591AA1" w:rsidRPr="00F552F0">
        <w:rPr>
          <w:sz w:val="22"/>
          <w:szCs w:val="22"/>
        </w:rPr>
        <w:t xml:space="preserve"> such </w:t>
      </w:r>
      <w:r w:rsidRPr="00F552F0">
        <w:rPr>
          <w:sz w:val="22"/>
          <w:szCs w:val="22"/>
        </w:rPr>
        <w:t xml:space="preserve">beneficent </w:t>
      </w:r>
      <w:r w:rsidR="00591AA1" w:rsidRPr="00F552F0">
        <w:rPr>
          <w:sz w:val="22"/>
          <w:szCs w:val="22"/>
        </w:rPr>
        <w:t xml:space="preserve">cases </w:t>
      </w:r>
      <w:r w:rsidR="00393762" w:rsidRPr="00F552F0">
        <w:rPr>
          <w:sz w:val="22"/>
          <w:szCs w:val="22"/>
        </w:rPr>
        <w:t xml:space="preserve">as </w:t>
      </w:r>
      <w:r w:rsidR="00591AA1" w:rsidRPr="00F552F0">
        <w:rPr>
          <w:sz w:val="22"/>
          <w:szCs w:val="22"/>
        </w:rPr>
        <w:t>atypical and therefore especially deserving of study.</w:t>
      </w:r>
    </w:p>
    <w:p w:rsidR="00393762" w:rsidRPr="00F552F0" w:rsidRDefault="00393762" w:rsidP="00393762">
      <w:pPr>
        <w:spacing w:line="440" w:lineRule="exact"/>
        <w:ind w:firstLine="720"/>
        <w:jc w:val="both"/>
        <w:rPr>
          <w:sz w:val="22"/>
          <w:szCs w:val="22"/>
        </w:rPr>
      </w:pPr>
    </w:p>
    <w:p w:rsidR="00B3259E" w:rsidRPr="00F552F0" w:rsidRDefault="001D2881" w:rsidP="00DF48EA">
      <w:pPr>
        <w:keepNext/>
        <w:spacing w:line="440" w:lineRule="exact"/>
        <w:rPr>
          <w:b/>
          <w:sz w:val="32"/>
        </w:rPr>
      </w:pPr>
      <w:r w:rsidRPr="00F552F0">
        <w:rPr>
          <w:b/>
          <w:sz w:val="32"/>
        </w:rPr>
        <w:t>2</w:t>
      </w:r>
      <w:r w:rsidR="00C37A01" w:rsidRPr="00F552F0">
        <w:rPr>
          <w:b/>
          <w:sz w:val="32"/>
        </w:rPr>
        <w:t>.</w:t>
      </w:r>
      <w:r w:rsidR="004C3644" w:rsidRPr="00F552F0">
        <w:rPr>
          <w:b/>
          <w:sz w:val="32"/>
        </w:rPr>
        <w:tab/>
        <w:t xml:space="preserve">Sample, </w:t>
      </w:r>
      <w:r w:rsidR="00FA5392" w:rsidRPr="00F552F0">
        <w:rPr>
          <w:b/>
          <w:sz w:val="32"/>
        </w:rPr>
        <w:t>d</w:t>
      </w:r>
      <w:r w:rsidR="004C3644" w:rsidRPr="00F552F0">
        <w:rPr>
          <w:b/>
          <w:sz w:val="32"/>
        </w:rPr>
        <w:t xml:space="preserve">ata, and </w:t>
      </w:r>
      <w:r w:rsidR="00FA5392" w:rsidRPr="00F552F0">
        <w:rPr>
          <w:b/>
          <w:sz w:val="32"/>
        </w:rPr>
        <w:t>v</w:t>
      </w:r>
      <w:r w:rsidR="004C3644" w:rsidRPr="00F552F0">
        <w:rPr>
          <w:b/>
          <w:sz w:val="32"/>
        </w:rPr>
        <w:t xml:space="preserve">ariable </w:t>
      </w:r>
      <w:r w:rsidR="00FA5392" w:rsidRPr="00F552F0">
        <w:rPr>
          <w:b/>
          <w:sz w:val="32"/>
        </w:rPr>
        <w:t>c</w:t>
      </w:r>
      <w:r w:rsidR="004C3644" w:rsidRPr="00F552F0">
        <w:rPr>
          <w:b/>
          <w:sz w:val="32"/>
        </w:rPr>
        <w:t>onstruction</w:t>
      </w:r>
    </w:p>
    <w:p w:rsidR="00E21501" w:rsidRPr="00F552F0" w:rsidRDefault="007B4E8F">
      <w:pPr>
        <w:spacing w:line="440" w:lineRule="exact"/>
        <w:ind w:firstLine="720"/>
        <w:jc w:val="both"/>
        <w:rPr>
          <w:sz w:val="22"/>
          <w:szCs w:val="22"/>
        </w:rPr>
      </w:pPr>
      <w:r w:rsidRPr="00F552F0">
        <w:rPr>
          <w:sz w:val="22"/>
          <w:szCs w:val="22"/>
        </w:rPr>
        <w:t>W</w:t>
      </w:r>
      <w:r w:rsidR="00B3259E" w:rsidRPr="00F552F0">
        <w:rPr>
          <w:sz w:val="22"/>
          <w:szCs w:val="22"/>
        </w:rPr>
        <w:t>e construct a set of economy</w:t>
      </w:r>
      <w:r w:rsidRPr="00F552F0">
        <w:rPr>
          <w:sz w:val="22"/>
          <w:szCs w:val="22"/>
        </w:rPr>
        <w:t>-level</w:t>
      </w:r>
      <w:r w:rsidR="00B3259E" w:rsidRPr="00F552F0">
        <w:rPr>
          <w:sz w:val="22"/>
          <w:szCs w:val="22"/>
        </w:rPr>
        <w:t xml:space="preserve"> measures of banking system control and economy performance. This section describes their construction, and that of various control variables we also require.</w:t>
      </w:r>
    </w:p>
    <w:p w:rsidR="00B3259E" w:rsidRPr="00F552F0" w:rsidRDefault="00B3259E">
      <w:pPr>
        <w:spacing w:line="440" w:lineRule="exact"/>
        <w:jc w:val="both"/>
        <w:rPr>
          <w:b/>
          <w:sz w:val="22"/>
          <w:szCs w:val="22"/>
        </w:rPr>
      </w:pPr>
      <w:r w:rsidRPr="00F552F0">
        <w:rPr>
          <w:sz w:val="22"/>
          <w:szCs w:val="22"/>
        </w:rPr>
        <w:t xml:space="preserve"> </w:t>
      </w:r>
    </w:p>
    <w:p w:rsidR="004C3644" w:rsidRPr="00F552F0" w:rsidRDefault="003D5871" w:rsidP="00FA5392">
      <w:pPr>
        <w:keepNext/>
        <w:widowControl w:val="0"/>
        <w:spacing w:line="440" w:lineRule="exact"/>
        <w:jc w:val="both"/>
        <w:rPr>
          <w:i/>
          <w:sz w:val="28"/>
        </w:rPr>
      </w:pPr>
      <w:r w:rsidRPr="00F552F0">
        <w:rPr>
          <w:i/>
          <w:sz w:val="28"/>
        </w:rPr>
        <w:t>2.1.</w:t>
      </w:r>
      <w:r w:rsidRPr="00F552F0">
        <w:rPr>
          <w:i/>
          <w:sz w:val="28"/>
        </w:rPr>
        <w:tab/>
        <w:t xml:space="preserve">Sample </w:t>
      </w:r>
    </w:p>
    <w:p w:rsidR="00E21501" w:rsidRPr="00F552F0" w:rsidRDefault="004C3644">
      <w:pPr>
        <w:spacing w:line="440" w:lineRule="exact"/>
        <w:ind w:firstLine="720"/>
        <w:jc w:val="both"/>
        <w:rPr>
          <w:sz w:val="22"/>
          <w:szCs w:val="22"/>
        </w:rPr>
      </w:pPr>
      <w:r w:rsidRPr="00F552F0">
        <w:rPr>
          <w:sz w:val="22"/>
          <w:szCs w:val="22"/>
        </w:rPr>
        <w:t xml:space="preserve">We start with the 2001 </w:t>
      </w:r>
      <w:r w:rsidR="007A64B7" w:rsidRPr="00F552F0">
        <w:rPr>
          <w:sz w:val="22"/>
          <w:szCs w:val="22"/>
        </w:rPr>
        <w:t xml:space="preserve">global sample of 244 banks </w:t>
      </w:r>
      <w:proofErr w:type="spellStart"/>
      <w:r w:rsidR="007A64B7" w:rsidRPr="00F552F0">
        <w:rPr>
          <w:sz w:val="22"/>
          <w:szCs w:val="22"/>
        </w:rPr>
        <w:t>Caprio</w:t>
      </w:r>
      <w:proofErr w:type="spellEnd"/>
      <w:r w:rsidR="007A64B7" w:rsidRPr="00F552F0">
        <w:rPr>
          <w:sz w:val="22"/>
          <w:szCs w:val="22"/>
        </w:rPr>
        <w:t xml:space="preserve"> </w:t>
      </w:r>
      <w:r w:rsidR="003D5871" w:rsidRPr="00F552F0">
        <w:rPr>
          <w:sz w:val="22"/>
          <w:szCs w:val="22"/>
        </w:rPr>
        <w:t>et al.</w:t>
      </w:r>
      <w:r w:rsidR="007A64B7" w:rsidRPr="00F552F0">
        <w:rPr>
          <w:sz w:val="22"/>
          <w:szCs w:val="22"/>
        </w:rPr>
        <w:t xml:space="preserve"> (2007) use to study banks’ market valuations and equity ownership structures.</w:t>
      </w:r>
      <w:r w:rsidRPr="00F552F0">
        <w:rPr>
          <w:sz w:val="22"/>
          <w:szCs w:val="22"/>
        </w:rPr>
        <w:t xml:space="preserve"> Although this covers 83</w:t>
      </w:r>
      <w:r w:rsidR="00D20091" w:rsidRPr="00F552F0">
        <w:rPr>
          <w:sz w:val="22"/>
          <w:szCs w:val="22"/>
        </w:rPr>
        <w:t>%</w:t>
      </w:r>
      <w:r w:rsidRPr="00F552F0">
        <w:rPr>
          <w:sz w:val="22"/>
          <w:szCs w:val="22"/>
        </w:rPr>
        <w:t xml:space="preserve"> of the total banking assets </w:t>
      </w:r>
      <w:r w:rsidR="001A050C" w:rsidRPr="00F552F0">
        <w:rPr>
          <w:sz w:val="22"/>
          <w:szCs w:val="22"/>
        </w:rPr>
        <w:t>in</w:t>
      </w:r>
      <w:r w:rsidRPr="00F552F0">
        <w:rPr>
          <w:sz w:val="22"/>
          <w:szCs w:val="22"/>
        </w:rPr>
        <w:t xml:space="preserve"> 44 large economies</w:t>
      </w:r>
      <w:r w:rsidR="00E23B71" w:rsidRPr="00F552F0">
        <w:rPr>
          <w:sz w:val="22"/>
          <w:szCs w:val="22"/>
        </w:rPr>
        <w:t xml:space="preserve"> (</w:t>
      </w:r>
      <w:proofErr w:type="spellStart"/>
      <w:r w:rsidR="00E23B71" w:rsidRPr="00F552F0">
        <w:rPr>
          <w:sz w:val="22"/>
          <w:szCs w:val="22"/>
        </w:rPr>
        <w:t>Caprio</w:t>
      </w:r>
      <w:proofErr w:type="spellEnd"/>
      <w:r w:rsidR="00E23B71" w:rsidRPr="00F552F0">
        <w:rPr>
          <w:sz w:val="22"/>
          <w:szCs w:val="22"/>
        </w:rPr>
        <w:t xml:space="preserve"> </w:t>
      </w:r>
      <w:r w:rsidR="003D5871" w:rsidRPr="00F552F0">
        <w:rPr>
          <w:sz w:val="22"/>
          <w:szCs w:val="22"/>
        </w:rPr>
        <w:t>et al.</w:t>
      </w:r>
      <w:r w:rsidR="00E23B71" w:rsidRPr="00F552F0">
        <w:rPr>
          <w:i/>
          <w:sz w:val="22"/>
          <w:szCs w:val="22"/>
        </w:rPr>
        <w:t>,</w:t>
      </w:r>
      <w:r w:rsidR="00E23B71" w:rsidRPr="00F552F0">
        <w:rPr>
          <w:sz w:val="22"/>
          <w:szCs w:val="22"/>
        </w:rPr>
        <w:t xml:space="preserve"> 2007)</w:t>
      </w:r>
      <w:r w:rsidRPr="00F552F0">
        <w:rPr>
          <w:sz w:val="22"/>
          <w:szCs w:val="22"/>
        </w:rPr>
        <w:t>, it omits unlisted banks</w:t>
      </w:r>
      <w:r w:rsidR="00D20091" w:rsidRPr="00F552F0">
        <w:rPr>
          <w:sz w:val="22"/>
          <w:szCs w:val="22"/>
        </w:rPr>
        <w:t>—</w:t>
      </w:r>
      <w:r w:rsidRPr="00F552F0">
        <w:rPr>
          <w:sz w:val="22"/>
          <w:szCs w:val="22"/>
        </w:rPr>
        <w:t>a potentially important subsample</w:t>
      </w:r>
      <w:r w:rsidR="00E23B71" w:rsidRPr="00F552F0">
        <w:rPr>
          <w:sz w:val="22"/>
          <w:szCs w:val="22"/>
        </w:rPr>
        <w:t xml:space="preserve"> for our study because these firms are</w:t>
      </w:r>
      <w:r w:rsidRPr="00F552F0">
        <w:rPr>
          <w:sz w:val="22"/>
          <w:szCs w:val="22"/>
        </w:rPr>
        <w:t xml:space="preserve"> especially likely to be family</w:t>
      </w:r>
      <w:r w:rsidR="00C26254" w:rsidRPr="00F552F0">
        <w:rPr>
          <w:sz w:val="22"/>
          <w:szCs w:val="22"/>
        </w:rPr>
        <w:t>-controlled</w:t>
      </w:r>
      <w:r w:rsidRPr="00F552F0">
        <w:rPr>
          <w:sz w:val="22"/>
          <w:szCs w:val="22"/>
        </w:rPr>
        <w:t xml:space="preserve">. </w:t>
      </w:r>
    </w:p>
    <w:p w:rsidR="004C3644" w:rsidRPr="00F552F0" w:rsidRDefault="004C3644">
      <w:pPr>
        <w:spacing w:line="440" w:lineRule="exact"/>
        <w:ind w:firstLine="720"/>
        <w:jc w:val="both"/>
        <w:rPr>
          <w:sz w:val="22"/>
          <w:szCs w:val="22"/>
        </w:rPr>
      </w:pPr>
      <w:r w:rsidRPr="00F552F0">
        <w:rPr>
          <w:sz w:val="22"/>
          <w:szCs w:val="22"/>
        </w:rPr>
        <w:t xml:space="preserve">We therefore augment these data to include </w:t>
      </w:r>
      <w:r w:rsidR="007A64B7" w:rsidRPr="00F552F0">
        <w:rPr>
          <w:sz w:val="22"/>
          <w:szCs w:val="22"/>
        </w:rPr>
        <w:t>every</w:t>
      </w:r>
      <w:r w:rsidRPr="00F552F0">
        <w:rPr>
          <w:sz w:val="22"/>
          <w:szCs w:val="22"/>
        </w:rPr>
        <w:t xml:space="preserve"> country’s ten largest banks, listed </w:t>
      </w:r>
      <w:r w:rsidR="001A050C" w:rsidRPr="00F552F0">
        <w:rPr>
          <w:sz w:val="22"/>
          <w:szCs w:val="22"/>
        </w:rPr>
        <w:t>or</w:t>
      </w:r>
      <w:r w:rsidRPr="00F552F0">
        <w:rPr>
          <w:sz w:val="22"/>
          <w:szCs w:val="22"/>
        </w:rPr>
        <w:t xml:space="preserve"> unlisted, </w:t>
      </w:r>
      <w:r w:rsidR="007A64B7" w:rsidRPr="00F552F0">
        <w:rPr>
          <w:sz w:val="22"/>
          <w:szCs w:val="22"/>
        </w:rPr>
        <w:t xml:space="preserve">as </w:t>
      </w:r>
      <w:r w:rsidRPr="00F552F0">
        <w:rPr>
          <w:sz w:val="22"/>
          <w:szCs w:val="22"/>
        </w:rPr>
        <w:t xml:space="preserve">ranked by 2001 assets in </w:t>
      </w:r>
      <w:r w:rsidRPr="00F552F0">
        <w:rPr>
          <w:i/>
          <w:sz w:val="22"/>
          <w:szCs w:val="22"/>
        </w:rPr>
        <w:t xml:space="preserve">The Banker </w:t>
      </w:r>
      <w:r w:rsidRPr="00F552F0">
        <w:rPr>
          <w:sz w:val="22"/>
          <w:szCs w:val="22"/>
        </w:rPr>
        <w:t>(2001)</w:t>
      </w:r>
      <w:r w:rsidR="0031367B" w:rsidRPr="00F552F0">
        <w:rPr>
          <w:sz w:val="22"/>
          <w:szCs w:val="22"/>
        </w:rPr>
        <w:t>.</w:t>
      </w:r>
      <w:r w:rsidRPr="00F552F0">
        <w:rPr>
          <w:rStyle w:val="FootnoteReference"/>
          <w:sz w:val="22"/>
          <w:szCs w:val="22"/>
        </w:rPr>
        <w:footnoteReference w:id="1"/>
      </w:r>
      <w:r w:rsidR="00C37A01" w:rsidRPr="00F552F0">
        <w:rPr>
          <w:sz w:val="22"/>
          <w:szCs w:val="22"/>
        </w:rPr>
        <w:t xml:space="preserve"> </w:t>
      </w:r>
      <w:r w:rsidRPr="00F552F0">
        <w:rPr>
          <w:sz w:val="22"/>
          <w:szCs w:val="22"/>
        </w:rPr>
        <w:t xml:space="preserve">If </w:t>
      </w:r>
      <w:r w:rsidRPr="00F552F0">
        <w:rPr>
          <w:i/>
          <w:sz w:val="22"/>
          <w:szCs w:val="22"/>
        </w:rPr>
        <w:t>The Banker</w:t>
      </w:r>
      <w:r w:rsidRPr="00F552F0">
        <w:rPr>
          <w:sz w:val="22"/>
          <w:szCs w:val="22"/>
        </w:rPr>
        <w:t xml:space="preserve"> lists fewer than ten large banks in a country, we add </w:t>
      </w:r>
      <w:r w:rsidR="007A64B7" w:rsidRPr="00F552F0">
        <w:rPr>
          <w:sz w:val="22"/>
          <w:szCs w:val="22"/>
        </w:rPr>
        <w:t>all those</w:t>
      </w:r>
      <w:r w:rsidRPr="00F552F0">
        <w:rPr>
          <w:sz w:val="22"/>
          <w:szCs w:val="22"/>
        </w:rPr>
        <w:t xml:space="preserve"> not already included but </w:t>
      </w:r>
      <w:r w:rsidR="007A64B7" w:rsidRPr="00F552F0">
        <w:rPr>
          <w:sz w:val="22"/>
          <w:szCs w:val="22"/>
        </w:rPr>
        <w:t>covered</w:t>
      </w:r>
      <w:r w:rsidR="0031367B" w:rsidRPr="00F552F0">
        <w:rPr>
          <w:sz w:val="22"/>
          <w:szCs w:val="22"/>
        </w:rPr>
        <w:t xml:space="preserve"> by</w:t>
      </w:r>
      <w:r w:rsidRPr="00F552F0">
        <w:rPr>
          <w:sz w:val="22"/>
          <w:szCs w:val="22"/>
        </w:rPr>
        <w:t xml:space="preserve"> </w:t>
      </w:r>
      <w:proofErr w:type="spellStart"/>
      <w:r w:rsidR="00B632E4" w:rsidRPr="00F552F0">
        <w:rPr>
          <w:sz w:val="22"/>
          <w:szCs w:val="22"/>
        </w:rPr>
        <w:t>Bankscope</w:t>
      </w:r>
      <w:proofErr w:type="spellEnd"/>
      <w:r w:rsidR="007421A7" w:rsidRPr="00F552F0">
        <w:rPr>
          <w:i/>
          <w:sz w:val="22"/>
          <w:szCs w:val="22"/>
        </w:rPr>
        <w:t>.</w:t>
      </w:r>
      <w:r w:rsidR="00953EC2" w:rsidRPr="00F552F0">
        <w:rPr>
          <w:rStyle w:val="FootnoteReference"/>
          <w:i/>
          <w:sz w:val="22"/>
          <w:szCs w:val="22"/>
        </w:rPr>
        <w:footnoteReference w:id="2"/>
      </w:r>
      <w:r w:rsidR="00C37A01" w:rsidRPr="00F552F0">
        <w:rPr>
          <w:sz w:val="22"/>
          <w:szCs w:val="22"/>
        </w:rPr>
        <w:t xml:space="preserve"> </w:t>
      </w:r>
      <w:r w:rsidRPr="00F552F0">
        <w:rPr>
          <w:sz w:val="22"/>
          <w:szCs w:val="22"/>
        </w:rPr>
        <w:t xml:space="preserve">This yields 427 banks from 44 </w:t>
      </w:r>
      <w:r w:rsidRPr="00F552F0">
        <w:rPr>
          <w:sz w:val="22"/>
          <w:szCs w:val="22"/>
        </w:rPr>
        <w:lastRenderedPageBreak/>
        <w:t xml:space="preserve">countries. </w:t>
      </w:r>
      <w:r w:rsidR="001A050C" w:rsidRPr="00F552F0">
        <w:rPr>
          <w:sz w:val="22"/>
          <w:szCs w:val="22"/>
        </w:rPr>
        <w:t xml:space="preserve">After merging our data with the </w:t>
      </w:r>
      <w:proofErr w:type="spellStart"/>
      <w:r w:rsidR="001A050C" w:rsidRPr="00F552F0">
        <w:rPr>
          <w:sz w:val="22"/>
          <w:szCs w:val="22"/>
        </w:rPr>
        <w:t>Caprio</w:t>
      </w:r>
      <w:proofErr w:type="spellEnd"/>
      <w:r w:rsidR="001A050C" w:rsidRPr="00F552F0">
        <w:rPr>
          <w:sz w:val="22"/>
          <w:szCs w:val="22"/>
        </w:rPr>
        <w:t xml:space="preserve"> et al. (2007) sample </w:t>
      </w:r>
      <w:r w:rsidRPr="00F552F0">
        <w:rPr>
          <w:sz w:val="22"/>
          <w:szCs w:val="22"/>
        </w:rPr>
        <w:t>we have fewer than ten banks</w:t>
      </w:r>
      <w:r w:rsidR="001A050C" w:rsidRPr="00F552F0">
        <w:rPr>
          <w:sz w:val="22"/>
          <w:szCs w:val="22"/>
        </w:rPr>
        <w:t xml:space="preserve"> in some countries and</w:t>
      </w:r>
      <w:r w:rsidRPr="00F552F0">
        <w:rPr>
          <w:sz w:val="22"/>
          <w:szCs w:val="22"/>
        </w:rPr>
        <w:t xml:space="preserve"> more than ten banks </w:t>
      </w:r>
      <w:r w:rsidR="001A050C" w:rsidRPr="00F552F0">
        <w:rPr>
          <w:sz w:val="22"/>
          <w:szCs w:val="22"/>
        </w:rPr>
        <w:t>in others</w:t>
      </w:r>
      <w:r w:rsidRPr="00F552F0">
        <w:rPr>
          <w:sz w:val="22"/>
          <w:szCs w:val="22"/>
        </w:rPr>
        <w:t xml:space="preserve">. </w:t>
      </w:r>
    </w:p>
    <w:p w:rsidR="004C3644" w:rsidRPr="00F552F0" w:rsidRDefault="004C3644">
      <w:pPr>
        <w:spacing w:line="440" w:lineRule="exact"/>
        <w:ind w:firstLine="720"/>
        <w:jc w:val="both"/>
        <w:rPr>
          <w:sz w:val="22"/>
          <w:szCs w:val="22"/>
        </w:rPr>
      </w:pPr>
      <w:r w:rsidRPr="00F552F0">
        <w:rPr>
          <w:sz w:val="22"/>
          <w:szCs w:val="22"/>
        </w:rPr>
        <w:t xml:space="preserve">We then identify the controlling shareholder, if any, for each bank. </w:t>
      </w:r>
      <w:proofErr w:type="spellStart"/>
      <w:r w:rsidRPr="00F552F0">
        <w:rPr>
          <w:sz w:val="22"/>
          <w:szCs w:val="22"/>
        </w:rPr>
        <w:t>Caprio</w:t>
      </w:r>
      <w:proofErr w:type="spellEnd"/>
      <w:r w:rsidRPr="00F552F0">
        <w:rPr>
          <w:sz w:val="22"/>
          <w:szCs w:val="22"/>
        </w:rPr>
        <w:t xml:space="preserve"> </w:t>
      </w:r>
      <w:r w:rsidR="003D5871" w:rsidRPr="00F552F0">
        <w:rPr>
          <w:sz w:val="22"/>
          <w:szCs w:val="22"/>
        </w:rPr>
        <w:t>et al.</w:t>
      </w:r>
      <w:r w:rsidRPr="00F552F0">
        <w:rPr>
          <w:sz w:val="22"/>
          <w:szCs w:val="22"/>
        </w:rPr>
        <w:t xml:space="preserve"> (2007) detail the control structures of the 244 banks in that sample, so we need </w:t>
      </w:r>
      <w:r w:rsidR="001C5C21" w:rsidRPr="00F552F0">
        <w:rPr>
          <w:sz w:val="22"/>
          <w:szCs w:val="22"/>
        </w:rPr>
        <w:t xml:space="preserve">to </w:t>
      </w:r>
      <w:r w:rsidRPr="00F552F0">
        <w:rPr>
          <w:sz w:val="22"/>
          <w:szCs w:val="22"/>
        </w:rPr>
        <w:t xml:space="preserve">fill in control data for the additional banks. </w:t>
      </w:r>
      <w:proofErr w:type="spellStart"/>
      <w:r w:rsidR="00B632E4" w:rsidRPr="00F552F0">
        <w:rPr>
          <w:sz w:val="22"/>
          <w:szCs w:val="22"/>
        </w:rPr>
        <w:t>Bankscope</w:t>
      </w:r>
      <w:proofErr w:type="spellEnd"/>
      <w:r w:rsidR="00724037" w:rsidRPr="00F552F0">
        <w:rPr>
          <w:sz w:val="22"/>
          <w:szCs w:val="22"/>
        </w:rPr>
        <w:t>,</w:t>
      </w:r>
      <w:r w:rsidRPr="00F552F0">
        <w:rPr>
          <w:sz w:val="22"/>
          <w:szCs w:val="22"/>
        </w:rPr>
        <w:t xml:space="preserve"> provides this </w:t>
      </w:r>
      <w:proofErr w:type="spellStart"/>
      <w:r w:rsidRPr="00F552F0">
        <w:rPr>
          <w:sz w:val="22"/>
          <w:szCs w:val="22"/>
        </w:rPr>
        <w:t>informatio</w:t>
      </w:r>
      <w:r w:rsidR="00724037" w:rsidRPr="00F552F0">
        <w:rPr>
          <w:sz w:val="22"/>
          <w:szCs w:val="22"/>
        </w:rPr>
        <w:t>n</w:t>
      </w:r>
      <w:r w:rsidRPr="00F552F0">
        <w:rPr>
          <w:sz w:val="22"/>
          <w:szCs w:val="22"/>
        </w:rPr>
        <w:t>in</w:t>
      </w:r>
      <w:proofErr w:type="spellEnd"/>
      <w:r w:rsidRPr="00F552F0">
        <w:rPr>
          <w:sz w:val="22"/>
          <w:szCs w:val="22"/>
        </w:rPr>
        <w:t xml:space="preserve"> </w:t>
      </w:r>
      <w:r w:rsidR="001A050C" w:rsidRPr="00F552F0">
        <w:rPr>
          <w:sz w:val="22"/>
          <w:szCs w:val="22"/>
        </w:rPr>
        <w:t>most</w:t>
      </w:r>
      <w:r w:rsidRPr="00F552F0">
        <w:rPr>
          <w:sz w:val="22"/>
          <w:szCs w:val="22"/>
        </w:rPr>
        <w:t xml:space="preserve"> cases for 2001, </w:t>
      </w:r>
      <w:r w:rsidR="001A050C" w:rsidRPr="00F552F0">
        <w:rPr>
          <w:sz w:val="22"/>
          <w:szCs w:val="22"/>
        </w:rPr>
        <w:t>and</w:t>
      </w:r>
      <w:r w:rsidRPr="00F552F0">
        <w:rPr>
          <w:sz w:val="22"/>
          <w:szCs w:val="22"/>
        </w:rPr>
        <w:t xml:space="preserve"> more comprehensively for 2002 and subsequently. </w:t>
      </w:r>
      <w:r w:rsidR="0031367B" w:rsidRPr="00F552F0">
        <w:rPr>
          <w:sz w:val="22"/>
          <w:szCs w:val="22"/>
        </w:rPr>
        <w:t xml:space="preserve">This leaves us with a grand total of 324 listed and unlisted banks </w:t>
      </w:r>
      <w:r w:rsidR="00376925" w:rsidRPr="00F552F0">
        <w:rPr>
          <w:sz w:val="22"/>
          <w:szCs w:val="22"/>
        </w:rPr>
        <w:t>whose</w:t>
      </w:r>
      <w:r w:rsidR="0031367B" w:rsidRPr="00F552F0">
        <w:rPr>
          <w:sz w:val="22"/>
          <w:szCs w:val="22"/>
        </w:rPr>
        <w:t xml:space="preserve"> controlling owner</w:t>
      </w:r>
      <w:r w:rsidR="00376925" w:rsidRPr="00F552F0">
        <w:rPr>
          <w:sz w:val="22"/>
          <w:szCs w:val="22"/>
        </w:rPr>
        <w:t xml:space="preserve"> we can identify</w:t>
      </w:r>
      <w:r w:rsidR="0031367B" w:rsidRPr="00F552F0">
        <w:rPr>
          <w:sz w:val="22"/>
          <w:szCs w:val="22"/>
        </w:rPr>
        <w:t xml:space="preserve">. </w:t>
      </w:r>
      <w:r w:rsidRPr="00F552F0">
        <w:rPr>
          <w:sz w:val="22"/>
          <w:szCs w:val="22"/>
        </w:rPr>
        <w:t xml:space="preserve">A controlling owner is identified by 2001 for </w:t>
      </w:r>
      <w:r w:rsidR="00FB3043" w:rsidRPr="00F552F0">
        <w:rPr>
          <w:sz w:val="22"/>
          <w:szCs w:val="22"/>
        </w:rPr>
        <w:t>79</w:t>
      </w:r>
      <w:r w:rsidRPr="00F552F0">
        <w:rPr>
          <w:sz w:val="22"/>
          <w:szCs w:val="22"/>
        </w:rPr>
        <w:t xml:space="preserve">% of our sample and by 2003 for </w:t>
      </w:r>
      <w:r w:rsidR="00FB3043" w:rsidRPr="00F552F0">
        <w:rPr>
          <w:sz w:val="22"/>
          <w:szCs w:val="22"/>
        </w:rPr>
        <w:t>94</w:t>
      </w:r>
      <w:r w:rsidRPr="00F552F0">
        <w:rPr>
          <w:sz w:val="22"/>
          <w:szCs w:val="22"/>
        </w:rPr>
        <w:t xml:space="preserve">% of the sample. </w:t>
      </w:r>
    </w:p>
    <w:p w:rsidR="004C3644" w:rsidRPr="00F552F0" w:rsidRDefault="004C3644">
      <w:pPr>
        <w:spacing w:line="440" w:lineRule="exact"/>
        <w:jc w:val="both"/>
      </w:pPr>
    </w:p>
    <w:p w:rsidR="004C3644" w:rsidRPr="00F552F0" w:rsidRDefault="003D5871">
      <w:pPr>
        <w:keepNext/>
        <w:spacing w:line="440" w:lineRule="exact"/>
        <w:jc w:val="both"/>
        <w:rPr>
          <w:i/>
          <w:sz w:val="28"/>
        </w:rPr>
      </w:pPr>
      <w:r w:rsidRPr="00F552F0">
        <w:rPr>
          <w:i/>
          <w:sz w:val="28"/>
        </w:rPr>
        <w:t>2.2.</w:t>
      </w:r>
      <w:r w:rsidRPr="00F552F0">
        <w:rPr>
          <w:i/>
          <w:sz w:val="28"/>
        </w:rPr>
        <w:tab/>
        <w:t>Defining and classifying banks’ controlling shareholders</w:t>
      </w:r>
    </w:p>
    <w:p w:rsidR="00E21501" w:rsidRPr="00F552F0" w:rsidRDefault="004C3644">
      <w:pPr>
        <w:widowControl w:val="0"/>
        <w:autoSpaceDE w:val="0"/>
        <w:autoSpaceDN w:val="0"/>
        <w:adjustRightInd w:val="0"/>
        <w:spacing w:line="440" w:lineRule="exact"/>
        <w:ind w:firstLine="720"/>
        <w:jc w:val="both"/>
        <w:rPr>
          <w:color w:val="000000"/>
          <w:sz w:val="22"/>
          <w:szCs w:val="22"/>
        </w:rPr>
      </w:pPr>
      <w:r w:rsidRPr="00F552F0">
        <w:rPr>
          <w:color w:val="000000"/>
          <w:sz w:val="22"/>
          <w:szCs w:val="22"/>
        </w:rPr>
        <w:t xml:space="preserve">We ascertain each bank’s </w:t>
      </w:r>
      <w:r w:rsidR="006C2D3C" w:rsidRPr="00F552F0">
        <w:rPr>
          <w:color w:val="000000"/>
          <w:sz w:val="22"/>
          <w:szCs w:val="22"/>
        </w:rPr>
        <w:t>ultimate</w:t>
      </w:r>
      <w:r w:rsidRPr="00F552F0">
        <w:rPr>
          <w:color w:val="000000"/>
          <w:sz w:val="22"/>
          <w:szCs w:val="22"/>
        </w:rPr>
        <w:t xml:space="preserve"> owner</w:t>
      </w:r>
      <w:r w:rsidR="006C2D3C" w:rsidRPr="00F552F0">
        <w:rPr>
          <w:color w:val="000000"/>
          <w:sz w:val="22"/>
          <w:szCs w:val="22"/>
        </w:rPr>
        <w:t>s</w:t>
      </w:r>
      <w:r w:rsidRPr="00F552F0">
        <w:rPr>
          <w:color w:val="000000"/>
          <w:sz w:val="22"/>
          <w:szCs w:val="22"/>
        </w:rPr>
        <w:t xml:space="preserve">, if any, as in </w:t>
      </w:r>
      <w:proofErr w:type="spellStart"/>
      <w:r w:rsidRPr="00F552F0">
        <w:rPr>
          <w:color w:val="000000"/>
          <w:sz w:val="22"/>
          <w:szCs w:val="22"/>
        </w:rPr>
        <w:t>Caprio</w:t>
      </w:r>
      <w:proofErr w:type="spellEnd"/>
      <w:r w:rsidRPr="00F552F0">
        <w:rPr>
          <w:color w:val="000000"/>
          <w:sz w:val="22"/>
          <w:szCs w:val="22"/>
        </w:rPr>
        <w:t xml:space="preserve"> </w:t>
      </w:r>
      <w:r w:rsidR="003D5871" w:rsidRPr="00F552F0">
        <w:rPr>
          <w:color w:val="000000"/>
          <w:sz w:val="22"/>
          <w:szCs w:val="22"/>
        </w:rPr>
        <w:t>et al.</w:t>
      </w:r>
      <w:r w:rsidRPr="00F552F0">
        <w:rPr>
          <w:color w:val="000000"/>
          <w:sz w:val="22"/>
          <w:szCs w:val="22"/>
        </w:rPr>
        <w:t xml:space="preserve"> (2007) </w:t>
      </w:r>
      <w:r w:rsidR="00C560D5" w:rsidRPr="00F552F0">
        <w:rPr>
          <w:color w:val="000000"/>
          <w:sz w:val="22"/>
          <w:szCs w:val="22"/>
        </w:rPr>
        <w:t xml:space="preserve">and La </w:t>
      </w:r>
      <w:proofErr w:type="spellStart"/>
      <w:r w:rsidR="00C560D5" w:rsidRPr="00F552F0">
        <w:rPr>
          <w:color w:val="000000"/>
          <w:sz w:val="22"/>
          <w:szCs w:val="22"/>
        </w:rPr>
        <w:t>Porta</w:t>
      </w:r>
      <w:proofErr w:type="spellEnd"/>
      <w:r w:rsidR="00C560D5" w:rsidRPr="00F552F0">
        <w:rPr>
          <w:color w:val="000000"/>
          <w:sz w:val="22"/>
          <w:szCs w:val="22"/>
        </w:rPr>
        <w:t xml:space="preserve"> </w:t>
      </w:r>
      <w:r w:rsidR="003D5871" w:rsidRPr="00F552F0">
        <w:rPr>
          <w:color w:val="000000"/>
          <w:sz w:val="22"/>
          <w:szCs w:val="22"/>
        </w:rPr>
        <w:t>et al.</w:t>
      </w:r>
      <w:r w:rsidR="00C560D5" w:rsidRPr="00F552F0">
        <w:rPr>
          <w:color w:val="000000"/>
          <w:sz w:val="22"/>
          <w:szCs w:val="22"/>
        </w:rPr>
        <w:t xml:space="preserve"> (2002</w:t>
      </w:r>
      <w:r w:rsidR="00724037" w:rsidRPr="00F552F0">
        <w:rPr>
          <w:color w:val="000000"/>
          <w:sz w:val="22"/>
          <w:szCs w:val="22"/>
        </w:rPr>
        <w:t>a</w:t>
      </w:r>
      <w:r w:rsidR="00C560D5" w:rsidRPr="00F552F0">
        <w:rPr>
          <w:color w:val="000000"/>
          <w:sz w:val="22"/>
          <w:szCs w:val="22"/>
        </w:rPr>
        <w:t xml:space="preserve">). That is, we first identify all shareholders </w:t>
      </w:r>
      <w:r w:rsidR="008E3BC8" w:rsidRPr="00F552F0">
        <w:rPr>
          <w:color w:val="000000"/>
          <w:sz w:val="22"/>
          <w:szCs w:val="22"/>
        </w:rPr>
        <w:t>with</w:t>
      </w:r>
      <w:r w:rsidR="00C560D5" w:rsidRPr="00F552F0">
        <w:rPr>
          <w:color w:val="000000"/>
          <w:sz w:val="22"/>
          <w:szCs w:val="22"/>
        </w:rPr>
        <w:t xml:space="preserve"> vot</w:t>
      </w:r>
      <w:r w:rsidR="00BD3E3B" w:rsidRPr="00F552F0">
        <w:rPr>
          <w:color w:val="000000"/>
          <w:sz w:val="22"/>
          <w:szCs w:val="22"/>
        </w:rPr>
        <w:t>ing</w:t>
      </w:r>
      <w:r w:rsidR="00C560D5" w:rsidRPr="00F552F0">
        <w:rPr>
          <w:color w:val="000000"/>
          <w:sz w:val="22"/>
          <w:szCs w:val="22"/>
        </w:rPr>
        <w:t xml:space="preserve"> blocks of</w:t>
      </w:r>
      <w:r w:rsidR="00724037" w:rsidRPr="00F552F0">
        <w:rPr>
          <w:color w:val="000000"/>
          <w:sz w:val="22"/>
          <w:szCs w:val="22"/>
        </w:rPr>
        <w:t xml:space="preserve"> 5% </w:t>
      </w:r>
      <w:r w:rsidR="00C560D5" w:rsidRPr="00F552F0">
        <w:rPr>
          <w:color w:val="000000"/>
          <w:sz w:val="22"/>
          <w:szCs w:val="22"/>
        </w:rPr>
        <w:t xml:space="preserve">or more. If these are state organs or biological persons, we call them </w:t>
      </w:r>
      <w:r w:rsidR="00C560D5" w:rsidRPr="00F552F0">
        <w:rPr>
          <w:i/>
          <w:color w:val="000000"/>
          <w:sz w:val="22"/>
          <w:szCs w:val="22"/>
        </w:rPr>
        <w:t>ultimate owners</w:t>
      </w:r>
      <w:r w:rsidR="00EF6B67" w:rsidRPr="00F552F0">
        <w:rPr>
          <w:color w:val="000000"/>
          <w:sz w:val="22"/>
          <w:szCs w:val="22"/>
        </w:rPr>
        <w:t xml:space="preserve">. </w:t>
      </w:r>
      <w:r w:rsidR="009461DC" w:rsidRPr="00F552F0">
        <w:rPr>
          <w:color w:val="000000"/>
          <w:sz w:val="22"/>
          <w:szCs w:val="22"/>
        </w:rPr>
        <w:t>However,</w:t>
      </w:r>
      <w:r w:rsidR="00EF6B67" w:rsidRPr="00F552F0">
        <w:rPr>
          <w:color w:val="000000"/>
          <w:sz w:val="22"/>
          <w:szCs w:val="22"/>
        </w:rPr>
        <w:t xml:space="preserve"> most</w:t>
      </w:r>
      <w:r w:rsidR="00C560D5" w:rsidRPr="00F552F0">
        <w:rPr>
          <w:color w:val="000000"/>
          <w:sz w:val="22"/>
          <w:szCs w:val="22"/>
        </w:rPr>
        <w:t xml:space="preserve"> </w:t>
      </w:r>
      <w:proofErr w:type="spellStart"/>
      <w:r w:rsidR="009461DC" w:rsidRPr="00F552F0">
        <w:rPr>
          <w:color w:val="000000"/>
          <w:sz w:val="22"/>
          <w:szCs w:val="22"/>
        </w:rPr>
        <w:t>block</w:t>
      </w:r>
      <w:r w:rsidR="002D1FD2" w:rsidRPr="00F552F0">
        <w:rPr>
          <w:color w:val="000000"/>
          <w:sz w:val="22"/>
          <w:szCs w:val="22"/>
        </w:rPr>
        <w:t>holders</w:t>
      </w:r>
      <w:proofErr w:type="spellEnd"/>
      <w:r w:rsidR="002D1FD2" w:rsidRPr="00F552F0">
        <w:rPr>
          <w:color w:val="000000"/>
          <w:sz w:val="22"/>
          <w:szCs w:val="22"/>
        </w:rPr>
        <w:t xml:space="preserve"> in most banks</w:t>
      </w:r>
      <w:r w:rsidR="00C560D5" w:rsidRPr="00F552F0">
        <w:rPr>
          <w:color w:val="000000"/>
          <w:sz w:val="22"/>
          <w:szCs w:val="22"/>
        </w:rPr>
        <w:t xml:space="preserve"> are corporations. We identify these corporations’ owners, their owners’ owners, and so on until reaching </w:t>
      </w:r>
      <w:r w:rsidR="002D1FD2" w:rsidRPr="00F552F0">
        <w:rPr>
          <w:color w:val="000000"/>
          <w:sz w:val="22"/>
          <w:szCs w:val="22"/>
        </w:rPr>
        <w:t>either discern</w:t>
      </w:r>
      <w:r w:rsidR="00724037" w:rsidRPr="00F552F0">
        <w:rPr>
          <w:color w:val="000000"/>
          <w:sz w:val="22"/>
          <w:szCs w:val="22"/>
        </w:rPr>
        <w:t>i</w:t>
      </w:r>
      <w:r w:rsidR="002D1FD2" w:rsidRPr="00F552F0">
        <w:rPr>
          <w:color w:val="000000"/>
          <w:sz w:val="22"/>
          <w:szCs w:val="22"/>
        </w:rPr>
        <w:t xml:space="preserve">ble </w:t>
      </w:r>
      <w:r w:rsidR="00EF6B67" w:rsidRPr="00F552F0">
        <w:rPr>
          <w:color w:val="000000"/>
          <w:sz w:val="22"/>
          <w:szCs w:val="22"/>
        </w:rPr>
        <w:t>ultimate owner</w:t>
      </w:r>
      <w:r w:rsidR="002D1FD2" w:rsidRPr="00F552F0">
        <w:rPr>
          <w:color w:val="000000"/>
          <w:sz w:val="22"/>
          <w:szCs w:val="22"/>
        </w:rPr>
        <w:t>s</w:t>
      </w:r>
      <w:r w:rsidR="00EF6B67" w:rsidRPr="00F552F0">
        <w:rPr>
          <w:color w:val="000000"/>
          <w:sz w:val="22"/>
          <w:szCs w:val="22"/>
        </w:rPr>
        <w:t xml:space="preserve"> (state organ</w:t>
      </w:r>
      <w:r w:rsidR="002D1FD2" w:rsidRPr="00F552F0">
        <w:rPr>
          <w:color w:val="000000"/>
          <w:sz w:val="22"/>
          <w:szCs w:val="22"/>
        </w:rPr>
        <w:t>s</w:t>
      </w:r>
      <w:r w:rsidR="006C2D3C" w:rsidRPr="00F552F0">
        <w:rPr>
          <w:color w:val="000000"/>
          <w:sz w:val="22"/>
          <w:szCs w:val="22"/>
        </w:rPr>
        <w:t xml:space="preserve"> or</w:t>
      </w:r>
      <w:r w:rsidR="00EF6B67" w:rsidRPr="00F552F0">
        <w:rPr>
          <w:color w:val="000000"/>
          <w:sz w:val="22"/>
          <w:szCs w:val="22"/>
        </w:rPr>
        <w:t xml:space="preserve"> biological person</w:t>
      </w:r>
      <w:r w:rsidR="002D1FD2" w:rsidRPr="00F552F0">
        <w:rPr>
          <w:color w:val="000000"/>
          <w:sz w:val="22"/>
          <w:szCs w:val="22"/>
        </w:rPr>
        <w:t>s</w:t>
      </w:r>
      <w:r w:rsidR="00EF6B67" w:rsidRPr="00F552F0">
        <w:rPr>
          <w:color w:val="000000"/>
          <w:sz w:val="22"/>
          <w:szCs w:val="22"/>
        </w:rPr>
        <w:t xml:space="preserve">) or </w:t>
      </w:r>
      <w:r w:rsidR="002D1FD2" w:rsidRPr="00F552F0">
        <w:rPr>
          <w:color w:val="000000"/>
          <w:sz w:val="22"/>
          <w:szCs w:val="22"/>
        </w:rPr>
        <w:t>diffusely</w:t>
      </w:r>
      <w:r w:rsidR="00FB58DE" w:rsidRPr="00F552F0">
        <w:rPr>
          <w:color w:val="000000"/>
          <w:sz w:val="22"/>
          <w:szCs w:val="22"/>
        </w:rPr>
        <w:t xml:space="preserve"> </w:t>
      </w:r>
      <w:r w:rsidR="002D1FD2" w:rsidRPr="00F552F0">
        <w:rPr>
          <w:color w:val="000000"/>
          <w:sz w:val="22"/>
          <w:szCs w:val="22"/>
        </w:rPr>
        <w:t>held entities</w:t>
      </w:r>
      <w:r w:rsidR="00EF6B67" w:rsidRPr="00F552F0">
        <w:rPr>
          <w:color w:val="000000"/>
          <w:sz w:val="22"/>
          <w:szCs w:val="22"/>
        </w:rPr>
        <w:t xml:space="preserve">. </w:t>
      </w:r>
      <w:r w:rsidR="00FB58DE" w:rsidRPr="00F552F0">
        <w:rPr>
          <w:color w:val="000000"/>
          <w:sz w:val="22"/>
          <w:szCs w:val="22"/>
        </w:rPr>
        <w:t>We then work through these chains, aggregating</w:t>
      </w:r>
      <w:r w:rsidRPr="00F552F0">
        <w:rPr>
          <w:color w:val="000000"/>
          <w:sz w:val="22"/>
          <w:szCs w:val="22"/>
        </w:rPr>
        <w:t xml:space="preserve"> voting blocks </w:t>
      </w:r>
      <w:r w:rsidR="009461DC" w:rsidRPr="00F552F0">
        <w:rPr>
          <w:color w:val="000000"/>
          <w:sz w:val="22"/>
          <w:szCs w:val="22"/>
        </w:rPr>
        <w:t>of</w:t>
      </w:r>
      <w:r w:rsidRPr="00F552F0">
        <w:rPr>
          <w:color w:val="000000"/>
          <w:sz w:val="22"/>
          <w:szCs w:val="22"/>
        </w:rPr>
        <w:t xml:space="preserve"> common ultimate owners</w:t>
      </w:r>
      <w:r w:rsidR="009E7B40" w:rsidRPr="00F552F0">
        <w:rPr>
          <w:color w:val="000000"/>
          <w:sz w:val="22"/>
          <w:szCs w:val="22"/>
        </w:rPr>
        <w:t xml:space="preserve"> </w:t>
      </w:r>
      <w:r w:rsidR="009461DC" w:rsidRPr="00F552F0">
        <w:rPr>
          <w:color w:val="000000"/>
          <w:sz w:val="22"/>
          <w:szCs w:val="22"/>
        </w:rPr>
        <w:t>by</w:t>
      </w:r>
      <w:r w:rsidR="009E7B40" w:rsidRPr="00F552F0">
        <w:rPr>
          <w:color w:val="000000"/>
          <w:sz w:val="22"/>
          <w:szCs w:val="22"/>
        </w:rPr>
        <w:t xml:space="preserve"> </w:t>
      </w:r>
      <w:r w:rsidRPr="00F552F0">
        <w:rPr>
          <w:color w:val="000000"/>
          <w:sz w:val="22"/>
          <w:szCs w:val="22"/>
        </w:rPr>
        <w:t xml:space="preserve">assuming members </w:t>
      </w:r>
      <w:r w:rsidR="006C2D3C" w:rsidRPr="00F552F0">
        <w:rPr>
          <w:color w:val="000000"/>
          <w:sz w:val="22"/>
          <w:szCs w:val="22"/>
        </w:rPr>
        <w:t xml:space="preserve">of a family </w:t>
      </w:r>
      <w:r w:rsidRPr="00F552F0">
        <w:rPr>
          <w:color w:val="000000"/>
          <w:sz w:val="22"/>
          <w:szCs w:val="22"/>
        </w:rPr>
        <w:t xml:space="preserve">act in concert and state organs </w:t>
      </w:r>
      <w:r w:rsidR="00C560D5" w:rsidRPr="00F552F0">
        <w:rPr>
          <w:color w:val="000000"/>
          <w:sz w:val="22"/>
          <w:szCs w:val="22"/>
        </w:rPr>
        <w:t>obey</w:t>
      </w:r>
      <w:r w:rsidRPr="00F552F0">
        <w:rPr>
          <w:color w:val="000000"/>
          <w:sz w:val="22"/>
          <w:szCs w:val="22"/>
        </w:rPr>
        <w:t xml:space="preserve"> a single authority</w:t>
      </w:r>
      <w:r w:rsidR="002D1FD2" w:rsidRPr="00F552F0">
        <w:rPr>
          <w:color w:val="000000"/>
          <w:sz w:val="22"/>
          <w:szCs w:val="22"/>
        </w:rPr>
        <w:t>.</w:t>
      </w:r>
      <w:r w:rsidR="00FB58DE" w:rsidRPr="00F552F0">
        <w:rPr>
          <w:color w:val="000000"/>
          <w:sz w:val="22"/>
          <w:szCs w:val="22"/>
        </w:rPr>
        <w:t xml:space="preserve"> At each link in </w:t>
      </w:r>
      <w:r w:rsidR="009E7B40" w:rsidRPr="00F552F0">
        <w:rPr>
          <w:color w:val="000000"/>
          <w:sz w:val="22"/>
          <w:szCs w:val="22"/>
        </w:rPr>
        <w:t>these</w:t>
      </w:r>
      <w:r w:rsidR="00FB58DE" w:rsidRPr="00F552F0">
        <w:rPr>
          <w:color w:val="000000"/>
          <w:sz w:val="22"/>
          <w:szCs w:val="22"/>
        </w:rPr>
        <w:t xml:space="preserve"> chain</w:t>
      </w:r>
      <w:r w:rsidR="009E7B40" w:rsidRPr="00F552F0">
        <w:rPr>
          <w:color w:val="000000"/>
          <w:sz w:val="22"/>
          <w:szCs w:val="22"/>
        </w:rPr>
        <w:t>s</w:t>
      </w:r>
      <w:r w:rsidR="00FB58DE" w:rsidRPr="00F552F0">
        <w:rPr>
          <w:color w:val="000000"/>
          <w:sz w:val="22"/>
          <w:szCs w:val="22"/>
        </w:rPr>
        <w:t xml:space="preserve">, we </w:t>
      </w:r>
      <w:r w:rsidR="009E7B40" w:rsidRPr="00F552F0">
        <w:rPr>
          <w:color w:val="000000"/>
          <w:sz w:val="22"/>
          <w:szCs w:val="22"/>
        </w:rPr>
        <w:t>assign</w:t>
      </w:r>
      <w:r w:rsidR="00FB58DE" w:rsidRPr="00F552F0">
        <w:rPr>
          <w:color w:val="000000"/>
          <w:sz w:val="22"/>
          <w:szCs w:val="22"/>
        </w:rPr>
        <w:t xml:space="preserve"> control </w:t>
      </w:r>
      <w:r w:rsidR="009E7B40" w:rsidRPr="00F552F0">
        <w:rPr>
          <w:color w:val="000000"/>
          <w:sz w:val="22"/>
          <w:szCs w:val="22"/>
        </w:rPr>
        <w:t>to</w:t>
      </w:r>
      <w:r w:rsidR="00FB58DE" w:rsidRPr="00F552F0">
        <w:rPr>
          <w:color w:val="000000"/>
          <w:sz w:val="22"/>
          <w:szCs w:val="22"/>
        </w:rPr>
        <w:t xml:space="preserve"> the ultimate owner </w:t>
      </w:r>
      <w:r w:rsidR="009E7B40" w:rsidRPr="00F552F0">
        <w:rPr>
          <w:color w:val="000000"/>
          <w:sz w:val="22"/>
          <w:szCs w:val="22"/>
        </w:rPr>
        <w:t>with the largest combined voting block of</w:t>
      </w:r>
      <w:r w:rsidR="00724037" w:rsidRPr="00F552F0">
        <w:rPr>
          <w:color w:val="000000"/>
          <w:sz w:val="22"/>
          <w:szCs w:val="22"/>
        </w:rPr>
        <w:t xml:space="preserve"> 10%</w:t>
      </w:r>
      <w:r w:rsidR="009E7B40" w:rsidRPr="00F552F0">
        <w:rPr>
          <w:color w:val="000000"/>
          <w:sz w:val="22"/>
          <w:szCs w:val="22"/>
        </w:rPr>
        <w:t xml:space="preserve"> or more, combining direct ownership with indirect ownership by dint of </w:t>
      </w:r>
      <w:r w:rsidR="002D1FD2" w:rsidRPr="00F552F0">
        <w:rPr>
          <w:color w:val="000000"/>
          <w:sz w:val="22"/>
          <w:szCs w:val="22"/>
        </w:rPr>
        <w:t xml:space="preserve">controlling </w:t>
      </w:r>
      <w:r w:rsidR="009E7B40" w:rsidRPr="00F552F0">
        <w:rPr>
          <w:color w:val="000000"/>
          <w:sz w:val="22"/>
          <w:szCs w:val="22"/>
        </w:rPr>
        <w:t xml:space="preserve">other </w:t>
      </w:r>
      <w:r w:rsidR="002D1FD2" w:rsidRPr="00F552F0">
        <w:rPr>
          <w:color w:val="000000"/>
          <w:sz w:val="22"/>
          <w:szCs w:val="22"/>
        </w:rPr>
        <w:t xml:space="preserve">corporations </w:t>
      </w:r>
      <w:r w:rsidR="00174334" w:rsidRPr="00F552F0">
        <w:rPr>
          <w:color w:val="000000"/>
          <w:sz w:val="22"/>
          <w:szCs w:val="22"/>
        </w:rPr>
        <w:t>owning</w:t>
      </w:r>
      <w:r w:rsidR="00FB58DE" w:rsidRPr="00F552F0">
        <w:rPr>
          <w:color w:val="000000"/>
          <w:sz w:val="22"/>
          <w:szCs w:val="22"/>
        </w:rPr>
        <w:t xml:space="preserve"> </w:t>
      </w:r>
      <w:r w:rsidR="009E7B40" w:rsidRPr="00F552F0">
        <w:rPr>
          <w:color w:val="000000"/>
          <w:sz w:val="22"/>
          <w:szCs w:val="22"/>
        </w:rPr>
        <w:t>shares in the corporation in question</w:t>
      </w:r>
      <w:r w:rsidR="00FB58DE" w:rsidRPr="00F552F0">
        <w:rPr>
          <w:color w:val="000000"/>
          <w:sz w:val="22"/>
          <w:szCs w:val="22"/>
        </w:rPr>
        <w:t xml:space="preserve">. </w:t>
      </w:r>
      <w:r w:rsidR="002D1FD2" w:rsidRPr="00F552F0">
        <w:rPr>
          <w:color w:val="000000"/>
          <w:sz w:val="22"/>
          <w:szCs w:val="22"/>
        </w:rPr>
        <w:t>If no</w:t>
      </w:r>
      <w:r w:rsidR="00724037" w:rsidRPr="00F552F0">
        <w:rPr>
          <w:color w:val="000000"/>
          <w:sz w:val="22"/>
          <w:szCs w:val="22"/>
        </w:rPr>
        <w:t xml:space="preserve"> 10%</w:t>
      </w:r>
      <w:r w:rsidR="002D1FD2" w:rsidRPr="00F552F0">
        <w:rPr>
          <w:color w:val="000000"/>
          <w:sz w:val="22"/>
          <w:szCs w:val="22"/>
        </w:rPr>
        <w:t xml:space="preserve"> </w:t>
      </w:r>
      <w:r w:rsidR="009E7B40" w:rsidRPr="00F552F0">
        <w:rPr>
          <w:color w:val="000000"/>
          <w:sz w:val="22"/>
          <w:szCs w:val="22"/>
        </w:rPr>
        <w:t xml:space="preserve">voting </w:t>
      </w:r>
      <w:r w:rsidR="002D1FD2" w:rsidRPr="00F552F0">
        <w:rPr>
          <w:color w:val="000000"/>
          <w:sz w:val="22"/>
          <w:szCs w:val="22"/>
        </w:rPr>
        <w:t>block exists, we say the corporation</w:t>
      </w:r>
      <w:r w:rsidR="009E7B40" w:rsidRPr="00F552F0">
        <w:rPr>
          <w:color w:val="000000"/>
          <w:sz w:val="22"/>
          <w:szCs w:val="22"/>
        </w:rPr>
        <w:t xml:space="preserve"> in question</w:t>
      </w:r>
      <w:r w:rsidR="002D1FD2" w:rsidRPr="00F552F0">
        <w:rPr>
          <w:color w:val="000000"/>
          <w:sz w:val="22"/>
          <w:szCs w:val="22"/>
        </w:rPr>
        <w:t xml:space="preserve"> </w:t>
      </w:r>
      <w:r w:rsidR="009E7B40" w:rsidRPr="00F552F0">
        <w:rPr>
          <w:color w:val="000000"/>
          <w:sz w:val="22"/>
          <w:szCs w:val="22"/>
        </w:rPr>
        <w:t>h</w:t>
      </w:r>
      <w:r w:rsidR="00290019" w:rsidRPr="00F552F0">
        <w:rPr>
          <w:color w:val="000000"/>
          <w:sz w:val="22"/>
          <w:szCs w:val="22"/>
        </w:rPr>
        <w:t xml:space="preserve">as no controlling shareholder. </w:t>
      </w:r>
    </w:p>
    <w:p w:rsidR="004C3644" w:rsidRPr="00F552F0" w:rsidRDefault="00FB58DE" w:rsidP="00EF6B67">
      <w:pPr>
        <w:widowControl w:val="0"/>
        <w:autoSpaceDE w:val="0"/>
        <w:autoSpaceDN w:val="0"/>
        <w:adjustRightInd w:val="0"/>
        <w:spacing w:line="440" w:lineRule="exact"/>
        <w:jc w:val="both"/>
        <w:rPr>
          <w:color w:val="000000"/>
          <w:sz w:val="22"/>
          <w:szCs w:val="22"/>
        </w:rPr>
      </w:pPr>
      <w:r w:rsidRPr="00F552F0">
        <w:rPr>
          <w:color w:val="000000"/>
          <w:sz w:val="22"/>
          <w:szCs w:val="22"/>
        </w:rPr>
        <w:tab/>
        <w:t xml:space="preserve">We define </w:t>
      </w:r>
      <w:r w:rsidR="009E7B40" w:rsidRPr="00F552F0">
        <w:rPr>
          <w:color w:val="000000"/>
          <w:sz w:val="22"/>
          <w:szCs w:val="22"/>
        </w:rPr>
        <w:t xml:space="preserve">each bank’s </w:t>
      </w:r>
      <w:r w:rsidR="009E7B40" w:rsidRPr="00F552F0">
        <w:rPr>
          <w:i/>
          <w:color w:val="000000"/>
          <w:sz w:val="22"/>
          <w:szCs w:val="22"/>
        </w:rPr>
        <w:t>controlling shareholder</w:t>
      </w:r>
      <w:r w:rsidR="009461DC" w:rsidRPr="00F552F0">
        <w:rPr>
          <w:color w:val="000000"/>
          <w:sz w:val="22"/>
          <w:szCs w:val="22"/>
        </w:rPr>
        <w:t xml:space="preserve">, if one exists, </w:t>
      </w:r>
      <w:r w:rsidR="009E7B40" w:rsidRPr="00F552F0">
        <w:rPr>
          <w:color w:val="000000"/>
          <w:sz w:val="22"/>
          <w:szCs w:val="22"/>
        </w:rPr>
        <w:t xml:space="preserve">as the </w:t>
      </w:r>
      <w:r w:rsidRPr="00F552F0">
        <w:rPr>
          <w:color w:val="000000"/>
          <w:sz w:val="22"/>
          <w:szCs w:val="22"/>
        </w:rPr>
        <w:t>ultimate owner</w:t>
      </w:r>
      <w:r w:rsidR="009461DC" w:rsidRPr="00F552F0">
        <w:rPr>
          <w:color w:val="000000"/>
          <w:sz w:val="22"/>
          <w:szCs w:val="22"/>
        </w:rPr>
        <w:t xml:space="preserve"> commanding</w:t>
      </w:r>
      <w:r w:rsidRPr="00F552F0">
        <w:rPr>
          <w:color w:val="000000"/>
          <w:sz w:val="22"/>
          <w:szCs w:val="22"/>
        </w:rPr>
        <w:t xml:space="preserve"> the largest voting block of</w:t>
      </w:r>
      <w:r w:rsidR="00724037" w:rsidRPr="00F552F0">
        <w:rPr>
          <w:color w:val="000000"/>
          <w:sz w:val="22"/>
          <w:szCs w:val="22"/>
        </w:rPr>
        <w:t xml:space="preserve"> 10%</w:t>
      </w:r>
      <w:r w:rsidR="003D039C" w:rsidRPr="00F552F0">
        <w:rPr>
          <w:color w:val="000000"/>
          <w:sz w:val="22"/>
          <w:szCs w:val="22"/>
        </w:rPr>
        <w:t xml:space="preserve"> </w:t>
      </w:r>
      <w:r w:rsidR="00724037" w:rsidRPr="00F552F0">
        <w:rPr>
          <w:color w:val="000000"/>
          <w:sz w:val="22"/>
          <w:szCs w:val="22"/>
        </w:rPr>
        <w:t>or</w:t>
      </w:r>
      <w:r w:rsidRPr="00F552F0">
        <w:rPr>
          <w:color w:val="000000"/>
          <w:sz w:val="22"/>
          <w:szCs w:val="22"/>
        </w:rPr>
        <w:t xml:space="preserve"> mor</w:t>
      </w:r>
      <w:r w:rsidR="009E7B40" w:rsidRPr="00F552F0">
        <w:rPr>
          <w:color w:val="000000"/>
          <w:sz w:val="22"/>
          <w:szCs w:val="22"/>
        </w:rPr>
        <w:t>e</w:t>
      </w:r>
      <w:r w:rsidR="00496C0B" w:rsidRPr="00F552F0">
        <w:rPr>
          <w:color w:val="000000"/>
          <w:sz w:val="22"/>
          <w:szCs w:val="22"/>
        </w:rPr>
        <w:t xml:space="preserve">. </w:t>
      </w:r>
      <w:r w:rsidR="004C3644" w:rsidRPr="00F552F0">
        <w:rPr>
          <w:color w:val="000000"/>
          <w:sz w:val="22"/>
          <w:szCs w:val="22"/>
        </w:rPr>
        <w:t xml:space="preserve">Since </w:t>
      </w:r>
      <w:r w:rsidR="00C560D5" w:rsidRPr="00F552F0">
        <w:rPr>
          <w:color w:val="000000"/>
          <w:sz w:val="22"/>
          <w:szCs w:val="22"/>
        </w:rPr>
        <w:t xml:space="preserve">the </w:t>
      </w:r>
      <w:r w:rsidR="004C3644" w:rsidRPr="00F552F0">
        <w:rPr>
          <w:color w:val="000000"/>
          <w:sz w:val="22"/>
          <w:szCs w:val="22"/>
        </w:rPr>
        <w:t xml:space="preserve">transparency of ownership structures </w:t>
      </w:r>
      <w:r w:rsidR="00C560D5" w:rsidRPr="00F552F0">
        <w:rPr>
          <w:color w:val="000000"/>
          <w:sz w:val="22"/>
          <w:szCs w:val="22"/>
        </w:rPr>
        <w:t>varies</w:t>
      </w:r>
      <w:r w:rsidR="004C3644" w:rsidRPr="00F552F0">
        <w:rPr>
          <w:color w:val="000000"/>
          <w:sz w:val="22"/>
          <w:szCs w:val="22"/>
        </w:rPr>
        <w:t xml:space="preserve"> across countries, this mechanical procedure is </w:t>
      </w:r>
      <w:r w:rsidR="00C560D5" w:rsidRPr="00F552F0">
        <w:rPr>
          <w:color w:val="000000"/>
          <w:sz w:val="22"/>
          <w:szCs w:val="22"/>
        </w:rPr>
        <w:t>imperfect</w:t>
      </w:r>
      <w:r w:rsidR="004C3644" w:rsidRPr="00F552F0">
        <w:rPr>
          <w:color w:val="000000"/>
          <w:sz w:val="22"/>
          <w:szCs w:val="22"/>
        </w:rPr>
        <w:t>.</w:t>
      </w:r>
      <w:r w:rsidR="004C3644" w:rsidRPr="00F552F0">
        <w:rPr>
          <w:rStyle w:val="FootnoteReference"/>
          <w:color w:val="000000"/>
          <w:sz w:val="22"/>
          <w:szCs w:val="22"/>
        </w:rPr>
        <w:footnoteReference w:id="3"/>
      </w:r>
      <w:r w:rsidR="00290019" w:rsidRPr="00F552F0">
        <w:rPr>
          <w:color w:val="000000"/>
          <w:sz w:val="22"/>
          <w:szCs w:val="22"/>
        </w:rPr>
        <w:t xml:space="preserve"> </w:t>
      </w:r>
      <w:r w:rsidR="004C3644" w:rsidRPr="00F552F0">
        <w:rPr>
          <w:color w:val="000000"/>
          <w:sz w:val="22"/>
          <w:szCs w:val="22"/>
        </w:rPr>
        <w:t xml:space="preserve">We </w:t>
      </w:r>
      <w:r w:rsidR="00C560D5" w:rsidRPr="00F552F0">
        <w:rPr>
          <w:color w:val="000000"/>
          <w:sz w:val="22"/>
          <w:szCs w:val="22"/>
        </w:rPr>
        <w:t>expect</w:t>
      </w:r>
      <w:r w:rsidR="004C3644" w:rsidRPr="00F552F0">
        <w:rPr>
          <w:color w:val="000000"/>
          <w:sz w:val="22"/>
          <w:szCs w:val="22"/>
        </w:rPr>
        <w:t xml:space="preserve"> to underestimate the prevalence of control blocks in countries with less stringent reporting requirements.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After determining the controlling </w:t>
      </w:r>
      <w:r w:rsidR="009461DC" w:rsidRPr="00F552F0">
        <w:rPr>
          <w:color w:val="000000"/>
          <w:sz w:val="22"/>
          <w:szCs w:val="22"/>
        </w:rPr>
        <w:t>shareholder</w:t>
      </w:r>
      <w:r w:rsidR="00724037" w:rsidRPr="00F552F0">
        <w:rPr>
          <w:color w:val="000000"/>
          <w:sz w:val="22"/>
          <w:szCs w:val="22"/>
        </w:rPr>
        <w:t>,</w:t>
      </w:r>
      <w:r w:rsidRPr="00F552F0">
        <w:rPr>
          <w:color w:val="000000"/>
          <w:sz w:val="22"/>
          <w:szCs w:val="22"/>
        </w:rPr>
        <w:t xml:space="preserve"> we assign banks to one of three categories. We say a bank is </w:t>
      </w:r>
      <w:r w:rsidRPr="00F552F0">
        <w:rPr>
          <w:i/>
          <w:color w:val="000000"/>
          <w:sz w:val="22"/>
          <w:szCs w:val="22"/>
        </w:rPr>
        <w:t>state-controlled</w:t>
      </w:r>
      <w:r w:rsidRPr="00F552F0">
        <w:rPr>
          <w:color w:val="000000"/>
          <w:sz w:val="22"/>
          <w:szCs w:val="22"/>
        </w:rPr>
        <w:t xml:space="preserve"> if its controlling </w:t>
      </w:r>
      <w:r w:rsidR="009461DC" w:rsidRPr="00F552F0">
        <w:rPr>
          <w:color w:val="000000"/>
          <w:sz w:val="22"/>
          <w:szCs w:val="22"/>
        </w:rPr>
        <w:t>shareholder is a government</w:t>
      </w:r>
      <w:r w:rsidR="00BD3E3B" w:rsidRPr="00F552F0">
        <w:rPr>
          <w:color w:val="000000"/>
          <w:sz w:val="22"/>
          <w:szCs w:val="22"/>
        </w:rPr>
        <w:t xml:space="preserve"> entity</w:t>
      </w:r>
      <w:r w:rsidRPr="00F552F0">
        <w:rPr>
          <w:color w:val="000000"/>
          <w:sz w:val="22"/>
          <w:szCs w:val="22"/>
        </w:rPr>
        <w:t xml:space="preserve"> and </w:t>
      </w:r>
      <w:r w:rsidRPr="00F552F0">
        <w:rPr>
          <w:i/>
          <w:color w:val="000000"/>
          <w:sz w:val="22"/>
          <w:szCs w:val="22"/>
        </w:rPr>
        <w:t>family-controlled</w:t>
      </w:r>
      <w:r w:rsidRPr="00F552F0">
        <w:rPr>
          <w:color w:val="000000"/>
          <w:sz w:val="22"/>
          <w:szCs w:val="22"/>
        </w:rPr>
        <w:t xml:space="preserve"> if </w:t>
      </w:r>
      <w:proofErr w:type="gramStart"/>
      <w:r w:rsidRPr="00F552F0">
        <w:rPr>
          <w:color w:val="000000"/>
          <w:sz w:val="22"/>
          <w:szCs w:val="22"/>
        </w:rPr>
        <w:t>its</w:t>
      </w:r>
      <w:proofErr w:type="gramEnd"/>
      <w:r w:rsidRPr="00F552F0">
        <w:rPr>
          <w:color w:val="000000"/>
          <w:sz w:val="22"/>
          <w:szCs w:val="22"/>
        </w:rPr>
        <w:t xml:space="preserve"> </w:t>
      </w:r>
      <w:r w:rsidRPr="00F552F0">
        <w:rPr>
          <w:color w:val="000000"/>
          <w:sz w:val="22"/>
          <w:szCs w:val="22"/>
        </w:rPr>
        <w:lastRenderedPageBreak/>
        <w:t xml:space="preserve">controlling </w:t>
      </w:r>
      <w:r w:rsidR="009461DC" w:rsidRPr="00F552F0">
        <w:rPr>
          <w:color w:val="000000"/>
          <w:sz w:val="22"/>
          <w:szCs w:val="22"/>
        </w:rPr>
        <w:t>shareholder</w:t>
      </w:r>
      <w:r w:rsidRPr="00F552F0">
        <w:rPr>
          <w:color w:val="000000"/>
          <w:sz w:val="22"/>
          <w:szCs w:val="22"/>
        </w:rPr>
        <w:t xml:space="preserve"> is a </w:t>
      </w:r>
      <w:r w:rsidR="009461DC" w:rsidRPr="00F552F0">
        <w:rPr>
          <w:color w:val="000000"/>
          <w:sz w:val="22"/>
          <w:szCs w:val="22"/>
        </w:rPr>
        <w:t xml:space="preserve">tycoon or </w:t>
      </w:r>
      <w:r w:rsidRPr="00F552F0">
        <w:rPr>
          <w:color w:val="000000"/>
          <w:sz w:val="22"/>
          <w:szCs w:val="22"/>
        </w:rPr>
        <w:t xml:space="preserve">family. </w:t>
      </w:r>
      <w:r w:rsidR="009451D3" w:rsidRPr="00F552F0">
        <w:rPr>
          <w:color w:val="000000"/>
          <w:sz w:val="22"/>
          <w:szCs w:val="22"/>
        </w:rPr>
        <w:t xml:space="preserve">All others, denoted </w:t>
      </w:r>
      <w:r w:rsidR="00392DB6" w:rsidRPr="00F552F0">
        <w:rPr>
          <w:i/>
          <w:color w:val="000000"/>
          <w:sz w:val="22"/>
          <w:szCs w:val="22"/>
        </w:rPr>
        <w:t>widely held</w:t>
      </w:r>
      <w:r w:rsidR="009451D3" w:rsidRPr="00F552F0">
        <w:rPr>
          <w:color w:val="000000"/>
          <w:sz w:val="22"/>
          <w:szCs w:val="22"/>
        </w:rPr>
        <w:t xml:space="preserve"> </w:t>
      </w:r>
      <w:r w:rsidRPr="00F552F0">
        <w:rPr>
          <w:color w:val="000000"/>
          <w:sz w:val="22"/>
          <w:szCs w:val="22"/>
        </w:rPr>
        <w:t>banks</w:t>
      </w:r>
      <w:r w:rsidR="009451D3" w:rsidRPr="00F552F0">
        <w:rPr>
          <w:color w:val="000000"/>
          <w:sz w:val="22"/>
          <w:szCs w:val="22"/>
        </w:rPr>
        <w:t>,</w:t>
      </w:r>
      <w:r w:rsidRPr="00F552F0">
        <w:rPr>
          <w:color w:val="000000"/>
          <w:sz w:val="22"/>
          <w:szCs w:val="22"/>
        </w:rPr>
        <w:t xml:space="preserve"> </w:t>
      </w:r>
      <w:r w:rsidR="009451D3" w:rsidRPr="00F552F0">
        <w:rPr>
          <w:color w:val="000000"/>
          <w:sz w:val="22"/>
          <w:szCs w:val="22"/>
        </w:rPr>
        <w:t>lack a</w:t>
      </w:r>
      <w:r w:rsidRPr="00F552F0">
        <w:rPr>
          <w:color w:val="000000"/>
          <w:sz w:val="22"/>
          <w:szCs w:val="22"/>
        </w:rPr>
        <w:t xml:space="preserve"> controlling shareholder</w:t>
      </w:r>
      <w:r w:rsidR="00E90CF3" w:rsidRPr="00F552F0">
        <w:rPr>
          <w:color w:val="000000"/>
          <w:sz w:val="22"/>
          <w:szCs w:val="22"/>
        </w:rPr>
        <w:t>—</w:t>
      </w:r>
      <w:r w:rsidR="009451D3" w:rsidRPr="00F552F0">
        <w:rPr>
          <w:color w:val="000000"/>
          <w:sz w:val="22"/>
          <w:szCs w:val="22"/>
        </w:rPr>
        <w:t>because they are either widely held or controlled by</w:t>
      </w:r>
      <w:r w:rsidR="00E90CF3" w:rsidRPr="00F552F0">
        <w:rPr>
          <w:color w:val="000000"/>
          <w:sz w:val="22"/>
          <w:szCs w:val="22"/>
        </w:rPr>
        <w:t xml:space="preserve"> 10%</w:t>
      </w:r>
      <w:r w:rsidRPr="00F552F0">
        <w:rPr>
          <w:color w:val="000000"/>
          <w:sz w:val="22"/>
          <w:szCs w:val="22"/>
        </w:rPr>
        <w:t xml:space="preserve"> plus </w:t>
      </w:r>
      <w:proofErr w:type="spellStart"/>
      <w:r w:rsidRPr="00F552F0">
        <w:rPr>
          <w:color w:val="000000"/>
          <w:sz w:val="22"/>
          <w:szCs w:val="22"/>
        </w:rPr>
        <w:t>blockholders</w:t>
      </w:r>
      <w:proofErr w:type="spellEnd"/>
      <w:r w:rsidRPr="00F552F0">
        <w:rPr>
          <w:color w:val="000000"/>
          <w:sz w:val="22"/>
          <w:szCs w:val="22"/>
        </w:rPr>
        <w:t xml:space="preserve"> that are </w:t>
      </w:r>
      <w:r w:rsidR="009451D3" w:rsidRPr="00F552F0">
        <w:rPr>
          <w:color w:val="000000"/>
          <w:sz w:val="22"/>
          <w:szCs w:val="22"/>
        </w:rPr>
        <w:t>widely held corporations or cooperatives</w:t>
      </w:r>
      <w:r w:rsidRPr="00F552F0">
        <w:rPr>
          <w:color w:val="000000"/>
          <w:sz w:val="22"/>
          <w:szCs w:val="22"/>
        </w:rPr>
        <w:t xml:space="preserve">.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Finally, we construct three country-level </w:t>
      </w:r>
      <w:r w:rsidRPr="00F552F0">
        <w:rPr>
          <w:i/>
          <w:color w:val="000000"/>
          <w:sz w:val="22"/>
          <w:szCs w:val="22"/>
        </w:rPr>
        <w:t xml:space="preserve">bank </w:t>
      </w:r>
      <w:r w:rsidR="00FC2CE5" w:rsidRPr="00F552F0">
        <w:rPr>
          <w:i/>
          <w:color w:val="000000"/>
          <w:sz w:val="22"/>
          <w:szCs w:val="22"/>
        </w:rPr>
        <w:t>control</w:t>
      </w:r>
      <w:r w:rsidRPr="00F552F0">
        <w:rPr>
          <w:i/>
          <w:color w:val="000000"/>
          <w:sz w:val="22"/>
          <w:szCs w:val="22"/>
        </w:rPr>
        <w:t xml:space="preserve"> indexes</w:t>
      </w:r>
      <w:r w:rsidRPr="00F552F0">
        <w:rPr>
          <w:color w:val="000000"/>
          <w:sz w:val="22"/>
          <w:szCs w:val="22"/>
        </w:rPr>
        <w:t>: fractions of the banking syste</w:t>
      </w:r>
      <w:r w:rsidR="009461DC" w:rsidRPr="00F552F0">
        <w:rPr>
          <w:color w:val="000000"/>
          <w:sz w:val="22"/>
          <w:szCs w:val="22"/>
        </w:rPr>
        <w:t>m, weighted by total net credit</w:t>
      </w:r>
      <w:r w:rsidRPr="00F552F0">
        <w:rPr>
          <w:color w:val="000000"/>
          <w:sz w:val="22"/>
          <w:szCs w:val="22"/>
        </w:rPr>
        <w:t xml:space="preserve">, </w:t>
      </w:r>
      <w:r w:rsidR="00FC2CE5" w:rsidRPr="00F552F0">
        <w:rPr>
          <w:color w:val="000000"/>
          <w:sz w:val="22"/>
          <w:szCs w:val="22"/>
        </w:rPr>
        <w:t>whose control</w:t>
      </w:r>
      <w:r w:rsidR="00FF3682" w:rsidRPr="00F552F0">
        <w:rPr>
          <w:color w:val="000000"/>
          <w:sz w:val="22"/>
          <w:szCs w:val="22"/>
        </w:rPr>
        <w:t xml:space="preserve"> is entrusted to the state, to business tycoons or families, or to professional managers</w:t>
      </w:r>
      <w:r w:rsidRPr="00F552F0">
        <w:rPr>
          <w:color w:val="000000"/>
          <w:sz w:val="22"/>
          <w:szCs w:val="22"/>
        </w:rPr>
        <w:t xml:space="preserve">. </w:t>
      </w:r>
      <w:r w:rsidR="00046F40" w:rsidRPr="00F552F0">
        <w:rPr>
          <w:color w:val="000000"/>
          <w:sz w:val="22"/>
          <w:szCs w:val="22"/>
        </w:rPr>
        <w:t>For brevity, w</w:t>
      </w:r>
      <w:r w:rsidR="00FF3682" w:rsidRPr="00F552F0">
        <w:rPr>
          <w:color w:val="000000"/>
          <w:sz w:val="22"/>
          <w:szCs w:val="22"/>
        </w:rPr>
        <w:t xml:space="preserve">e call these the </w:t>
      </w:r>
      <w:r w:rsidR="00FF3682" w:rsidRPr="00F552F0">
        <w:rPr>
          <w:i/>
          <w:color w:val="000000"/>
          <w:sz w:val="22"/>
          <w:szCs w:val="22"/>
        </w:rPr>
        <w:t>state-controlled</w:t>
      </w:r>
      <w:r w:rsidR="00FF3682" w:rsidRPr="00F552F0">
        <w:rPr>
          <w:color w:val="000000"/>
          <w:sz w:val="22"/>
          <w:szCs w:val="22"/>
        </w:rPr>
        <w:t xml:space="preserve">, </w:t>
      </w:r>
      <w:r w:rsidR="00FF3682" w:rsidRPr="00F552F0">
        <w:rPr>
          <w:i/>
          <w:color w:val="000000"/>
          <w:sz w:val="22"/>
          <w:szCs w:val="22"/>
        </w:rPr>
        <w:t>family</w:t>
      </w:r>
      <w:r w:rsidR="00046F40" w:rsidRPr="00F552F0">
        <w:rPr>
          <w:i/>
          <w:color w:val="000000"/>
          <w:sz w:val="22"/>
          <w:szCs w:val="22"/>
        </w:rPr>
        <w:t>-</w:t>
      </w:r>
      <w:r w:rsidR="00FF3682" w:rsidRPr="00F552F0">
        <w:rPr>
          <w:i/>
          <w:color w:val="000000"/>
          <w:sz w:val="22"/>
          <w:szCs w:val="22"/>
        </w:rPr>
        <w:t>controlled</w:t>
      </w:r>
      <w:r w:rsidR="00FF3682" w:rsidRPr="00F552F0">
        <w:rPr>
          <w:color w:val="000000"/>
          <w:sz w:val="22"/>
          <w:szCs w:val="22"/>
        </w:rPr>
        <w:t xml:space="preserve">, and </w:t>
      </w:r>
      <w:r w:rsidR="00392DB6" w:rsidRPr="00F552F0">
        <w:rPr>
          <w:i/>
          <w:color w:val="000000"/>
          <w:sz w:val="22"/>
          <w:szCs w:val="22"/>
        </w:rPr>
        <w:t>widely held</w:t>
      </w:r>
      <w:r w:rsidR="00FF3682" w:rsidRPr="00F552F0">
        <w:rPr>
          <w:color w:val="000000"/>
          <w:sz w:val="22"/>
          <w:szCs w:val="22"/>
        </w:rPr>
        <w:t xml:space="preserve"> shares of countries’ banking systems</w:t>
      </w:r>
      <w:r w:rsidR="00B86554" w:rsidRPr="00F552F0">
        <w:rPr>
          <w:color w:val="000000"/>
          <w:sz w:val="22"/>
          <w:szCs w:val="22"/>
        </w:rPr>
        <w:t xml:space="preserve">, and denote these </w:t>
      </w:r>
      <w:r w:rsidR="00B86554" w:rsidRPr="00F552F0">
        <w:rPr>
          <w:i/>
          <w:color w:val="000000"/>
          <w:sz w:val="22"/>
          <w:szCs w:val="22"/>
        </w:rPr>
        <w:sym w:font="Symbol" w:char="F061"/>
      </w:r>
      <w:r w:rsidR="00B86554" w:rsidRPr="00F552F0">
        <w:rPr>
          <w:i/>
          <w:color w:val="000000"/>
          <w:sz w:val="22"/>
          <w:szCs w:val="22"/>
          <w:vertAlign w:val="subscript"/>
        </w:rPr>
        <w:t>f</w:t>
      </w:r>
      <w:r w:rsidR="00B86554" w:rsidRPr="00F552F0">
        <w:rPr>
          <w:color w:val="000000"/>
          <w:sz w:val="22"/>
          <w:szCs w:val="22"/>
        </w:rPr>
        <w:t>,</w:t>
      </w:r>
      <w:r w:rsidR="00B86554" w:rsidRPr="00F552F0">
        <w:rPr>
          <w:i/>
          <w:color w:val="000000"/>
          <w:sz w:val="22"/>
          <w:szCs w:val="22"/>
        </w:rPr>
        <w:t xml:space="preserve"> </w:t>
      </w:r>
      <w:r w:rsidR="00B86554" w:rsidRPr="00F552F0">
        <w:rPr>
          <w:i/>
          <w:color w:val="000000"/>
          <w:sz w:val="22"/>
          <w:szCs w:val="22"/>
        </w:rPr>
        <w:sym w:font="Symbol" w:char="F061"/>
      </w:r>
      <w:r w:rsidR="00B86554" w:rsidRPr="00F552F0">
        <w:rPr>
          <w:i/>
          <w:color w:val="000000"/>
          <w:sz w:val="22"/>
          <w:szCs w:val="22"/>
          <w:vertAlign w:val="subscript"/>
        </w:rPr>
        <w:t>s</w:t>
      </w:r>
      <w:r w:rsidR="00B86554" w:rsidRPr="00F552F0">
        <w:rPr>
          <w:color w:val="000000"/>
          <w:sz w:val="22"/>
          <w:szCs w:val="22"/>
        </w:rPr>
        <w:t xml:space="preserve">, and </w:t>
      </w:r>
      <w:r w:rsidR="00B86554" w:rsidRPr="00F552F0">
        <w:rPr>
          <w:i/>
          <w:color w:val="000000"/>
          <w:sz w:val="22"/>
          <w:szCs w:val="22"/>
        </w:rPr>
        <w:sym w:font="Symbol" w:char="F061"/>
      </w:r>
      <w:r w:rsidR="00B86554" w:rsidRPr="00F552F0">
        <w:rPr>
          <w:i/>
          <w:color w:val="000000"/>
          <w:sz w:val="22"/>
          <w:szCs w:val="22"/>
          <w:vertAlign w:val="subscript"/>
        </w:rPr>
        <w:t>w</w:t>
      </w:r>
      <w:r w:rsidR="00B86554" w:rsidRPr="00F552F0">
        <w:rPr>
          <w:color w:val="000000"/>
          <w:sz w:val="22"/>
          <w:szCs w:val="22"/>
        </w:rPr>
        <w:t>, respectively</w:t>
      </w:r>
      <w:r w:rsidR="00FF3682" w:rsidRPr="00F552F0">
        <w:rPr>
          <w:color w:val="000000"/>
          <w:sz w:val="22"/>
          <w:szCs w:val="22"/>
        </w:rPr>
        <w:t xml:space="preserve">. </w:t>
      </w:r>
      <w:r w:rsidRPr="00F552F0">
        <w:rPr>
          <w:color w:val="000000"/>
          <w:sz w:val="22"/>
          <w:szCs w:val="22"/>
        </w:rPr>
        <w:t xml:space="preserve">Table 1 displays these indexes. </w:t>
      </w:r>
      <w:r w:rsidR="00B86554" w:rsidRPr="00F552F0">
        <w:rPr>
          <w:color w:val="000000"/>
          <w:sz w:val="22"/>
          <w:szCs w:val="22"/>
        </w:rPr>
        <w:t xml:space="preserve"> </w:t>
      </w:r>
    </w:p>
    <w:p w:rsidR="004C3644" w:rsidRPr="00F552F0" w:rsidRDefault="004C3644">
      <w:pPr>
        <w:autoSpaceDE w:val="0"/>
        <w:autoSpaceDN w:val="0"/>
        <w:adjustRightInd w:val="0"/>
        <w:spacing w:line="440" w:lineRule="exact"/>
        <w:ind w:firstLine="720"/>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 1 about here]</w:t>
      </w:r>
    </w:p>
    <w:p w:rsidR="004C3644" w:rsidRPr="00F552F0" w:rsidRDefault="004C3644">
      <w:pPr>
        <w:spacing w:line="440" w:lineRule="exact"/>
        <w:ind w:firstLine="720"/>
        <w:jc w:val="both"/>
        <w:rPr>
          <w:b/>
          <w:color w:val="000000"/>
          <w:sz w:val="22"/>
          <w:szCs w:val="22"/>
        </w:rPr>
      </w:pPr>
    </w:p>
    <w:p w:rsidR="003C5026" w:rsidRPr="00F552F0" w:rsidRDefault="00BC0545" w:rsidP="008E2871">
      <w:pPr>
        <w:spacing w:line="440" w:lineRule="exact"/>
        <w:ind w:firstLine="720"/>
        <w:jc w:val="both"/>
        <w:rPr>
          <w:color w:val="000000"/>
          <w:sz w:val="22"/>
          <w:szCs w:val="22"/>
        </w:rPr>
      </w:pPr>
      <w:r w:rsidRPr="00F552F0">
        <w:rPr>
          <w:color w:val="000000"/>
          <w:sz w:val="22"/>
          <w:szCs w:val="22"/>
        </w:rPr>
        <w:t>Our bank categorization rules have shortcomings</w:t>
      </w:r>
      <w:r w:rsidR="006F3681" w:rsidRPr="00F552F0">
        <w:rPr>
          <w:color w:val="000000"/>
          <w:sz w:val="22"/>
          <w:szCs w:val="22"/>
        </w:rPr>
        <w:t>.  For example, c</w:t>
      </w:r>
      <w:r w:rsidR="00083A7D" w:rsidRPr="00F552F0">
        <w:rPr>
          <w:color w:val="000000"/>
          <w:sz w:val="22"/>
          <w:szCs w:val="22"/>
        </w:rPr>
        <w:t>ontrol by founders versus heirs has different performance implications</w:t>
      </w:r>
      <w:r w:rsidR="00364C39" w:rsidRPr="00F552F0">
        <w:rPr>
          <w:color w:val="000000"/>
          <w:sz w:val="22"/>
          <w:szCs w:val="22"/>
        </w:rPr>
        <w:t xml:space="preserve"> </w:t>
      </w:r>
      <w:r w:rsidR="00083A7D" w:rsidRPr="00F552F0">
        <w:rPr>
          <w:color w:val="000000"/>
          <w:sz w:val="22"/>
          <w:szCs w:val="22"/>
        </w:rPr>
        <w:t>(</w:t>
      </w:r>
      <w:proofErr w:type="spellStart"/>
      <w:r w:rsidR="00083A7D" w:rsidRPr="00F552F0">
        <w:rPr>
          <w:color w:val="000000"/>
          <w:sz w:val="22"/>
          <w:szCs w:val="22"/>
        </w:rPr>
        <w:t>Villalonga</w:t>
      </w:r>
      <w:proofErr w:type="spellEnd"/>
      <w:r w:rsidR="00083A7D" w:rsidRPr="00F552F0">
        <w:rPr>
          <w:color w:val="000000"/>
          <w:sz w:val="22"/>
          <w:szCs w:val="22"/>
        </w:rPr>
        <w:t xml:space="preserve"> </w:t>
      </w:r>
      <w:r w:rsidR="00E82874" w:rsidRPr="00F552F0">
        <w:rPr>
          <w:color w:val="000000"/>
          <w:sz w:val="22"/>
          <w:szCs w:val="22"/>
        </w:rPr>
        <w:t>and</w:t>
      </w:r>
      <w:r w:rsidR="00083A7D" w:rsidRPr="00F552F0">
        <w:rPr>
          <w:color w:val="000000"/>
          <w:sz w:val="22"/>
          <w:szCs w:val="22"/>
        </w:rPr>
        <w:t xml:space="preserve"> </w:t>
      </w:r>
      <w:proofErr w:type="spellStart"/>
      <w:r w:rsidR="00083A7D" w:rsidRPr="00F552F0">
        <w:rPr>
          <w:color w:val="000000"/>
          <w:sz w:val="22"/>
          <w:szCs w:val="22"/>
        </w:rPr>
        <w:t>Amit</w:t>
      </w:r>
      <w:proofErr w:type="spellEnd"/>
      <w:r w:rsidR="00C8580A" w:rsidRPr="00F552F0">
        <w:rPr>
          <w:color w:val="000000"/>
          <w:sz w:val="22"/>
          <w:szCs w:val="22"/>
        </w:rPr>
        <w:t>,</w:t>
      </w:r>
      <w:r w:rsidR="00297A6C" w:rsidRPr="00F552F0">
        <w:rPr>
          <w:color w:val="000000"/>
          <w:sz w:val="22"/>
          <w:szCs w:val="22"/>
        </w:rPr>
        <w:t xml:space="preserve"> 200</w:t>
      </w:r>
      <w:r w:rsidR="00083A7D" w:rsidRPr="00F552F0">
        <w:rPr>
          <w:color w:val="000000"/>
          <w:sz w:val="22"/>
          <w:szCs w:val="22"/>
        </w:rPr>
        <w:t xml:space="preserve">6), so our </w:t>
      </w:r>
      <w:r w:rsidR="006F3681" w:rsidRPr="00F552F0">
        <w:rPr>
          <w:color w:val="000000"/>
          <w:sz w:val="22"/>
          <w:szCs w:val="22"/>
        </w:rPr>
        <w:t>combining</w:t>
      </w:r>
      <w:r w:rsidR="00083A7D" w:rsidRPr="00F552F0">
        <w:rPr>
          <w:color w:val="000000"/>
          <w:sz w:val="22"/>
          <w:szCs w:val="22"/>
        </w:rPr>
        <w:t xml:space="preserve"> </w:t>
      </w:r>
      <w:r w:rsidR="00231369" w:rsidRPr="00F552F0">
        <w:rPr>
          <w:color w:val="000000"/>
          <w:sz w:val="22"/>
          <w:szCs w:val="22"/>
        </w:rPr>
        <w:t xml:space="preserve">banks controlled by </w:t>
      </w:r>
      <w:r w:rsidR="00083A7D" w:rsidRPr="00F552F0">
        <w:rPr>
          <w:color w:val="000000"/>
          <w:sz w:val="22"/>
          <w:szCs w:val="22"/>
        </w:rPr>
        <w:t>self-made</w:t>
      </w:r>
      <w:r w:rsidR="00231369" w:rsidRPr="00F552F0">
        <w:rPr>
          <w:color w:val="000000"/>
          <w:sz w:val="22"/>
          <w:szCs w:val="22"/>
        </w:rPr>
        <w:t xml:space="preserve"> tycoons </w:t>
      </w:r>
      <w:r w:rsidR="00083A7D" w:rsidRPr="00F552F0">
        <w:rPr>
          <w:color w:val="000000"/>
          <w:sz w:val="22"/>
          <w:szCs w:val="22"/>
        </w:rPr>
        <w:t>and old-moneyed families likely includes some for which</w:t>
      </w:r>
      <w:r w:rsidR="00DA6D21" w:rsidRPr="00F552F0">
        <w:rPr>
          <w:color w:val="000000"/>
          <w:sz w:val="22"/>
          <w:szCs w:val="22"/>
        </w:rPr>
        <w:t xml:space="preserve"> the entrenchment effects discussed above </w:t>
      </w:r>
      <w:r w:rsidR="006F3681" w:rsidRPr="00F552F0">
        <w:rPr>
          <w:color w:val="000000"/>
          <w:sz w:val="22"/>
          <w:szCs w:val="22"/>
        </w:rPr>
        <w:t>may not</w:t>
      </w:r>
      <w:r w:rsidR="00083A7D" w:rsidRPr="00F552F0">
        <w:rPr>
          <w:color w:val="000000"/>
          <w:sz w:val="22"/>
          <w:szCs w:val="22"/>
        </w:rPr>
        <w:t xml:space="preserve"> pertain</w:t>
      </w:r>
      <w:r w:rsidR="00DA6D21" w:rsidRPr="00F552F0">
        <w:rPr>
          <w:color w:val="000000"/>
          <w:sz w:val="22"/>
          <w:szCs w:val="22"/>
        </w:rPr>
        <w:t>.</w:t>
      </w:r>
      <w:r w:rsidR="008E2871" w:rsidRPr="00F552F0">
        <w:rPr>
          <w:color w:val="000000"/>
          <w:sz w:val="22"/>
          <w:szCs w:val="22"/>
        </w:rPr>
        <w:t xml:space="preserve"> </w:t>
      </w:r>
      <w:r w:rsidR="00C821F4" w:rsidRPr="00F552F0">
        <w:rPr>
          <w:color w:val="000000"/>
          <w:sz w:val="22"/>
          <w:szCs w:val="22"/>
        </w:rPr>
        <w:t xml:space="preserve">However, in most countries, control blocks do signal old-moneyed family control (La </w:t>
      </w:r>
      <w:proofErr w:type="spellStart"/>
      <w:r w:rsidR="00C821F4" w:rsidRPr="00F552F0">
        <w:rPr>
          <w:color w:val="000000"/>
          <w:sz w:val="22"/>
          <w:szCs w:val="22"/>
        </w:rPr>
        <w:t>Porta</w:t>
      </w:r>
      <w:proofErr w:type="spellEnd"/>
      <w:r w:rsidR="00C821F4" w:rsidRPr="00F552F0">
        <w:rPr>
          <w:color w:val="000000"/>
          <w:sz w:val="22"/>
          <w:szCs w:val="22"/>
        </w:rPr>
        <w:t xml:space="preserve"> </w:t>
      </w:r>
      <w:r w:rsidR="003D5871" w:rsidRPr="00F552F0">
        <w:rPr>
          <w:color w:val="000000"/>
          <w:sz w:val="22"/>
          <w:szCs w:val="22"/>
        </w:rPr>
        <w:t>et al.,</w:t>
      </w:r>
      <w:r w:rsidR="00C821F4" w:rsidRPr="00F552F0">
        <w:rPr>
          <w:color w:val="000000"/>
          <w:sz w:val="22"/>
          <w:szCs w:val="22"/>
        </w:rPr>
        <w:t xml:space="preserve"> 1999; </w:t>
      </w:r>
      <w:proofErr w:type="spellStart"/>
      <w:r w:rsidR="00C821F4" w:rsidRPr="00F552F0">
        <w:rPr>
          <w:color w:val="000000"/>
          <w:sz w:val="22"/>
          <w:szCs w:val="22"/>
        </w:rPr>
        <w:t>Morck</w:t>
      </w:r>
      <w:proofErr w:type="spellEnd"/>
      <w:r w:rsidR="00C821F4" w:rsidRPr="00F552F0">
        <w:rPr>
          <w:color w:val="000000"/>
          <w:sz w:val="22"/>
          <w:szCs w:val="22"/>
        </w:rPr>
        <w:t xml:space="preserve">, </w:t>
      </w:r>
      <w:proofErr w:type="spellStart"/>
      <w:r w:rsidR="00C821F4" w:rsidRPr="00F552F0">
        <w:rPr>
          <w:color w:val="000000"/>
          <w:sz w:val="22"/>
          <w:szCs w:val="22"/>
        </w:rPr>
        <w:t>Wolfenzon</w:t>
      </w:r>
      <w:proofErr w:type="spellEnd"/>
      <w:r w:rsidR="00C821F4" w:rsidRPr="00F552F0">
        <w:rPr>
          <w:color w:val="000000"/>
          <w:sz w:val="22"/>
          <w:szCs w:val="22"/>
        </w:rPr>
        <w:t xml:space="preserve"> </w:t>
      </w:r>
      <w:r w:rsidR="00E82874" w:rsidRPr="00F552F0">
        <w:rPr>
          <w:color w:val="000000"/>
          <w:sz w:val="22"/>
          <w:szCs w:val="22"/>
        </w:rPr>
        <w:t>and</w:t>
      </w:r>
      <w:r w:rsidR="00C821F4" w:rsidRPr="00F552F0">
        <w:rPr>
          <w:color w:val="000000"/>
          <w:sz w:val="22"/>
          <w:szCs w:val="22"/>
        </w:rPr>
        <w:t xml:space="preserve"> Yeung</w:t>
      </w:r>
      <w:r w:rsidR="00C8580A" w:rsidRPr="00F552F0">
        <w:rPr>
          <w:color w:val="000000"/>
          <w:sz w:val="22"/>
          <w:szCs w:val="22"/>
        </w:rPr>
        <w:t>,</w:t>
      </w:r>
      <w:r w:rsidR="00297A6C" w:rsidRPr="00F552F0">
        <w:rPr>
          <w:color w:val="000000"/>
          <w:sz w:val="22"/>
          <w:szCs w:val="22"/>
        </w:rPr>
        <w:t xml:space="preserve"> 200</w:t>
      </w:r>
      <w:r w:rsidR="00C821F4" w:rsidRPr="00F552F0">
        <w:rPr>
          <w:color w:val="000000"/>
          <w:sz w:val="22"/>
          <w:szCs w:val="22"/>
        </w:rPr>
        <w:t xml:space="preserve">5). </w:t>
      </w:r>
      <w:r w:rsidR="00D663AD" w:rsidRPr="00F552F0">
        <w:rPr>
          <w:color w:val="000000"/>
          <w:sz w:val="22"/>
          <w:szCs w:val="22"/>
        </w:rPr>
        <w:t>A</w:t>
      </w:r>
      <w:r w:rsidRPr="00F552F0">
        <w:rPr>
          <w:color w:val="000000"/>
          <w:sz w:val="22"/>
          <w:szCs w:val="22"/>
        </w:rPr>
        <w:t>n</w:t>
      </w:r>
      <w:r w:rsidR="003C5026" w:rsidRPr="00F552F0">
        <w:rPr>
          <w:color w:val="000000"/>
          <w:sz w:val="22"/>
          <w:szCs w:val="22"/>
        </w:rPr>
        <w:t xml:space="preserve"> opposite problem arises for </w:t>
      </w:r>
      <w:proofErr w:type="spellStart"/>
      <w:r w:rsidR="003C5026" w:rsidRPr="00F552F0">
        <w:rPr>
          <w:color w:val="000000"/>
          <w:sz w:val="22"/>
          <w:szCs w:val="22"/>
        </w:rPr>
        <w:t>Svenske</w:t>
      </w:r>
      <w:proofErr w:type="spellEnd"/>
      <w:r w:rsidR="003C5026" w:rsidRPr="00F552F0">
        <w:rPr>
          <w:color w:val="000000"/>
          <w:sz w:val="22"/>
          <w:szCs w:val="22"/>
        </w:rPr>
        <w:t xml:space="preserve"> </w:t>
      </w:r>
      <w:proofErr w:type="spellStart"/>
      <w:r w:rsidR="003C5026" w:rsidRPr="00F552F0">
        <w:rPr>
          <w:color w:val="000000"/>
          <w:sz w:val="22"/>
          <w:szCs w:val="22"/>
        </w:rPr>
        <w:t>Handelsbanken</w:t>
      </w:r>
      <w:proofErr w:type="spellEnd"/>
      <w:r w:rsidR="003C5026" w:rsidRPr="00F552F0">
        <w:rPr>
          <w:color w:val="000000"/>
          <w:sz w:val="22"/>
          <w:szCs w:val="22"/>
        </w:rPr>
        <w:t xml:space="preserve">, a </w:t>
      </w:r>
      <w:r w:rsidR="00392DB6" w:rsidRPr="00F552F0">
        <w:rPr>
          <w:color w:val="000000"/>
          <w:sz w:val="22"/>
          <w:szCs w:val="22"/>
        </w:rPr>
        <w:t>widely held</w:t>
      </w:r>
      <w:r w:rsidR="003C5026" w:rsidRPr="00F552F0">
        <w:rPr>
          <w:color w:val="000000"/>
          <w:sz w:val="22"/>
          <w:szCs w:val="22"/>
        </w:rPr>
        <w:t xml:space="preserve"> Swedish bank</w:t>
      </w:r>
      <w:r w:rsidR="00376925" w:rsidRPr="00F552F0">
        <w:rPr>
          <w:color w:val="000000"/>
          <w:sz w:val="22"/>
          <w:szCs w:val="22"/>
        </w:rPr>
        <w:t xml:space="preserve"> that</w:t>
      </w:r>
      <w:r w:rsidR="00C005EC" w:rsidRPr="00F552F0">
        <w:rPr>
          <w:color w:val="000000"/>
          <w:sz w:val="22"/>
          <w:szCs w:val="22"/>
        </w:rPr>
        <w:t xml:space="preserve"> </w:t>
      </w:r>
      <w:r w:rsidR="003C5026" w:rsidRPr="00F552F0">
        <w:rPr>
          <w:color w:val="000000"/>
          <w:sz w:val="22"/>
          <w:szCs w:val="22"/>
        </w:rPr>
        <w:t>holds extensive control blocks in industrial firms</w:t>
      </w:r>
      <w:r w:rsidR="000933A5" w:rsidRPr="00F552F0">
        <w:rPr>
          <w:color w:val="000000"/>
          <w:sz w:val="22"/>
          <w:szCs w:val="22"/>
        </w:rPr>
        <w:t xml:space="preserve"> (</w:t>
      </w:r>
      <w:proofErr w:type="spellStart"/>
      <w:r w:rsidR="000933A5" w:rsidRPr="00F552F0">
        <w:rPr>
          <w:color w:val="000000"/>
          <w:sz w:val="22"/>
          <w:szCs w:val="22"/>
        </w:rPr>
        <w:t>Högfeldt</w:t>
      </w:r>
      <w:proofErr w:type="spellEnd"/>
      <w:r w:rsidR="00C8580A" w:rsidRPr="00F552F0">
        <w:rPr>
          <w:color w:val="000000"/>
          <w:sz w:val="22"/>
          <w:szCs w:val="22"/>
        </w:rPr>
        <w:t>,</w:t>
      </w:r>
      <w:r w:rsidR="00297A6C" w:rsidRPr="00F552F0">
        <w:rPr>
          <w:color w:val="000000"/>
          <w:sz w:val="22"/>
          <w:szCs w:val="22"/>
        </w:rPr>
        <w:t xml:space="preserve"> 200</w:t>
      </w:r>
      <w:r w:rsidR="000933A5" w:rsidRPr="00F552F0">
        <w:rPr>
          <w:color w:val="000000"/>
          <w:sz w:val="22"/>
          <w:szCs w:val="22"/>
        </w:rPr>
        <w:t>5)</w:t>
      </w:r>
      <w:r w:rsidRPr="00F552F0">
        <w:rPr>
          <w:color w:val="000000"/>
          <w:sz w:val="22"/>
          <w:szCs w:val="22"/>
        </w:rPr>
        <w:t>,</w:t>
      </w:r>
      <w:r w:rsidR="003C5026" w:rsidRPr="00F552F0">
        <w:rPr>
          <w:color w:val="000000"/>
          <w:sz w:val="22"/>
          <w:szCs w:val="22"/>
        </w:rPr>
        <w:t xml:space="preserve"> </w:t>
      </w:r>
      <w:r w:rsidRPr="00F552F0">
        <w:rPr>
          <w:color w:val="000000"/>
          <w:sz w:val="22"/>
          <w:szCs w:val="22"/>
        </w:rPr>
        <w:t>which it</w:t>
      </w:r>
      <w:r w:rsidR="003C5026" w:rsidRPr="00F552F0">
        <w:rPr>
          <w:color w:val="000000"/>
          <w:sz w:val="22"/>
          <w:szCs w:val="22"/>
        </w:rPr>
        <w:t xml:space="preserve"> might be </w:t>
      </w:r>
      <w:r w:rsidRPr="00F552F0">
        <w:rPr>
          <w:color w:val="000000"/>
          <w:sz w:val="22"/>
          <w:szCs w:val="22"/>
        </w:rPr>
        <w:t xml:space="preserve">tempted to treat specially. </w:t>
      </w:r>
      <w:r w:rsidR="00335785" w:rsidRPr="00F552F0">
        <w:rPr>
          <w:color w:val="000000"/>
          <w:sz w:val="22"/>
          <w:szCs w:val="22"/>
        </w:rPr>
        <w:t>Another possible distinction would separate widely held</w:t>
      </w:r>
      <w:r w:rsidR="001C60BD" w:rsidRPr="00F552F0">
        <w:rPr>
          <w:color w:val="000000"/>
          <w:sz w:val="22"/>
          <w:szCs w:val="22"/>
        </w:rPr>
        <w:t xml:space="preserve"> publicly traded</w:t>
      </w:r>
      <w:r w:rsidR="00335785" w:rsidRPr="00F552F0">
        <w:rPr>
          <w:color w:val="000000"/>
          <w:sz w:val="22"/>
          <w:szCs w:val="22"/>
        </w:rPr>
        <w:t xml:space="preserve"> banks from cooperative (customer</w:t>
      </w:r>
      <w:r w:rsidR="001C60BD" w:rsidRPr="00F552F0">
        <w:rPr>
          <w:color w:val="000000"/>
          <w:sz w:val="22"/>
          <w:szCs w:val="22"/>
        </w:rPr>
        <w:t xml:space="preserve"> or member</w:t>
      </w:r>
      <w:r w:rsidR="00335785" w:rsidRPr="00F552F0">
        <w:rPr>
          <w:color w:val="000000"/>
          <w:sz w:val="22"/>
          <w:szCs w:val="22"/>
        </w:rPr>
        <w:t xml:space="preserve"> owned) banks.  However,</w:t>
      </w:r>
      <w:r w:rsidR="005B0D71" w:rsidRPr="00F552F0">
        <w:rPr>
          <w:color w:val="000000"/>
          <w:sz w:val="22"/>
          <w:szCs w:val="22"/>
        </w:rPr>
        <w:t xml:space="preserve"> </w:t>
      </w:r>
      <w:r w:rsidR="00FC2CE5" w:rsidRPr="00F552F0">
        <w:rPr>
          <w:color w:val="000000"/>
          <w:sz w:val="22"/>
          <w:szCs w:val="22"/>
        </w:rPr>
        <w:t>only</w:t>
      </w:r>
      <w:r w:rsidR="00335785" w:rsidRPr="00F552F0">
        <w:rPr>
          <w:color w:val="000000"/>
          <w:sz w:val="22"/>
          <w:szCs w:val="22"/>
        </w:rPr>
        <w:t xml:space="preserve"> nine of our widely held banks are </w:t>
      </w:r>
      <w:r w:rsidR="00EF36BB" w:rsidRPr="00F552F0">
        <w:rPr>
          <w:color w:val="000000"/>
          <w:sz w:val="22"/>
          <w:szCs w:val="22"/>
        </w:rPr>
        <w:t>cooperative banks</w:t>
      </w:r>
      <w:r w:rsidR="001C60BD" w:rsidRPr="00F552F0">
        <w:rPr>
          <w:color w:val="000000"/>
          <w:sz w:val="22"/>
          <w:szCs w:val="22"/>
        </w:rPr>
        <w:t xml:space="preserve"> but not publicly traded</w:t>
      </w:r>
      <w:r w:rsidR="00335785" w:rsidRPr="00F552F0">
        <w:rPr>
          <w:color w:val="000000"/>
          <w:sz w:val="22"/>
          <w:szCs w:val="22"/>
        </w:rPr>
        <w:t>, so we cannot explore this distinction.  All of t</w:t>
      </w:r>
      <w:r w:rsidRPr="00F552F0">
        <w:rPr>
          <w:color w:val="000000"/>
          <w:sz w:val="22"/>
          <w:szCs w:val="22"/>
        </w:rPr>
        <w:t xml:space="preserve">hese </w:t>
      </w:r>
      <w:r w:rsidR="00D663AD" w:rsidRPr="00F552F0">
        <w:rPr>
          <w:color w:val="000000"/>
          <w:sz w:val="22"/>
          <w:szCs w:val="22"/>
        </w:rPr>
        <w:t>imperfections</w:t>
      </w:r>
      <w:r w:rsidR="00083A7D" w:rsidRPr="00F552F0">
        <w:rPr>
          <w:color w:val="000000"/>
          <w:sz w:val="22"/>
          <w:szCs w:val="22"/>
        </w:rPr>
        <w:t xml:space="preserve"> </w:t>
      </w:r>
      <w:r w:rsidRPr="00F552F0">
        <w:rPr>
          <w:color w:val="000000"/>
          <w:sz w:val="22"/>
          <w:szCs w:val="22"/>
        </w:rPr>
        <w:t>induce noise in our bank control measures</w:t>
      </w:r>
      <w:r w:rsidR="00083A7D" w:rsidRPr="00F552F0">
        <w:rPr>
          <w:color w:val="000000"/>
          <w:sz w:val="22"/>
          <w:szCs w:val="22"/>
        </w:rPr>
        <w:t>, and thus cut against our finding significant differences between them</w:t>
      </w:r>
      <w:r w:rsidRPr="00F552F0">
        <w:rPr>
          <w:color w:val="000000"/>
          <w:sz w:val="22"/>
          <w:szCs w:val="22"/>
        </w:rPr>
        <w:t xml:space="preserve">. We return to these </w:t>
      </w:r>
      <w:r w:rsidR="006F3681" w:rsidRPr="00F552F0">
        <w:rPr>
          <w:color w:val="000000"/>
          <w:sz w:val="22"/>
          <w:szCs w:val="22"/>
        </w:rPr>
        <w:t>and other shortcomings of our measures</w:t>
      </w:r>
      <w:r w:rsidRPr="00F552F0">
        <w:rPr>
          <w:color w:val="000000"/>
          <w:sz w:val="22"/>
          <w:szCs w:val="22"/>
        </w:rPr>
        <w:t xml:space="preserve"> in the robustness section below</w:t>
      </w:r>
      <w:r w:rsidR="00290019" w:rsidRPr="00F552F0">
        <w:rPr>
          <w:color w:val="000000"/>
          <w:sz w:val="22"/>
          <w:szCs w:val="22"/>
        </w:rPr>
        <w:t xml:space="preserve">. </w:t>
      </w:r>
    </w:p>
    <w:p w:rsidR="003C5026" w:rsidRPr="00F552F0" w:rsidRDefault="003C5026">
      <w:pPr>
        <w:spacing w:line="440" w:lineRule="exact"/>
        <w:ind w:firstLine="720"/>
        <w:jc w:val="both"/>
        <w:rPr>
          <w:b/>
          <w:color w:val="000000"/>
          <w:sz w:val="22"/>
          <w:szCs w:val="22"/>
        </w:rPr>
      </w:pPr>
    </w:p>
    <w:p w:rsidR="004C3644" w:rsidRPr="00F552F0" w:rsidRDefault="003D5871">
      <w:pPr>
        <w:autoSpaceDE w:val="0"/>
        <w:autoSpaceDN w:val="0"/>
        <w:adjustRightInd w:val="0"/>
        <w:spacing w:line="440" w:lineRule="exact"/>
        <w:jc w:val="both"/>
        <w:rPr>
          <w:i/>
          <w:color w:val="000000"/>
          <w:sz w:val="28"/>
        </w:rPr>
      </w:pPr>
      <w:r w:rsidRPr="00F552F0">
        <w:rPr>
          <w:i/>
          <w:color w:val="000000"/>
          <w:sz w:val="28"/>
        </w:rPr>
        <w:t>2.3.</w:t>
      </w:r>
      <w:r w:rsidRPr="00F552F0">
        <w:rPr>
          <w:i/>
          <w:color w:val="000000"/>
          <w:sz w:val="28"/>
        </w:rPr>
        <w:tab/>
        <w:t xml:space="preserve">Financial system efficiency </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We estimate efficiency of a country’s financial system in </w:t>
      </w:r>
      <w:r w:rsidR="00EC52D6" w:rsidRPr="00F552F0">
        <w:rPr>
          <w:color w:val="000000"/>
          <w:sz w:val="22"/>
          <w:szCs w:val="22"/>
        </w:rPr>
        <w:t xml:space="preserve">the following </w:t>
      </w:r>
      <w:r w:rsidRPr="00F552F0">
        <w:rPr>
          <w:color w:val="000000"/>
          <w:sz w:val="22"/>
          <w:szCs w:val="22"/>
        </w:rPr>
        <w:t>ways:</w:t>
      </w:r>
    </w:p>
    <w:p w:rsidR="004C3644" w:rsidRPr="00F552F0" w:rsidRDefault="004C3644">
      <w:pPr>
        <w:autoSpaceDE w:val="0"/>
        <w:autoSpaceDN w:val="0"/>
        <w:adjustRightInd w:val="0"/>
        <w:spacing w:line="440" w:lineRule="exact"/>
        <w:jc w:val="both"/>
        <w:rPr>
          <w:color w:val="000000"/>
        </w:rPr>
      </w:pPr>
    </w:p>
    <w:p w:rsidR="004C3644" w:rsidRPr="00F552F0" w:rsidRDefault="003D5871">
      <w:pPr>
        <w:keepNext/>
        <w:autoSpaceDE w:val="0"/>
        <w:autoSpaceDN w:val="0"/>
        <w:adjustRightInd w:val="0"/>
        <w:spacing w:line="440" w:lineRule="exact"/>
        <w:jc w:val="both"/>
        <w:rPr>
          <w:i/>
          <w:color w:val="000000"/>
        </w:rPr>
      </w:pPr>
      <w:r w:rsidRPr="00F552F0">
        <w:rPr>
          <w:i/>
          <w:color w:val="000000"/>
        </w:rPr>
        <w:lastRenderedPageBreak/>
        <w:t>2.3.1.</w:t>
      </w:r>
      <w:r w:rsidRPr="00F552F0">
        <w:rPr>
          <w:i/>
          <w:color w:val="000000"/>
        </w:rPr>
        <w:tab/>
        <w:t>Capital allocation to high value-added sectors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Following </w:t>
      </w:r>
      <w:proofErr w:type="spellStart"/>
      <w:r w:rsidR="00041EC3" w:rsidRPr="00F552F0">
        <w:rPr>
          <w:color w:val="000000"/>
          <w:sz w:val="22"/>
          <w:szCs w:val="22"/>
        </w:rPr>
        <w:t>Wurgler</w:t>
      </w:r>
      <w:proofErr w:type="spellEnd"/>
      <w:r w:rsidR="00041EC3" w:rsidRPr="00F552F0">
        <w:rPr>
          <w:color w:val="000000"/>
          <w:sz w:val="22"/>
          <w:szCs w:val="22"/>
        </w:rPr>
        <w:t xml:space="preserve"> (2000), </w:t>
      </w:r>
      <w:r w:rsidRPr="00F552F0">
        <w:rPr>
          <w:color w:val="000000"/>
          <w:sz w:val="22"/>
          <w:szCs w:val="22"/>
        </w:rPr>
        <w:t xml:space="preserve">we associate more efficient capital allocation with </w:t>
      </w:r>
      <w:r w:rsidR="009451D3" w:rsidRPr="00F552F0">
        <w:rPr>
          <w:color w:val="000000"/>
          <w:sz w:val="22"/>
          <w:szCs w:val="22"/>
        </w:rPr>
        <w:t>a country’s capital</w:t>
      </w:r>
      <w:r w:rsidRPr="00F552F0">
        <w:rPr>
          <w:color w:val="000000"/>
          <w:sz w:val="22"/>
          <w:szCs w:val="22"/>
        </w:rPr>
        <w:t xml:space="preserve"> investment </w:t>
      </w:r>
      <w:r w:rsidR="006F3681" w:rsidRPr="00F552F0">
        <w:rPr>
          <w:color w:val="000000"/>
          <w:sz w:val="22"/>
          <w:szCs w:val="22"/>
        </w:rPr>
        <w:t xml:space="preserve">being </w:t>
      </w:r>
      <w:r w:rsidR="009451D3" w:rsidRPr="00F552F0">
        <w:rPr>
          <w:color w:val="000000"/>
          <w:sz w:val="22"/>
          <w:szCs w:val="22"/>
        </w:rPr>
        <w:t xml:space="preserve">more predominantly concentrated </w:t>
      </w:r>
      <w:r w:rsidRPr="00F552F0">
        <w:rPr>
          <w:color w:val="000000"/>
          <w:sz w:val="22"/>
          <w:szCs w:val="22"/>
        </w:rPr>
        <w:t xml:space="preserve">in industries with </w:t>
      </w:r>
      <w:r w:rsidR="006F3681" w:rsidRPr="00F552F0">
        <w:rPr>
          <w:color w:val="000000"/>
          <w:sz w:val="22"/>
          <w:szCs w:val="22"/>
        </w:rPr>
        <w:t>faster</w:t>
      </w:r>
      <w:r w:rsidRPr="00F552F0">
        <w:rPr>
          <w:color w:val="000000"/>
          <w:sz w:val="22"/>
          <w:szCs w:val="22"/>
        </w:rPr>
        <w:t xml:space="preserve"> value-added growth. We operationalize this by estimating a simple elasticity of </w:t>
      </w:r>
      <w:r w:rsidRPr="00F552F0">
        <w:rPr>
          <w:i/>
          <w:color w:val="000000"/>
          <w:sz w:val="22"/>
          <w:szCs w:val="22"/>
        </w:rPr>
        <w:t>gross fixed capital formation</w:t>
      </w:r>
      <w:r w:rsidRPr="00F552F0">
        <w:rPr>
          <w:color w:val="000000"/>
          <w:sz w:val="22"/>
          <w:szCs w:val="22"/>
        </w:rPr>
        <w:t xml:space="preserve"> to value added growth for each country using its industry-level data. That is, </w:t>
      </w:r>
      <w:r w:rsidR="00E90CF3" w:rsidRPr="00F552F0">
        <w:rPr>
          <w:color w:val="000000"/>
          <w:sz w:val="22"/>
          <w:szCs w:val="22"/>
        </w:rPr>
        <w:t xml:space="preserve">a </w:t>
      </w:r>
      <w:r w:rsidRPr="00F552F0">
        <w:rPr>
          <w:color w:val="000000"/>
          <w:sz w:val="22"/>
          <w:szCs w:val="22"/>
        </w:rPr>
        <w:t xml:space="preserve">country’s </w:t>
      </w:r>
      <w:proofErr w:type="spellStart"/>
      <w:r w:rsidR="009451D3" w:rsidRPr="00F552F0">
        <w:rPr>
          <w:i/>
          <w:color w:val="000000"/>
          <w:sz w:val="22"/>
          <w:szCs w:val="22"/>
        </w:rPr>
        <w:t>Wurgler’s</w:t>
      </w:r>
      <w:proofErr w:type="spellEnd"/>
      <w:r w:rsidR="009451D3" w:rsidRPr="00F552F0">
        <w:rPr>
          <w:i/>
          <w:color w:val="000000"/>
          <w:sz w:val="22"/>
          <w:szCs w:val="22"/>
        </w:rPr>
        <w:t xml:space="preserve"> </w:t>
      </w:r>
      <w:r w:rsidRPr="00F552F0">
        <w:rPr>
          <w:i/>
          <w:color w:val="000000"/>
          <w:sz w:val="22"/>
          <w:szCs w:val="22"/>
        </w:rPr>
        <w:t xml:space="preserve">elasticity </w:t>
      </w:r>
      <w:r w:rsidRPr="00F552F0">
        <w:rPr>
          <w:color w:val="000000"/>
          <w:sz w:val="22"/>
          <w:szCs w:val="22"/>
        </w:rPr>
        <w:t xml:space="preserve">is the coefficient </w:t>
      </w:r>
      <w:proofErr w:type="spellStart"/>
      <w:r w:rsidRPr="00F552F0">
        <w:rPr>
          <w:i/>
          <w:color w:val="000000"/>
          <w:sz w:val="22"/>
          <w:szCs w:val="22"/>
        </w:rPr>
        <w:t>η</w:t>
      </w:r>
      <w:r w:rsidRPr="00F552F0">
        <w:rPr>
          <w:i/>
          <w:color w:val="000000"/>
          <w:sz w:val="22"/>
          <w:szCs w:val="22"/>
          <w:vertAlign w:val="subscript"/>
        </w:rPr>
        <w:t>c</w:t>
      </w:r>
      <w:proofErr w:type="spellEnd"/>
      <w:r w:rsidRPr="00F552F0">
        <w:rPr>
          <w:color w:val="000000"/>
          <w:sz w:val="22"/>
          <w:szCs w:val="22"/>
        </w:rPr>
        <w:t xml:space="preserve"> in the regression</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rsidP="00041EC3">
      <w:pPr>
        <w:autoSpaceDE w:val="0"/>
        <w:autoSpaceDN w:val="0"/>
        <w:adjustRightInd w:val="0"/>
        <w:jc w:val="both"/>
        <w:rPr>
          <w:color w:val="000000"/>
          <w:sz w:val="22"/>
          <w:szCs w:val="22"/>
        </w:rPr>
      </w:pPr>
      <w:r w:rsidRPr="00F552F0">
        <w:rPr>
          <w:color w:val="000000"/>
          <w:sz w:val="22"/>
          <w:szCs w:val="22"/>
        </w:rPr>
        <w:tab/>
      </w:r>
      <w:r w:rsidR="00E90CF3" w:rsidRPr="00F552F0">
        <w:rPr>
          <w:color w:val="000000"/>
          <w:position w:val="-30"/>
          <w:sz w:val="22"/>
          <w:szCs w:val="22"/>
        </w:rPr>
        <w:object w:dxaOrig="9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3pt;height:34.6pt" o:ole="">
            <v:imagedata r:id="rId10" o:title=""/>
          </v:shape>
          <o:OLEObject Type="Embed" ProgID="DSEquations" ShapeID="_x0000_i1025" DrawAspect="Content" ObjectID="_1428737173" r:id="rId11"/>
        </w:objec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jc w:val="both"/>
        <w:rPr>
          <w:color w:val="000000"/>
          <w:sz w:val="22"/>
          <w:szCs w:val="22"/>
        </w:rPr>
      </w:pPr>
      <w:proofErr w:type="gramStart"/>
      <w:r w:rsidRPr="00F552F0">
        <w:rPr>
          <w:color w:val="000000"/>
          <w:sz w:val="22"/>
          <w:szCs w:val="22"/>
        </w:rPr>
        <w:t>with</w:t>
      </w:r>
      <w:proofErr w:type="gramEnd"/>
      <w:r w:rsidRPr="00F552F0">
        <w:rPr>
          <w:color w:val="000000"/>
          <w:sz w:val="22"/>
          <w:szCs w:val="22"/>
        </w:rPr>
        <w:t xml:space="preserve"> </w:t>
      </w:r>
      <w:r w:rsidRPr="00F552F0">
        <w:rPr>
          <w:i/>
          <w:color w:val="000000"/>
          <w:sz w:val="22"/>
          <w:szCs w:val="22"/>
        </w:rPr>
        <w:t>i</w:t>
      </w:r>
      <w:r w:rsidRPr="00F552F0">
        <w:rPr>
          <w:color w:val="000000"/>
          <w:sz w:val="22"/>
          <w:szCs w:val="22"/>
        </w:rPr>
        <w:t xml:space="preserve"> denoting industry, </w:t>
      </w:r>
      <w:r w:rsidRPr="00F552F0">
        <w:rPr>
          <w:i/>
          <w:color w:val="000000"/>
          <w:sz w:val="22"/>
          <w:szCs w:val="22"/>
        </w:rPr>
        <w:t>t</w:t>
      </w:r>
      <w:r w:rsidRPr="00F552F0">
        <w:rPr>
          <w:color w:val="000000"/>
          <w:sz w:val="22"/>
          <w:szCs w:val="22"/>
        </w:rPr>
        <w:t xml:space="preserve"> time,</w:t>
      </w:r>
      <w:r w:rsidR="005534EE" w:rsidRPr="00F552F0">
        <w:rPr>
          <w:i/>
          <w:color w:val="000000"/>
          <w:sz w:val="22"/>
          <w:szCs w:val="22"/>
        </w:rPr>
        <w:t xml:space="preserve"> c</w:t>
      </w:r>
      <w:r w:rsidR="005534EE" w:rsidRPr="00F552F0">
        <w:rPr>
          <w:color w:val="000000"/>
          <w:sz w:val="22"/>
          <w:szCs w:val="22"/>
        </w:rPr>
        <w:t xml:space="preserve"> country, </w:t>
      </w:r>
      <w:r w:rsidRPr="00F552F0">
        <w:rPr>
          <w:color w:val="000000"/>
          <w:sz w:val="22"/>
          <w:szCs w:val="22"/>
        </w:rPr>
        <w:t xml:space="preserve"> </w:t>
      </w:r>
      <w:r w:rsidRPr="00F552F0">
        <w:rPr>
          <w:i/>
          <w:color w:val="000000"/>
          <w:sz w:val="22"/>
          <w:szCs w:val="22"/>
        </w:rPr>
        <w:t>I</w:t>
      </w:r>
      <w:r w:rsidRPr="00F552F0">
        <w:rPr>
          <w:color w:val="000000"/>
          <w:sz w:val="22"/>
          <w:szCs w:val="22"/>
        </w:rPr>
        <w:t xml:space="preserve"> fixed capital investment, and </w:t>
      </w:r>
      <w:r w:rsidRPr="00F552F0">
        <w:rPr>
          <w:i/>
          <w:color w:val="000000"/>
          <w:sz w:val="22"/>
          <w:szCs w:val="22"/>
        </w:rPr>
        <w:t>V</w:t>
      </w:r>
      <w:r w:rsidR="00980A93" w:rsidRPr="00F552F0">
        <w:rPr>
          <w:color w:val="000000"/>
          <w:sz w:val="22"/>
          <w:szCs w:val="22"/>
        </w:rPr>
        <w:t xml:space="preserve"> industry value-</w:t>
      </w:r>
      <w:r w:rsidRPr="00F552F0">
        <w:rPr>
          <w:color w:val="000000"/>
          <w:sz w:val="22"/>
          <w:szCs w:val="22"/>
        </w:rPr>
        <w:t xml:space="preserve">added. </w:t>
      </w:r>
    </w:p>
    <w:p w:rsidR="004C3644" w:rsidRPr="00F552F0" w:rsidRDefault="00CA686D">
      <w:pPr>
        <w:autoSpaceDE w:val="0"/>
        <w:autoSpaceDN w:val="0"/>
        <w:adjustRightInd w:val="0"/>
        <w:spacing w:line="440" w:lineRule="exact"/>
        <w:ind w:firstLine="720"/>
        <w:jc w:val="both"/>
        <w:rPr>
          <w:color w:val="000000"/>
          <w:sz w:val="22"/>
          <w:szCs w:val="22"/>
        </w:rPr>
      </w:pPr>
      <w:r w:rsidRPr="00F552F0">
        <w:rPr>
          <w:color w:val="000000"/>
          <w:sz w:val="22"/>
          <w:szCs w:val="22"/>
        </w:rPr>
        <w:t>I</w:t>
      </w:r>
      <w:r w:rsidR="006F3681" w:rsidRPr="00F552F0">
        <w:rPr>
          <w:color w:val="000000"/>
          <w:sz w:val="22"/>
          <w:szCs w:val="22"/>
        </w:rPr>
        <w:t>ndustry</w:t>
      </w:r>
      <w:r w:rsidR="007B4E8F" w:rsidRPr="00F552F0">
        <w:rPr>
          <w:color w:val="000000"/>
          <w:sz w:val="22"/>
          <w:szCs w:val="22"/>
        </w:rPr>
        <w:t>-level</w:t>
      </w:r>
      <w:r w:rsidRPr="00F552F0">
        <w:rPr>
          <w:color w:val="000000"/>
          <w:sz w:val="22"/>
          <w:szCs w:val="22"/>
        </w:rPr>
        <w:t xml:space="preserve"> (</w:t>
      </w:r>
      <w:r w:rsidR="00E90CF3" w:rsidRPr="00F552F0">
        <w:rPr>
          <w:color w:val="000000"/>
          <w:sz w:val="22"/>
          <w:szCs w:val="22"/>
        </w:rPr>
        <w:t>three</w:t>
      </w:r>
      <w:r w:rsidRPr="00F552F0">
        <w:rPr>
          <w:color w:val="000000"/>
          <w:sz w:val="22"/>
          <w:szCs w:val="22"/>
        </w:rPr>
        <w:t xml:space="preserve">-digit </w:t>
      </w:r>
      <w:r w:rsidR="003D5871" w:rsidRPr="00F552F0">
        <w:rPr>
          <w:color w:val="000000"/>
          <w:sz w:val="22"/>
          <w:szCs w:val="22"/>
        </w:rPr>
        <w:t>International Standard Industrial Classification</w:t>
      </w:r>
      <w:r w:rsidRPr="00F552F0">
        <w:rPr>
          <w:color w:val="000000"/>
          <w:sz w:val="22"/>
          <w:szCs w:val="22"/>
        </w:rPr>
        <w:t>)</w:t>
      </w:r>
      <w:r w:rsidR="004C3644" w:rsidRPr="00F552F0">
        <w:rPr>
          <w:color w:val="000000"/>
          <w:sz w:val="22"/>
          <w:szCs w:val="22"/>
        </w:rPr>
        <w:t xml:space="preserve"> investment and value-added data</w:t>
      </w:r>
      <w:r w:rsidR="000E456E" w:rsidRPr="00F552F0">
        <w:rPr>
          <w:color w:val="000000"/>
          <w:sz w:val="22"/>
          <w:szCs w:val="22"/>
        </w:rPr>
        <w:t xml:space="preserve"> are available</w:t>
      </w:r>
      <w:r w:rsidR="004C3644" w:rsidRPr="00F552F0">
        <w:rPr>
          <w:color w:val="000000"/>
          <w:sz w:val="22"/>
          <w:szCs w:val="22"/>
        </w:rPr>
        <w:t xml:space="preserve"> </w:t>
      </w:r>
      <w:r w:rsidR="00BD0987" w:rsidRPr="00F552F0">
        <w:rPr>
          <w:color w:val="000000"/>
          <w:sz w:val="22"/>
          <w:szCs w:val="22"/>
        </w:rPr>
        <w:t>up to</w:t>
      </w:r>
      <w:r w:rsidR="000E456E" w:rsidRPr="00F552F0">
        <w:rPr>
          <w:color w:val="000000"/>
          <w:sz w:val="22"/>
          <w:szCs w:val="22"/>
        </w:rPr>
        <w:t xml:space="preserve"> 2003 </w:t>
      </w:r>
      <w:r w:rsidR="004C3644" w:rsidRPr="00F552F0">
        <w:rPr>
          <w:color w:val="000000"/>
          <w:sz w:val="22"/>
          <w:szCs w:val="22"/>
        </w:rPr>
        <w:t xml:space="preserve">from </w:t>
      </w:r>
      <w:r w:rsidR="00EF4991" w:rsidRPr="00F552F0">
        <w:rPr>
          <w:color w:val="000000"/>
          <w:sz w:val="22"/>
          <w:szCs w:val="22"/>
        </w:rPr>
        <w:t xml:space="preserve">the </w:t>
      </w:r>
      <w:r w:rsidR="004C3644" w:rsidRPr="00F552F0">
        <w:rPr>
          <w:color w:val="000000"/>
          <w:sz w:val="22"/>
          <w:szCs w:val="22"/>
        </w:rPr>
        <w:t>United Nations' General Industrial Statistics (UNIDO) database.</w:t>
      </w:r>
      <w:r w:rsidR="00717D54" w:rsidRPr="00F552F0">
        <w:rPr>
          <w:color w:val="000000"/>
          <w:sz w:val="22"/>
          <w:szCs w:val="22"/>
        </w:rPr>
        <w:t xml:space="preserve"> </w:t>
      </w:r>
      <w:r w:rsidR="0078405E" w:rsidRPr="00F552F0">
        <w:rPr>
          <w:color w:val="000000"/>
          <w:sz w:val="22"/>
          <w:szCs w:val="22"/>
        </w:rPr>
        <w:t xml:space="preserve">We </w:t>
      </w:r>
      <w:r w:rsidR="00C90887" w:rsidRPr="00F552F0">
        <w:rPr>
          <w:color w:val="000000"/>
          <w:sz w:val="22"/>
          <w:szCs w:val="22"/>
        </w:rPr>
        <w:t>use the data filters</w:t>
      </w:r>
      <w:r w:rsidR="004D41E0" w:rsidRPr="00F552F0">
        <w:rPr>
          <w:color w:val="000000"/>
          <w:sz w:val="22"/>
          <w:szCs w:val="22"/>
        </w:rPr>
        <w:t xml:space="preserve"> </w:t>
      </w:r>
      <w:r w:rsidR="00C90887" w:rsidRPr="00F552F0">
        <w:rPr>
          <w:color w:val="000000"/>
          <w:sz w:val="22"/>
          <w:szCs w:val="22"/>
        </w:rPr>
        <w:t xml:space="preserve">in </w:t>
      </w:r>
      <w:proofErr w:type="spellStart"/>
      <w:r w:rsidR="0001487A" w:rsidRPr="00F552F0">
        <w:rPr>
          <w:color w:val="000000"/>
          <w:sz w:val="22"/>
          <w:szCs w:val="22"/>
        </w:rPr>
        <w:t>Wurgler</w:t>
      </w:r>
      <w:proofErr w:type="spellEnd"/>
      <w:r w:rsidR="0001487A" w:rsidRPr="00F552F0">
        <w:rPr>
          <w:color w:val="000000"/>
          <w:sz w:val="22"/>
          <w:szCs w:val="22"/>
        </w:rPr>
        <w:t xml:space="preserve"> </w:t>
      </w:r>
      <w:r w:rsidR="00C90887" w:rsidRPr="00F552F0">
        <w:rPr>
          <w:color w:val="000000"/>
          <w:sz w:val="22"/>
          <w:szCs w:val="22"/>
        </w:rPr>
        <w:t>(</w:t>
      </w:r>
      <w:r w:rsidR="0078405E" w:rsidRPr="00F552F0">
        <w:rPr>
          <w:color w:val="000000"/>
          <w:sz w:val="22"/>
          <w:szCs w:val="22"/>
        </w:rPr>
        <w:t>2000)</w:t>
      </w:r>
      <w:r w:rsidR="0041358C" w:rsidRPr="00F552F0">
        <w:rPr>
          <w:color w:val="000000"/>
          <w:sz w:val="22"/>
          <w:szCs w:val="22"/>
        </w:rPr>
        <w:t>, which eliminate</w:t>
      </w:r>
      <w:r w:rsidR="004D41E0" w:rsidRPr="00F552F0">
        <w:rPr>
          <w:color w:val="000000"/>
          <w:sz w:val="22"/>
          <w:szCs w:val="22"/>
        </w:rPr>
        <w:t xml:space="preserve"> industries that constitute less than 1% of total value</w:t>
      </w:r>
      <w:r w:rsidR="005C5F69" w:rsidRPr="00F552F0">
        <w:rPr>
          <w:color w:val="000000"/>
          <w:sz w:val="22"/>
          <w:szCs w:val="22"/>
        </w:rPr>
        <w:t xml:space="preserve"> </w:t>
      </w:r>
      <w:r w:rsidR="004D41E0" w:rsidRPr="00F552F0">
        <w:rPr>
          <w:color w:val="000000"/>
          <w:sz w:val="22"/>
          <w:szCs w:val="22"/>
        </w:rPr>
        <w:t>added at the beginning of the sample period</w:t>
      </w:r>
      <w:r w:rsidR="0078405E" w:rsidRPr="00F552F0">
        <w:rPr>
          <w:color w:val="000000"/>
          <w:sz w:val="22"/>
          <w:szCs w:val="22"/>
        </w:rPr>
        <w:t xml:space="preserve">. </w:t>
      </w:r>
      <w:r w:rsidR="00717D54" w:rsidRPr="00F552F0">
        <w:rPr>
          <w:color w:val="000000"/>
          <w:sz w:val="22"/>
          <w:szCs w:val="22"/>
        </w:rPr>
        <w:t xml:space="preserve">We </w:t>
      </w:r>
      <w:r w:rsidR="004C3644" w:rsidRPr="00F552F0">
        <w:rPr>
          <w:color w:val="000000"/>
          <w:sz w:val="22"/>
          <w:szCs w:val="22"/>
        </w:rPr>
        <w:t xml:space="preserve">estimate each country’s capital allocation efficiency twice. Our first </w:t>
      </w:r>
      <w:proofErr w:type="spellStart"/>
      <w:r w:rsidR="00985BB3" w:rsidRPr="00F552F0">
        <w:rPr>
          <w:i/>
          <w:color w:val="000000"/>
          <w:sz w:val="22"/>
          <w:szCs w:val="22"/>
        </w:rPr>
        <w:t>Wurgler’s</w:t>
      </w:r>
      <w:proofErr w:type="spellEnd"/>
      <w:r w:rsidR="00985BB3" w:rsidRPr="00F552F0">
        <w:rPr>
          <w:i/>
          <w:color w:val="000000"/>
          <w:sz w:val="22"/>
          <w:szCs w:val="22"/>
        </w:rPr>
        <w:t xml:space="preserve"> elasticity</w:t>
      </w:r>
      <w:r w:rsidR="00985BB3" w:rsidRPr="00F552F0">
        <w:rPr>
          <w:color w:val="000000"/>
          <w:sz w:val="22"/>
          <w:szCs w:val="22"/>
        </w:rPr>
        <w:t xml:space="preserve"> </w:t>
      </w:r>
      <w:r w:rsidR="004C3644" w:rsidRPr="00F552F0">
        <w:rPr>
          <w:color w:val="000000"/>
          <w:sz w:val="22"/>
          <w:szCs w:val="22"/>
        </w:rPr>
        <w:t>estimate uses data for 1993 through 2003</w:t>
      </w:r>
      <w:r w:rsidR="00EF4991" w:rsidRPr="00F552F0">
        <w:rPr>
          <w:color w:val="000000"/>
          <w:sz w:val="22"/>
          <w:szCs w:val="22"/>
        </w:rPr>
        <w:t>—</w:t>
      </w:r>
      <w:r w:rsidR="004C3644" w:rsidRPr="00F552F0">
        <w:rPr>
          <w:color w:val="000000"/>
          <w:sz w:val="22"/>
          <w:szCs w:val="22"/>
        </w:rPr>
        <w:t>the ten years closest to our observation of the bank control</w:t>
      </w:r>
      <w:r w:rsidR="00F21DD4" w:rsidRPr="00F552F0">
        <w:rPr>
          <w:color w:val="000000"/>
          <w:sz w:val="22"/>
          <w:szCs w:val="22"/>
        </w:rPr>
        <w:t>. We would ideally base our</w:t>
      </w:r>
      <w:r w:rsidR="004C3644" w:rsidRPr="00F552F0">
        <w:rPr>
          <w:color w:val="000000"/>
          <w:sz w:val="22"/>
          <w:szCs w:val="22"/>
        </w:rPr>
        <w:t xml:space="preserve"> capital allocation efficiency measurements </w:t>
      </w:r>
      <w:r w:rsidR="00F21DD4" w:rsidRPr="00F552F0">
        <w:rPr>
          <w:color w:val="000000"/>
          <w:sz w:val="22"/>
          <w:szCs w:val="22"/>
        </w:rPr>
        <w:t xml:space="preserve">of data </w:t>
      </w:r>
      <w:r w:rsidR="004C3644" w:rsidRPr="00F552F0">
        <w:rPr>
          <w:color w:val="000000"/>
          <w:sz w:val="22"/>
          <w:szCs w:val="22"/>
        </w:rPr>
        <w:t>subsequent to 2001</w:t>
      </w:r>
      <w:r w:rsidR="00F21DD4" w:rsidRPr="00F552F0">
        <w:rPr>
          <w:color w:val="000000"/>
          <w:sz w:val="22"/>
          <w:szCs w:val="22"/>
        </w:rPr>
        <w:t xml:space="preserve">, the earliest date at which we can assemble a broad international cross-section of bank control data; however, this </w:t>
      </w:r>
      <w:r w:rsidR="006F3681" w:rsidRPr="00F552F0">
        <w:rPr>
          <w:color w:val="000000"/>
          <w:sz w:val="22"/>
          <w:szCs w:val="22"/>
        </w:rPr>
        <w:t>leaves</w:t>
      </w:r>
      <w:r w:rsidR="00F21DD4" w:rsidRPr="00F552F0">
        <w:rPr>
          <w:color w:val="000000"/>
          <w:sz w:val="22"/>
          <w:szCs w:val="22"/>
        </w:rPr>
        <w:t xml:space="preserve"> too </w:t>
      </w:r>
      <w:r w:rsidR="006F3681" w:rsidRPr="00F552F0">
        <w:rPr>
          <w:color w:val="000000"/>
          <w:sz w:val="22"/>
          <w:szCs w:val="22"/>
        </w:rPr>
        <w:t>short an</w:t>
      </w:r>
      <w:r w:rsidR="00CC770A" w:rsidRPr="00F552F0">
        <w:rPr>
          <w:color w:val="000000"/>
          <w:sz w:val="22"/>
          <w:szCs w:val="22"/>
        </w:rPr>
        <w:t xml:space="preserve"> estimation window.</w:t>
      </w:r>
      <w:r w:rsidR="00F21DD4" w:rsidRPr="00F552F0">
        <w:rPr>
          <w:color w:val="000000"/>
          <w:sz w:val="22"/>
          <w:szCs w:val="22"/>
        </w:rPr>
        <w:t xml:space="preserve"> </w:t>
      </w:r>
      <w:r w:rsidR="004C3644" w:rsidRPr="00F552F0">
        <w:rPr>
          <w:color w:val="000000"/>
          <w:sz w:val="22"/>
          <w:szCs w:val="22"/>
        </w:rPr>
        <w:t xml:space="preserve">Our second </w:t>
      </w:r>
      <w:proofErr w:type="spellStart"/>
      <w:r w:rsidR="00985BB3" w:rsidRPr="00F552F0">
        <w:rPr>
          <w:i/>
          <w:color w:val="000000"/>
          <w:sz w:val="22"/>
          <w:szCs w:val="22"/>
        </w:rPr>
        <w:t>Wurgler’s</w:t>
      </w:r>
      <w:proofErr w:type="spellEnd"/>
      <w:r w:rsidR="00985BB3" w:rsidRPr="00F552F0">
        <w:rPr>
          <w:i/>
          <w:color w:val="000000"/>
          <w:sz w:val="22"/>
          <w:szCs w:val="22"/>
        </w:rPr>
        <w:t xml:space="preserve"> elasticity</w:t>
      </w:r>
      <w:r w:rsidR="004C3644" w:rsidRPr="00F552F0">
        <w:rPr>
          <w:color w:val="000000"/>
          <w:sz w:val="22"/>
          <w:szCs w:val="22"/>
        </w:rPr>
        <w:t xml:space="preserve"> </w:t>
      </w:r>
      <w:r w:rsidR="00EF4991" w:rsidRPr="00F552F0">
        <w:rPr>
          <w:color w:val="000000"/>
          <w:sz w:val="22"/>
          <w:szCs w:val="22"/>
        </w:rPr>
        <w:t xml:space="preserve">estimate </w:t>
      </w:r>
      <w:r w:rsidR="004C3644" w:rsidRPr="00F552F0">
        <w:rPr>
          <w:color w:val="000000"/>
          <w:sz w:val="22"/>
          <w:szCs w:val="22"/>
        </w:rPr>
        <w:t xml:space="preserve">uses all available UNIDO data (1963 through 2003). The longer window raises the number of countries with enough data to estimate the coefficient </w:t>
      </w:r>
      <w:r w:rsidR="00BF6193" w:rsidRPr="00F552F0">
        <w:rPr>
          <w:i/>
          <w:color w:val="000000"/>
          <w:sz w:val="22"/>
          <w:szCs w:val="22"/>
        </w:rPr>
        <w:t>η</w:t>
      </w:r>
      <w:r w:rsidR="004C3644" w:rsidRPr="00F552F0">
        <w:rPr>
          <w:color w:val="000000"/>
          <w:sz w:val="22"/>
          <w:szCs w:val="22"/>
        </w:rPr>
        <w:t xml:space="preserve"> from 33 to 39 and permits more precise estimates if capital allocation efficiency changes little through the window. If not, th</w:t>
      </w:r>
      <w:r w:rsidR="00CC770A" w:rsidRPr="00F552F0">
        <w:rPr>
          <w:color w:val="000000"/>
          <w:sz w:val="22"/>
          <w:szCs w:val="22"/>
        </w:rPr>
        <w:t xml:space="preserve">e first version is preferable. </w:t>
      </w:r>
      <w:r w:rsidR="004C3644" w:rsidRPr="00F552F0">
        <w:rPr>
          <w:color w:val="000000"/>
          <w:sz w:val="22"/>
          <w:szCs w:val="22"/>
        </w:rPr>
        <w:t>Table 4 shows that the two me</w:t>
      </w:r>
      <w:r w:rsidR="00CC770A" w:rsidRPr="00F552F0">
        <w:rPr>
          <w:color w:val="000000"/>
          <w:sz w:val="22"/>
          <w:szCs w:val="22"/>
        </w:rPr>
        <w:t xml:space="preserve">asures are highly correlated. </w:t>
      </w:r>
    </w:p>
    <w:p w:rsidR="00980A93" w:rsidRPr="00F552F0" w:rsidRDefault="004C3644" w:rsidP="00980A93">
      <w:pPr>
        <w:autoSpaceDE w:val="0"/>
        <w:autoSpaceDN w:val="0"/>
        <w:adjustRightInd w:val="0"/>
        <w:spacing w:line="440" w:lineRule="exact"/>
        <w:ind w:firstLine="720"/>
        <w:jc w:val="both"/>
        <w:rPr>
          <w:color w:val="000000"/>
          <w:sz w:val="22"/>
          <w:szCs w:val="22"/>
        </w:rPr>
      </w:pPr>
      <w:r w:rsidRPr="00F552F0">
        <w:rPr>
          <w:color w:val="000000"/>
          <w:sz w:val="22"/>
          <w:szCs w:val="22"/>
        </w:rPr>
        <w:t xml:space="preserve">Since value-added growth across all sectors, by definition, sums to GDP growth, this measure gauges the strength of the link between capital spending in each industry and that industry’s contribution to overall economic growth. Its weakness is that it fails to capture investments that respond to new growth opportunities yet to </w:t>
      </w:r>
      <w:r w:rsidR="00F21DD4" w:rsidRPr="00F552F0">
        <w:rPr>
          <w:color w:val="000000"/>
          <w:sz w:val="22"/>
          <w:szCs w:val="22"/>
        </w:rPr>
        <w:t>affect</w:t>
      </w:r>
      <w:r w:rsidRPr="00F552F0">
        <w:rPr>
          <w:color w:val="000000"/>
          <w:sz w:val="22"/>
          <w:szCs w:val="22"/>
        </w:rPr>
        <w:t xml:space="preserve"> value</w:t>
      </w:r>
      <w:r w:rsidR="00F21DD4" w:rsidRPr="00F552F0">
        <w:rPr>
          <w:color w:val="000000"/>
          <w:sz w:val="22"/>
          <w:szCs w:val="22"/>
        </w:rPr>
        <w:t>s</w:t>
      </w:r>
      <w:r w:rsidRPr="00F552F0">
        <w:rPr>
          <w:color w:val="000000"/>
          <w:sz w:val="22"/>
          <w:szCs w:val="22"/>
        </w:rPr>
        <w:t xml:space="preserve"> added. </w:t>
      </w:r>
      <w:r w:rsidR="00980A93" w:rsidRPr="00F552F0">
        <w:rPr>
          <w:color w:val="000000"/>
          <w:sz w:val="22"/>
          <w:szCs w:val="22"/>
        </w:rPr>
        <w:t xml:space="preserve"> </w:t>
      </w:r>
    </w:p>
    <w:p w:rsidR="00980A93" w:rsidRPr="00F552F0" w:rsidRDefault="00980A93" w:rsidP="00980A93">
      <w:pPr>
        <w:autoSpaceDE w:val="0"/>
        <w:autoSpaceDN w:val="0"/>
        <w:adjustRightInd w:val="0"/>
        <w:spacing w:line="440" w:lineRule="exact"/>
        <w:ind w:firstLine="720"/>
        <w:jc w:val="both"/>
        <w:rPr>
          <w:color w:val="000000"/>
          <w:sz w:val="22"/>
          <w:szCs w:val="22"/>
        </w:rPr>
      </w:pPr>
    </w:p>
    <w:p w:rsidR="00E21501" w:rsidRPr="00F552F0" w:rsidRDefault="003D5871" w:rsidP="00E21501">
      <w:pPr>
        <w:autoSpaceDE w:val="0"/>
        <w:autoSpaceDN w:val="0"/>
        <w:adjustRightInd w:val="0"/>
        <w:spacing w:line="440" w:lineRule="exact"/>
        <w:jc w:val="both"/>
        <w:rPr>
          <w:color w:val="000000"/>
          <w:sz w:val="22"/>
          <w:szCs w:val="22"/>
        </w:rPr>
      </w:pPr>
      <w:r w:rsidRPr="00F552F0">
        <w:rPr>
          <w:i/>
          <w:color w:val="000000"/>
        </w:rPr>
        <w:lastRenderedPageBreak/>
        <w:t>2.3.2.</w:t>
      </w:r>
      <w:r w:rsidRPr="00F552F0">
        <w:rPr>
          <w:i/>
          <w:color w:val="000000"/>
        </w:rPr>
        <w:tab/>
        <w:t xml:space="preserve">Capital allocation to </w:t>
      </w:r>
      <w:r w:rsidR="00E21501" w:rsidRPr="00F552F0">
        <w:rPr>
          <w:i/>
          <w:color w:val="000000"/>
        </w:rPr>
        <w:t>sectors that rely on</w:t>
      </w:r>
      <w:r w:rsidR="00EF4991" w:rsidRPr="00F552F0">
        <w:rPr>
          <w:i/>
          <w:color w:val="000000"/>
        </w:rPr>
        <w:t xml:space="preserve"> </w:t>
      </w:r>
      <w:r w:rsidR="00C96861" w:rsidRPr="00F552F0">
        <w:rPr>
          <w:i/>
          <w:color w:val="000000"/>
        </w:rPr>
        <w:t xml:space="preserve">external </w:t>
      </w:r>
      <w:r w:rsidR="00E21501" w:rsidRPr="00F552F0">
        <w:rPr>
          <w:i/>
          <w:color w:val="000000"/>
        </w:rPr>
        <w:t xml:space="preserve">financing </w:t>
      </w:r>
      <w:proofErr w:type="gramStart"/>
      <w:r w:rsidR="00B42CEC" w:rsidRPr="00F552F0">
        <w:rPr>
          <w:color w:val="000000"/>
          <w:sz w:val="22"/>
          <w:szCs w:val="22"/>
        </w:rPr>
        <w:t>Our</w:t>
      </w:r>
      <w:proofErr w:type="gramEnd"/>
      <w:r w:rsidR="00B42CEC" w:rsidRPr="00F552F0">
        <w:rPr>
          <w:color w:val="000000"/>
          <w:sz w:val="22"/>
          <w:szCs w:val="22"/>
        </w:rPr>
        <w:t xml:space="preserve"> second capital allocation efficiency measure is that developed by </w:t>
      </w:r>
      <w:proofErr w:type="spellStart"/>
      <w:r w:rsidR="005A0DD2" w:rsidRPr="00F552F0">
        <w:rPr>
          <w:color w:val="000000"/>
          <w:sz w:val="22"/>
          <w:szCs w:val="22"/>
        </w:rPr>
        <w:t>Rajan</w:t>
      </w:r>
      <w:proofErr w:type="spellEnd"/>
      <w:r w:rsidR="005A0DD2" w:rsidRPr="00F552F0">
        <w:rPr>
          <w:color w:val="000000"/>
          <w:sz w:val="22"/>
          <w:szCs w:val="22"/>
        </w:rPr>
        <w:t xml:space="preserve"> </w:t>
      </w:r>
      <w:r w:rsidR="00E82874" w:rsidRPr="00F552F0">
        <w:rPr>
          <w:color w:val="000000"/>
          <w:sz w:val="22"/>
          <w:szCs w:val="22"/>
        </w:rPr>
        <w:t>and</w:t>
      </w:r>
      <w:r w:rsidR="007E26C2" w:rsidRPr="00F552F0">
        <w:rPr>
          <w:color w:val="000000"/>
          <w:sz w:val="22"/>
          <w:szCs w:val="22"/>
        </w:rPr>
        <w:t xml:space="preserve"> </w:t>
      </w:r>
      <w:proofErr w:type="spellStart"/>
      <w:r w:rsidR="007E26C2" w:rsidRPr="00F552F0">
        <w:rPr>
          <w:color w:val="000000"/>
          <w:sz w:val="22"/>
          <w:szCs w:val="22"/>
        </w:rPr>
        <w:t>Zingales</w:t>
      </w:r>
      <w:proofErr w:type="spellEnd"/>
      <w:r w:rsidR="007E26C2" w:rsidRPr="00F552F0">
        <w:rPr>
          <w:color w:val="000000"/>
          <w:sz w:val="22"/>
          <w:szCs w:val="22"/>
        </w:rPr>
        <w:t xml:space="preserve"> (1998)</w:t>
      </w:r>
      <w:r w:rsidR="00B42CEC" w:rsidRPr="00F552F0">
        <w:rPr>
          <w:color w:val="000000"/>
          <w:sz w:val="22"/>
          <w:szCs w:val="22"/>
        </w:rPr>
        <w:t>.  Using the US as a maximally frictionless benchmark, they gauge each industry’s dependence on external f</w:t>
      </w:r>
      <w:r w:rsidR="008D7150" w:rsidRPr="00F552F0">
        <w:rPr>
          <w:color w:val="000000"/>
          <w:sz w:val="22"/>
          <w:szCs w:val="22"/>
        </w:rPr>
        <w:t>inancing, and argue that industries</w:t>
      </w:r>
      <w:r w:rsidR="00B42CEC" w:rsidRPr="00F552F0">
        <w:rPr>
          <w:color w:val="000000"/>
          <w:sz w:val="22"/>
          <w:szCs w:val="22"/>
        </w:rPr>
        <w:t xml:space="preserve"> more dependent on external financing ought to grow more slowly in countries whose</w:t>
      </w:r>
      <w:r w:rsidR="007E26C2" w:rsidRPr="00F552F0">
        <w:rPr>
          <w:color w:val="000000"/>
          <w:sz w:val="22"/>
          <w:szCs w:val="22"/>
        </w:rPr>
        <w:t xml:space="preserve"> financial system</w:t>
      </w:r>
      <w:r w:rsidR="00B42CEC" w:rsidRPr="00F552F0">
        <w:rPr>
          <w:color w:val="000000"/>
          <w:sz w:val="22"/>
          <w:szCs w:val="22"/>
        </w:rPr>
        <w:t xml:space="preserve">s are less efficient.  </w:t>
      </w:r>
      <w:r w:rsidR="007E26C2" w:rsidRPr="00F552F0">
        <w:rPr>
          <w:color w:val="000000"/>
          <w:sz w:val="22"/>
          <w:szCs w:val="22"/>
        </w:rPr>
        <w:t xml:space="preserve"> </w:t>
      </w:r>
      <w:r w:rsidR="00B42CEC" w:rsidRPr="00F552F0">
        <w:rPr>
          <w:color w:val="000000"/>
          <w:sz w:val="22"/>
          <w:szCs w:val="22"/>
        </w:rPr>
        <w:t xml:space="preserve"> </w:t>
      </w:r>
    </w:p>
    <w:p w:rsidR="007B71B1" w:rsidRPr="00F552F0" w:rsidRDefault="00AF2E7F" w:rsidP="009813A7">
      <w:pPr>
        <w:autoSpaceDE w:val="0"/>
        <w:autoSpaceDN w:val="0"/>
        <w:adjustRightInd w:val="0"/>
        <w:spacing w:line="440" w:lineRule="exact"/>
        <w:ind w:firstLine="720"/>
        <w:jc w:val="both"/>
        <w:rPr>
          <w:color w:val="000000"/>
          <w:sz w:val="22"/>
          <w:szCs w:val="22"/>
        </w:rPr>
      </w:pPr>
      <w:r w:rsidRPr="00F552F0">
        <w:rPr>
          <w:color w:val="000000"/>
          <w:sz w:val="22"/>
          <w:szCs w:val="22"/>
        </w:rPr>
        <w:t>Following</w:t>
      </w:r>
      <w:r w:rsidR="005A0DD2" w:rsidRPr="00F552F0">
        <w:rPr>
          <w:color w:val="000000"/>
          <w:sz w:val="22"/>
          <w:szCs w:val="22"/>
        </w:rPr>
        <w:t xml:space="preserve"> </w:t>
      </w:r>
      <w:proofErr w:type="spellStart"/>
      <w:r w:rsidR="005A0DD2" w:rsidRPr="00F552F0">
        <w:rPr>
          <w:color w:val="000000"/>
          <w:sz w:val="22"/>
          <w:szCs w:val="22"/>
        </w:rPr>
        <w:t>Rajan</w:t>
      </w:r>
      <w:proofErr w:type="spellEnd"/>
      <w:r w:rsidR="005A0DD2" w:rsidRPr="00F552F0">
        <w:rPr>
          <w:color w:val="000000"/>
          <w:sz w:val="22"/>
          <w:szCs w:val="22"/>
        </w:rPr>
        <w:t xml:space="preserve"> </w:t>
      </w:r>
      <w:r w:rsidR="00E82874" w:rsidRPr="00F552F0">
        <w:rPr>
          <w:color w:val="000000"/>
          <w:sz w:val="22"/>
          <w:szCs w:val="22"/>
        </w:rPr>
        <w:t>and</w:t>
      </w:r>
      <w:r w:rsidR="007E26C2" w:rsidRPr="00F552F0">
        <w:rPr>
          <w:color w:val="000000"/>
          <w:sz w:val="22"/>
          <w:szCs w:val="22"/>
        </w:rPr>
        <w:t xml:space="preserve"> </w:t>
      </w:r>
      <w:proofErr w:type="spellStart"/>
      <w:r w:rsidR="007E26C2" w:rsidRPr="00F552F0">
        <w:rPr>
          <w:color w:val="000000"/>
          <w:sz w:val="22"/>
          <w:szCs w:val="22"/>
        </w:rPr>
        <w:t>Zingales</w:t>
      </w:r>
      <w:proofErr w:type="spellEnd"/>
      <w:r w:rsidR="007E26C2" w:rsidRPr="00F552F0">
        <w:rPr>
          <w:color w:val="000000"/>
          <w:sz w:val="22"/>
          <w:szCs w:val="22"/>
        </w:rPr>
        <w:t xml:space="preserve"> (1998),</w:t>
      </w:r>
      <w:r w:rsidR="00B42CEC" w:rsidRPr="00F552F0">
        <w:rPr>
          <w:color w:val="000000"/>
          <w:sz w:val="22"/>
          <w:szCs w:val="22"/>
        </w:rPr>
        <w:t xml:space="preserve"> w</w:t>
      </w:r>
      <w:r w:rsidR="00663428" w:rsidRPr="00F552F0">
        <w:rPr>
          <w:color w:val="000000"/>
          <w:sz w:val="22"/>
          <w:szCs w:val="22"/>
        </w:rPr>
        <w:t xml:space="preserve">e </w:t>
      </w:r>
      <w:r w:rsidRPr="00F552F0">
        <w:rPr>
          <w:color w:val="000000"/>
          <w:sz w:val="22"/>
          <w:szCs w:val="22"/>
        </w:rPr>
        <w:t>gauge a US industry’s</w:t>
      </w:r>
      <w:r w:rsidR="00663428" w:rsidRPr="00F552F0">
        <w:rPr>
          <w:color w:val="000000"/>
          <w:sz w:val="22"/>
          <w:szCs w:val="22"/>
        </w:rPr>
        <w:t xml:space="preserve"> external dependence</w:t>
      </w:r>
      <w:r w:rsidR="00FC2CE5" w:rsidRPr="00F552F0">
        <w:rPr>
          <w:color w:val="000000"/>
          <w:sz w:val="22"/>
          <w:szCs w:val="22"/>
        </w:rPr>
        <w:t xml:space="preserve"> from 1980 to 1990</w:t>
      </w:r>
      <w:r w:rsidR="0011092B" w:rsidRPr="00F552F0">
        <w:rPr>
          <w:color w:val="000000"/>
          <w:sz w:val="22"/>
          <w:szCs w:val="22"/>
        </w:rPr>
        <w:t xml:space="preserve"> </w:t>
      </w:r>
      <w:r w:rsidR="00B42CEC" w:rsidRPr="00F552F0">
        <w:rPr>
          <w:color w:val="000000"/>
          <w:sz w:val="22"/>
          <w:szCs w:val="22"/>
        </w:rPr>
        <w:t>as</w:t>
      </w:r>
      <w:r w:rsidR="0011092B" w:rsidRPr="00F552F0">
        <w:rPr>
          <w:color w:val="000000"/>
          <w:sz w:val="22"/>
          <w:szCs w:val="22"/>
        </w:rPr>
        <w:t xml:space="preserve"> </w:t>
      </w:r>
      <w:r w:rsidRPr="00F552F0">
        <w:rPr>
          <w:color w:val="000000"/>
          <w:sz w:val="22"/>
          <w:szCs w:val="22"/>
        </w:rPr>
        <w:t>its</w:t>
      </w:r>
      <w:r w:rsidR="00B42CEC" w:rsidRPr="00F552F0">
        <w:rPr>
          <w:color w:val="000000"/>
          <w:sz w:val="22"/>
          <w:szCs w:val="22"/>
        </w:rPr>
        <w:t xml:space="preserve"> average </w:t>
      </w:r>
      <w:r w:rsidR="007E26C2" w:rsidRPr="00F552F0">
        <w:rPr>
          <w:color w:val="000000"/>
          <w:sz w:val="22"/>
          <w:szCs w:val="22"/>
        </w:rPr>
        <w:t xml:space="preserve">capital expenditures </w:t>
      </w:r>
      <w:r w:rsidR="00B42CEC" w:rsidRPr="00F552F0">
        <w:rPr>
          <w:color w:val="000000"/>
          <w:sz w:val="22"/>
          <w:szCs w:val="22"/>
        </w:rPr>
        <w:t>less</w:t>
      </w:r>
      <w:r w:rsidR="007E26C2" w:rsidRPr="00F552F0">
        <w:rPr>
          <w:color w:val="000000"/>
          <w:sz w:val="22"/>
          <w:szCs w:val="22"/>
        </w:rPr>
        <w:t xml:space="preserve"> cash flow from operations</w:t>
      </w:r>
      <w:r w:rsidR="008D7150" w:rsidRPr="00F552F0">
        <w:rPr>
          <w:color w:val="000000"/>
          <w:sz w:val="22"/>
          <w:szCs w:val="22"/>
        </w:rPr>
        <w:t xml:space="preserve">, all </w:t>
      </w:r>
      <w:r w:rsidR="007E26C2" w:rsidRPr="00F552F0">
        <w:rPr>
          <w:color w:val="000000"/>
          <w:sz w:val="22"/>
          <w:szCs w:val="22"/>
        </w:rPr>
        <w:t>divided by capital expenditures</w:t>
      </w:r>
      <w:r w:rsidR="00967312" w:rsidRPr="00F552F0">
        <w:rPr>
          <w:color w:val="000000"/>
          <w:sz w:val="22"/>
          <w:szCs w:val="22"/>
        </w:rPr>
        <w:t>.</w:t>
      </w:r>
      <w:r w:rsidR="00086324" w:rsidRPr="00F552F0">
        <w:rPr>
          <w:color w:val="000000"/>
          <w:sz w:val="22"/>
          <w:szCs w:val="22"/>
        </w:rPr>
        <w:t xml:space="preserve"> </w:t>
      </w:r>
      <w:r w:rsidRPr="00F552F0">
        <w:rPr>
          <w:color w:val="000000"/>
          <w:sz w:val="22"/>
          <w:szCs w:val="22"/>
        </w:rPr>
        <w:t>We then set the industry-level indicator variable</w:t>
      </w:r>
      <w:r w:rsidR="007E26C2" w:rsidRPr="00F552F0">
        <w:rPr>
          <w:color w:val="000000"/>
          <w:sz w:val="22"/>
          <w:szCs w:val="22"/>
        </w:rPr>
        <w:t xml:space="preserve"> </w:t>
      </w:r>
      <w:r w:rsidR="007E26C2" w:rsidRPr="00F552F0">
        <w:rPr>
          <w:i/>
          <w:color w:val="000000"/>
          <w:sz w:val="22"/>
          <w:szCs w:val="22"/>
        </w:rPr>
        <w:t>external dependenc</w:t>
      </w:r>
      <w:r w:rsidR="00663428" w:rsidRPr="00F552F0">
        <w:rPr>
          <w:i/>
          <w:color w:val="000000"/>
          <w:sz w:val="22"/>
          <w:szCs w:val="22"/>
        </w:rPr>
        <w:t>e</w:t>
      </w:r>
      <w:r w:rsidR="007E26C2" w:rsidRPr="00F552F0">
        <w:rPr>
          <w:color w:val="000000"/>
          <w:sz w:val="22"/>
          <w:szCs w:val="22"/>
        </w:rPr>
        <w:t xml:space="preserve"> to one if the industry is </w:t>
      </w:r>
      <w:r w:rsidRPr="00F552F0">
        <w:rPr>
          <w:color w:val="000000"/>
          <w:sz w:val="22"/>
          <w:szCs w:val="22"/>
        </w:rPr>
        <w:t>more external</w:t>
      </w:r>
      <w:r w:rsidR="0076000B" w:rsidRPr="00F552F0">
        <w:rPr>
          <w:color w:val="000000"/>
          <w:sz w:val="22"/>
          <w:szCs w:val="22"/>
        </w:rPr>
        <w:t>-</w:t>
      </w:r>
      <w:r w:rsidRPr="00F552F0">
        <w:rPr>
          <w:color w:val="000000"/>
          <w:sz w:val="22"/>
          <w:szCs w:val="22"/>
        </w:rPr>
        <w:t>finance</w:t>
      </w:r>
      <w:r w:rsidR="0076000B" w:rsidRPr="00F552F0">
        <w:rPr>
          <w:color w:val="000000"/>
          <w:sz w:val="22"/>
          <w:szCs w:val="22"/>
        </w:rPr>
        <w:t xml:space="preserve"> </w:t>
      </w:r>
      <w:r w:rsidR="007E26C2" w:rsidRPr="00F552F0">
        <w:rPr>
          <w:color w:val="000000"/>
          <w:sz w:val="22"/>
          <w:szCs w:val="22"/>
        </w:rPr>
        <w:t xml:space="preserve">dependent </w:t>
      </w:r>
      <w:r w:rsidRPr="00F552F0">
        <w:rPr>
          <w:color w:val="000000"/>
          <w:sz w:val="22"/>
          <w:szCs w:val="22"/>
        </w:rPr>
        <w:t>tha</w:t>
      </w:r>
      <w:r w:rsidR="003C662C" w:rsidRPr="00F552F0">
        <w:rPr>
          <w:color w:val="000000"/>
          <w:sz w:val="22"/>
          <w:szCs w:val="22"/>
        </w:rPr>
        <w:t>n</w:t>
      </w:r>
      <w:r w:rsidR="007E26C2" w:rsidRPr="00F552F0">
        <w:rPr>
          <w:color w:val="000000"/>
          <w:sz w:val="22"/>
          <w:szCs w:val="22"/>
        </w:rPr>
        <w:t xml:space="preserve"> the median industry</w:t>
      </w:r>
      <w:r w:rsidRPr="00F552F0">
        <w:rPr>
          <w:color w:val="000000"/>
          <w:sz w:val="22"/>
          <w:szCs w:val="22"/>
        </w:rPr>
        <w:t xml:space="preserve"> and to zero otherwise</w:t>
      </w:r>
      <w:r w:rsidR="007E26C2" w:rsidRPr="00F552F0">
        <w:rPr>
          <w:color w:val="000000"/>
          <w:sz w:val="22"/>
          <w:szCs w:val="22"/>
        </w:rPr>
        <w:t xml:space="preserve">. </w:t>
      </w:r>
      <w:r w:rsidR="007B71B1" w:rsidRPr="00F552F0">
        <w:rPr>
          <w:color w:val="000000"/>
          <w:sz w:val="22"/>
          <w:szCs w:val="22"/>
        </w:rPr>
        <w:t xml:space="preserve">Using an indicator variable </w:t>
      </w:r>
      <w:r w:rsidR="007E26C2" w:rsidRPr="00F552F0">
        <w:rPr>
          <w:color w:val="000000"/>
          <w:sz w:val="22"/>
          <w:szCs w:val="22"/>
        </w:rPr>
        <w:t xml:space="preserve">mitigates measurement problems and potential nonlinearity </w:t>
      </w:r>
      <w:r w:rsidR="007B71B1" w:rsidRPr="00F552F0">
        <w:rPr>
          <w:color w:val="000000"/>
          <w:sz w:val="22"/>
          <w:szCs w:val="22"/>
        </w:rPr>
        <w:t>problems</w:t>
      </w:r>
      <w:r w:rsidR="003D039C" w:rsidRPr="00F552F0">
        <w:rPr>
          <w:color w:val="000000"/>
          <w:sz w:val="22"/>
          <w:szCs w:val="22"/>
        </w:rPr>
        <w:t xml:space="preserve">. </w:t>
      </w:r>
      <w:r w:rsidR="0001487A" w:rsidRPr="00F552F0">
        <w:rPr>
          <w:color w:val="000000"/>
          <w:sz w:val="22"/>
          <w:szCs w:val="22"/>
        </w:rPr>
        <w:t xml:space="preserve">However, </w:t>
      </w:r>
      <w:r w:rsidR="007B71B1" w:rsidRPr="00F552F0">
        <w:rPr>
          <w:color w:val="000000"/>
          <w:sz w:val="22"/>
          <w:szCs w:val="22"/>
        </w:rPr>
        <w:t>our findings are robust to using t</w:t>
      </w:r>
      <w:r w:rsidR="00CA686D" w:rsidRPr="00F552F0">
        <w:rPr>
          <w:color w:val="000000"/>
          <w:sz w:val="22"/>
          <w:szCs w:val="22"/>
        </w:rPr>
        <w:t xml:space="preserve">he </w:t>
      </w:r>
      <w:r w:rsidR="007B71B1" w:rsidRPr="00F552F0">
        <w:rPr>
          <w:color w:val="000000"/>
          <w:sz w:val="22"/>
          <w:szCs w:val="22"/>
        </w:rPr>
        <w:t>continuous</w:t>
      </w:r>
      <w:r w:rsidR="00CA686D" w:rsidRPr="00F552F0">
        <w:rPr>
          <w:color w:val="000000"/>
          <w:sz w:val="22"/>
          <w:szCs w:val="22"/>
        </w:rPr>
        <w:t xml:space="preserve"> values </w:t>
      </w:r>
      <w:r w:rsidR="007B71B1" w:rsidRPr="00F552F0">
        <w:rPr>
          <w:color w:val="000000"/>
          <w:sz w:val="22"/>
          <w:szCs w:val="22"/>
        </w:rPr>
        <w:t xml:space="preserve">and other variants of the </w:t>
      </w:r>
      <w:proofErr w:type="spellStart"/>
      <w:r w:rsidR="005A0DD2" w:rsidRPr="00F552F0">
        <w:rPr>
          <w:color w:val="000000"/>
          <w:sz w:val="22"/>
          <w:szCs w:val="22"/>
        </w:rPr>
        <w:t>Rajan</w:t>
      </w:r>
      <w:proofErr w:type="spellEnd"/>
      <w:r w:rsidR="005A0DD2" w:rsidRPr="00F552F0">
        <w:rPr>
          <w:color w:val="000000"/>
          <w:sz w:val="22"/>
          <w:szCs w:val="22"/>
        </w:rPr>
        <w:t xml:space="preserve"> </w:t>
      </w:r>
      <w:r w:rsidR="00E82874" w:rsidRPr="00F552F0">
        <w:rPr>
          <w:color w:val="000000"/>
          <w:sz w:val="22"/>
          <w:szCs w:val="22"/>
        </w:rPr>
        <w:t>and</w:t>
      </w:r>
      <w:r w:rsidR="005A0DD2" w:rsidRPr="00F552F0">
        <w:rPr>
          <w:color w:val="000000"/>
          <w:sz w:val="22"/>
          <w:szCs w:val="22"/>
        </w:rPr>
        <w:t xml:space="preserve"> </w:t>
      </w:r>
      <w:proofErr w:type="spellStart"/>
      <w:r w:rsidR="005A0DD2" w:rsidRPr="00F552F0">
        <w:rPr>
          <w:color w:val="000000"/>
          <w:sz w:val="22"/>
          <w:szCs w:val="22"/>
        </w:rPr>
        <w:t>Zingales</w:t>
      </w:r>
      <w:proofErr w:type="spellEnd"/>
      <w:r w:rsidR="005A0DD2" w:rsidRPr="00F552F0">
        <w:rPr>
          <w:color w:val="000000"/>
          <w:sz w:val="22"/>
          <w:szCs w:val="22"/>
        </w:rPr>
        <w:t xml:space="preserve"> </w:t>
      </w:r>
      <w:r w:rsidR="007B71B1" w:rsidRPr="00F552F0">
        <w:rPr>
          <w:color w:val="000000"/>
          <w:sz w:val="22"/>
          <w:szCs w:val="22"/>
        </w:rPr>
        <w:t>(</w:t>
      </w:r>
      <w:r w:rsidR="0011092B" w:rsidRPr="00F552F0">
        <w:rPr>
          <w:color w:val="000000"/>
          <w:sz w:val="22"/>
          <w:szCs w:val="22"/>
        </w:rPr>
        <w:t>1998)</w:t>
      </w:r>
      <w:r w:rsidR="007B71B1" w:rsidRPr="00F552F0">
        <w:rPr>
          <w:color w:val="000000"/>
          <w:sz w:val="22"/>
          <w:szCs w:val="22"/>
        </w:rPr>
        <w:t xml:space="preserve"> methodology</w:t>
      </w:r>
      <w:r w:rsidR="0011092B" w:rsidRPr="00F552F0">
        <w:rPr>
          <w:color w:val="000000"/>
          <w:sz w:val="22"/>
          <w:szCs w:val="22"/>
        </w:rPr>
        <w:t xml:space="preserve">.  </w:t>
      </w:r>
    </w:p>
    <w:p w:rsidR="00B86554" w:rsidRPr="00F552F0" w:rsidRDefault="007B71B1" w:rsidP="00B86554">
      <w:pPr>
        <w:autoSpaceDE w:val="0"/>
        <w:autoSpaceDN w:val="0"/>
        <w:adjustRightInd w:val="0"/>
        <w:spacing w:line="440" w:lineRule="exact"/>
        <w:jc w:val="both"/>
        <w:rPr>
          <w:color w:val="000000"/>
          <w:sz w:val="22"/>
          <w:szCs w:val="22"/>
        </w:rPr>
      </w:pPr>
      <w:r w:rsidRPr="00F552F0">
        <w:rPr>
          <w:color w:val="000000"/>
          <w:sz w:val="22"/>
          <w:szCs w:val="22"/>
        </w:rPr>
        <w:t>Using the UNIDO industry-level panel introduced in the previous section, w</w:t>
      </w:r>
      <w:r w:rsidR="0041358C" w:rsidRPr="00F552F0">
        <w:rPr>
          <w:color w:val="000000"/>
          <w:sz w:val="22"/>
          <w:szCs w:val="22"/>
        </w:rPr>
        <w:t xml:space="preserve">e </w:t>
      </w:r>
      <w:r w:rsidRPr="00F552F0">
        <w:rPr>
          <w:color w:val="000000"/>
          <w:sz w:val="22"/>
          <w:szCs w:val="22"/>
        </w:rPr>
        <w:t>then regress</w:t>
      </w:r>
      <w:r w:rsidR="00B86554" w:rsidRPr="00F552F0">
        <w:rPr>
          <w:color w:val="000000"/>
          <w:sz w:val="22"/>
          <w:szCs w:val="22"/>
        </w:rPr>
        <w:tab/>
      </w:r>
      <w:r w:rsidR="005C610D" w:rsidRPr="00F552F0">
        <w:rPr>
          <w:color w:val="000000"/>
          <w:position w:val="-30"/>
          <w:sz w:val="22"/>
          <w:szCs w:val="22"/>
        </w:rPr>
        <w:object w:dxaOrig="9120" w:dyaOrig="560">
          <v:shape id="_x0000_i1026" type="#_x0000_t75" style="width:457.6pt;height:27.7pt" o:ole="">
            <v:imagedata r:id="rId12" o:title=""/>
          </v:shape>
          <o:OLEObject Type="Embed" ProgID="DSEquations" ShapeID="_x0000_i1026" DrawAspect="Content" ObjectID="_1428737174" r:id="rId13"/>
        </w:object>
      </w:r>
    </w:p>
    <w:p w:rsidR="00B86554" w:rsidRPr="00F552F0" w:rsidRDefault="00B86554" w:rsidP="00B86554">
      <w:pPr>
        <w:autoSpaceDE w:val="0"/>
        <w:autoSpaceDN w:val="0"/>
        <w:adjustRightInd w:val="0"/>
        <w:spacing w:line="440" w:lineRule="exact"/>
        <w:jc w:val="both"/>
        <w:rPr>
          <w:color w:val="000000"/>
          <w:sz w:val="22"/>
          <w:szCs w:val="22"/>
        </w:rPr>
      </w:pPr>
    </w:p>
    <w:p w:rsidR="00C90887" w:rsidRPr="00F552F0" w:rsidRDefault="00B86554" w:rsidP="00B86554">
      <w:pPr>
        <w:autoSpaceDE w:val="0"/>
        <w:autoSpaceDN w:val="0"/>
        <w:adjustRightInd w:val="0"/>
        <w:spacing w:line="440" w:lineRule="exact"/>
        <w:jc w:val="both"/>
        <w:rPr>
          <w:color w:val="000000"/>
          <w:sz w:val="22"/>
          <w:szCs w:val="22"/>
        </w:rPr>
      </w:pPr>
      <w:r w:rsidRPr="00F552F0">
        <w:rPr>
          <w:color w:val="000000"/>
          <w:sz w:val="22"/>
          <w:szCs w:val="22"/>
        </w:rPr>
        <w:t>w</w:t>
      </w:r>
      <w:r w:rsidR="00717D54" w:rsidRPr="00F552F0">
        <w:rPr>
          <w:color w:val="000000"/>
          <w:sz w:val="22"/>
          <w:szCs w:val="22"/>
        </w:rPr>
        <w:t>here</w:t>
      </w:r>
      <w:r w:rsidRPr="00F552F0">
        <w:rPr>
          <w:color w:val="000000"/>
          <w:sz w:val="22"/>
          <w:szCs w:val="22"/>
        </w:rPr>
        <w:t xml:space="preserve"> </w:t>
      </w:r>
      <w:proofErr w:type="spellStart"/>
      <w:r w:rsidRPr="00F552F0">
        <w:rPr>
          <w:i/>
          <w:color w:val="000000"/>
          <w:sz w:val="22"/>
          <w:szCs w:val="22"/>
        </w:rPr>
        <w:t>growth</w:t>
      </w:r>
      <w:r w:rsidRPr="00F552F0">
        <w:rPr>
          <w:i/>
          <w:color w:val="000000"/>
          <w:sz w:val="22"/>
          <w:szCs w:val="22"/>
          <w:vertAlign w:val="subscript"/>
        </w:rPr>
        <w:t>i,c</w:t>
      </w:r>
      <w:proofErr w:type="spellEnd"/>
      <w:r w:rsidRPr="00F552F0">
        <w:rPr>
          <w:color w:val="000000"/>
          <w:sz w:val="22"/>
          <w:szCs w:val="22"/>
        </w:rPr>
        <w:t xml:space="preserve"> is the </w:t>
      </w:r>
      <w:r w:rsidR="00D70198" w:rsidRPr="00F552F0">
        <w:rPr>
          <w:color w:val="000000"/>
          <w:sz w:val="22"/>
          <w:szCs w:val="22"/>
        </w:rPr>
        <w:t xml:space="preserve">annualized compound value-added </w:t>
      </w:r>
      <w:r w:rsidRPr="00F552F0">
        <w:rPr>
          <w:color w:val="000000"/>
          <w:sz w:val="22"/>
          <w:szCs w:val="22"/>
        </w:rPr>
        <w:t xml:space="preserve">growth rate </w:t>
      </w:r>
      <w:r w:rsidR="00D70198" w:rsidRPr="00F552F0">
        <w:rPr>
          <w:color w:val="000000"/>
          <w:sz w:val="22"/>
          <w:szCs w:val="22"/>
        </w:rPr>
        <w:t xml:space="preserve">from 1993 to 2003 </w:t>
      </w:r>
      <w:r w:rsidRPr="00F552F0">
        <w:rPr>
          <w:color w:val="000000"/>
          <w:sz w:val="22"/>
          <w:szCs w:val="22"/>
        </w:rPr>
        <w:t>of industry</w:t>
      </w:r>
      <w:r w:rsidR="00717D54" w:rsidRPr="00F552F0">
        <w:rPr>
          <w:color w:val="000000"/>
          <w:sz w:val="22"/>
          <w:szCs w:val="22"/>
        </w:rPr>
        <w:t xml:space="preserve"> </w:t>
      </w:r>
      <w:r w:rsidR="00717D54" w:rsidRPr="00F552F0">
        <w:rPr>
          <w:i/>
          <w:color w:val="000000"/>
          <w:sz w:val="22"/>
          <w:szCs w:val="22"/>
        </w:rPr>
        <w:t>i</w:t>
      </w:r>
      <w:r w:rsidRPr="00F552F0">
        <w:rPr>
          <w:color w:val="000000"/>
          <w:sz w:val="22"/>
          <w:szCs w:val="22"/>
        </w:rPr>
        <w:t xml:space="preserve"> in country</w:t>
      </w:r>
      <w:r w:rsidR="00717D54" w:rsidRPr="00F552F0">
        <w:rPr>
          <w:color w:val="000000"/>
          <w:sz w:val="22"/>
          <w:szCs w:val="22"/>
        </w:rPr>
        <w:t xml:space="preserve"> </w:t>
      </w:r>
      <w:r w:rsidR="007E26C2" w:rsidRPr="00F552F0">
        <w:rPr>
          <w:i/>
          <w:color w:val="000000"/>
          <w:sz w:val="22"/>
          <w:szCs w:val="22"/>
        </w:rPr>
        <w:t>c</w:t>
      </w:r>
      <w:r w:rsidR="00D70198" w:rsidRPr="00F552F0">
        <w:rPr>
          <w:color w:val="000000"/>
          <w:sz w:val="22"/>
          <w:szCs w:val="22"/>
        </w:rPr>
        <w:t>;</w:t>
      </w:r>
      <w:r w:rsidRPr="00F552F0">
        <w:rPr>
          <w:color w:val="000000"/>
          <w:sz w:val="22"/>
          <w:szCs w:val="22"/>
        </w:rPr>
        <w:t xml:space="preserve"> </w:t>
      </w:r>
      <w:proofErr w:type="spellStart"/>
      <w:r w:rsidRPr="00F552F0">
        <w:rPr>
          <w:i/>
          <w:color w:val="000000"/>
          <w:sz w:val="22"/>
          <w:szCs w:val="22"/>
        </w:rPr>
        <w:t>δ</w:t>
      </w:r>
      <w:r w:rsidRPr="00F552F0">
        <w:rPr>
          <w:i/>
          <w:color w:val="000000"/>
          <w:sz w:val="22"/>
          <w:szCs w:val="22"/>
          <w:vertAlign w:val="subscript"/>
        </w:rPr>
        <w:t>i</w:t>
      </w:r>
      <w:proofErr w:type="spellEnd"/>
      <w:r w:rsidRPr="00F552F0">
        <w:rPr>
          <w:color w:val="000000"/>
          <w:sz w:val="22"/>
          <w:szCs w:val="22"/>
        </w:rPr>
        <w:t xml:space="preserve"> is an indicator variable set to one </w:t>
      </w:r>
      <w:r w:rsidR="00D70198" w:rsidRPr="00F552F0">
        <w:rPr>
          <w:color w:val="000000"/>
          <w:sz w:val="22"/>
          <w:szCs w:val="22"/>
        </w:rPr>
        <w:t xml:space="preserve">if industry </w:t>
      </w:r>
      <w:r w:rsidR="00D70198" w:rsidRPr="00F552F0">
        <w:rPr>
          <w:i/>
          <w:color w:val="000000"/>
          <w:sz w:val="22"/>
          <w:szCs w:val="22"/>
        </w:rPr>
        <w:t>i</w:t>
      </w:r>
      <w:r w:rsidR="00D70198" w:rsidRPr="00F552F0">
        <w:rPr>
          <w:color w:val="000000"/>
          <w:sz w:val="22"/>
          <w:szCs w:val="22"/>
        </w:rPr>
        <w:t xml:space="preserve"> is more dependent on external financing than the media</w:t>
      </w:r>
      <w:r w:rsidR="0019252E" w:rsidRPr="00F552F0">
        <w:rPr>
          <w:color w:val="000000"/>
          <w:sz w:val="22"/>
          <w:szCs w:val="22"/>
        </w:rPr>
        <w:t>n</w:t>
      </w:r>
      <w:r w:rsidR="00D70198" w:rsidRPr="00F552F0">
        <w:rPr>
          <w:color w:val="000000"/>
          <w:sz w:val="22"/>
          <w:szCs w:val="22"/>
        </w:rPr>
        <w:t xml:space="preserve"> industry and to zero otherwise; the </w:t>
      </w:r>
      <w:r w:rsidR="00BF6193" w:rsidRPr="00F552F0">
        <w:rPr>
          <w:i/>
          <w:color w:val="000000"/>
          <w:sz w:val="22"/>
          <w:szCs w:val="22"/>
        </w:rPr>
        <w:sym w:font="Symbol" w:char="F061"/>
      </w:r>
      <w:proofErr w:type="spellStart"/>
      <w:r w:rsidR="00BF6193" w:rsidRPr="00F552F0">
        <w:rPr>
          <w:i/>
          <w:color w:val="000000"/>
          <w:sz w:val="22"/>
          <w:szCs w:val="22"/>
          <w:vertAlign w:val="subscript"/>
        </w:rPr>
        <w:t>k,c</w:t>
      </w:r>
      <w:proofErr w:type="spellEnd"/>
      <w:r w:rsidR="00D70198" w:rsidRPr="00F552F0">
        <w:rPr>
          <w:color w:val="000000"/>
          <w:sz w:val="22"/>
          <w:szCs w:val="22"/>
        </w:rPr>
        <w:t xml:space="preserve"> are the fractions of country </w:t>
      </w:r>
      <w:r w:rsidR="00BF6193" w:rsidRPr="00F552F0">
        <w:rPr>
          <w:i/>
          <w:color w:val="000000"/>
          <w:sz w:val="22"/>
          <w:szCs w:val="22"/>
        </w:rPr>
        <w:t>c</w:t>
      </w:r>
      <w:r w:rsidR="00D70198" w:rsidRPr="00F552F0">
        <w:rPr>
          <w:color w:val="000000"/>
          <w:sz w:val="22"/>
          <w:szCs w:val="22"/>
        </w:rPr>
        <w:t>’s banking system that are controlled by families (</w:t>
      </w:r>
      <w:r w:rsidR="00D70198" w:rsidRPr="00F552F0">
        <w:rPr>
          <w:i/>
          <w:color w:val="000000"/>
          <w:sz w:val="22"/>
          <w:szCs w:val="22"/>
        </w:rPr>
        <w:t>k</w:t>
      </w:r>
      <w:r w:rsidR="00D70198" w:rsidRPr="00F552F0">
        <w:rPr>
          <w:color w:val="000000"/>
          <w:sz w:val="22"/>
          <w:szCs w:val="22"/>
        </w:rPr>
        <w:t xml:space="preserve"> = </w:t>
      </w:r>
      <w:r w:rsidR="00D70198" w:rsidRPr="00F552F0">
        <w:rPr>
          <w:i/>
          <w:color w:val="000000"/>
          <w:sz w:val="22"/>
          <w:szCs w:val="22"/>
        </w:rPr>
        <w:t>f</w:t>
      </w:r>
      <w:r w:rsidR="00D70198" w:rsidRPr="00F552F0">
        <w:rPr>
          <w:color w:val="000000"/>
          <w:sz w:val="22"/>
          <w:szCs w:val="22"/>
        </w:rPr>
        <w:t>), state-controlled (</w:t>
      </w:r>
      <w:r w:rsidR="00D70198" w:rsidRPr="00F552F0">
        <w:rPr>
          <w:i/>
          <w:color w:val="000000"/>
          <w:sz w:val="22"/>
          <w:szCs w:val="22"/>
        </w:rPr>
        <w:t>k</w:t>
      </w:r>
      <w:r w:rsidR="00967CBC" w:rsidRPr="00F552F0">
        <w:rPr>
          <w:i/>
          <w:color w:val="000000"/>
          <w:sz w:val="22"/>
          <w:szCs w:val="22"/>
        </w:rPr>
        <w:t xml:space="preserve"> </w:t>
      </w:r>
      <w:r w:rsidR="00D70198" w:rsidRPr="00F552F0">
        <w:rPr>
          <w:color w:val="000000"/>
          <w:sz w:val="22"/>
          <w:szCs w:val="22"/>
        </w:rPr>
        <w:t>=</w:t>
      </w:r>
      <w:r w:rsidR="00967CBC" w:rsidRPr="00F552F0">
        <w:rPr>
          <w:color w:val="000000"/>
          <w:sz w:val="22"/>
          <w:szCs w:val="22"/>
        </w:rPr>
        <w:t xml:space="preserve"> </w:t>
      </w:r>
      <w:r w:rsidR="00D70198" w:rsidRPr="00F552F0">
        <w:rPr>
          <w:i/>
          <w:color w:val="000000"/>
          <w:sz w:val="22"/>
          <w:szCs w:val="22"/>
        </w:rPr>
        <w:t>s</w:t>
      </w:r>
      <w:r w:rsidR="00D70198" w:rsidRPr="00F552F0">
        <w:rPr>
          <w:color w:val="000000"/>
          <w:sz w:val="22"/>
          <w:szCs w:val="22"/>
        </w:rPr>
        <w:t xml:space="preserve">), or widely held </w:t>
      </w:r>
      <w:r w:rsidRPr="00F552F0">
        <w:rPr>
          <w:color w:val="000000"/>
          <w:sz w:val="22"/>
          <w:szCs w:val="22"/>
        </w:rPr>
        <w:t xml:space="preserve"> </w:t>
      </w:r>
      <w:r w:rsidR="00D70198" w:rsidRPr="00F552F0">
        <w:rPr>
          <w:color w:val="000000"/>
          <w:sz w:val="22"/>
          <w:szCs w:val="22"/>
        </w:rPr>
        <w:t>(</w:t>
      </w:r>
      <w:r w:rsidR="00D70198" w:rsidRPr="00F552F0">
        <w:rPr>
          <w:i/>
          <w:color w:val="000000"/>
          <w:sz w:val="22"/>
          <w:szCs w:val="22"/>
        </w:rPr>
        <w:t>k</w:t>
      </w:r>
      <w:r w:rsidR="00967CBC" w:rsidRPr="00F552F0">
        <w:rPr>
          <w:i/>
          <w:color w:val="000000"/>
          <w:sz w:val="22"/>
          <w:szCs w:val="22"/>
        </w:rPr>
        <w:t xml:space="preserve"> </w:t>
      </w:r>
      <w:r w:rsidR="00D70198" w:rsidRPr="00F552F0">
        <w:rPr>
          <w:color w:val="000000"/>
          <w:sz w:val="22"/>
          <w:szCs w:val="22"/>
        </w:rPr>
        <w:t>=</w:t>
      </w:r>
      <w:r w:rsidR="00967CBC" w:rsidRPr="00F552F0">
        <w:rPr>
          <w:color w:val="000000"/>
          <w:sz w:val="22"/>
          <w:szCs w:val="22"/>
        </w:rPr>
        <w:t xml:space="preserve"> </w:t>
      </w:r>
      <w:r w:rsidR="00D70198" w:rsidRPr="00F552F0">
        <w:rPr>
          <w:i/>
          <w:color w:val="000000"/>
          <w:sz w:val="22"/>
          <w:szCs w:val="22"/>
        </w:rPr>
        <w:t>w</w:t>
      </w:r>
      <w:r w:rsidR="00D70198" w:rsidRPr="00F552F0">
        <w:rPr>
          <w:color w:val="000000"/>
          <w:sz w:val="22"/>
          <w:szCs w:val="22"/>
        </w:rPr>
        <w:t xml:space="preserve">); </w:t>
      </w:r>
      <w:proofErr w:type="spellStart"/>
      <w:r w:rsidR="00D70198" w:rsidRPr="00F552F0">
        <w:rPr>
          <w:i/>
          <w:color w:val="000000"/>
          <w:sz w:val="22"/>
          <w:szCs w:val="22"/>
        </w:rPr>
        <w:t>s</w:t>
      </w:r>
      <w:r w:rsidR="00D70198" w:rsidRPr="00F552F0">
        <w:rPr>
          <w:i/>
          <w:color w:val="000000"/>
          <w:sz w:val="22"/>
          <w:szCs w:val="22"/>
          <w:vertAlign w:val="subscript"/>
        </w:rPr>
        <w:t>i,c</w:t>
      </w:r>
      <w:proofErr w:type="spellEnd"/>
      <w:r w:rsidR="00D70198" w:rsidRPr="00F552F0">
        <w:rPr>
          <w:color w:val="000000"/>
          <w:sz w:val="22"/>
          <w:szCs w:val="22"/>
        </w:rPr>
        <w:t xml:space="preserve"> is the share of industry </w:t>
      </w:r>
      <w:r w:rsidR="00D70198" w:rsidRPr="00F552F0">
        <w:rPr>
          <w:i/>
          <w:color w:val="000000"/>
          <w:sz w:val="22"/>
          <w:szCs w:val="22"/>
        </w:rPr>
        <w:t>i</w:t>
      </w:r>
      <w:r w:rsidR="00D70198" w:rsidRPr="00F552F0">
        <w:rPr>
          <w:color w:val="000000"/>
          <w:sz w:val="22"/>
          <w:szCs w:val="22"/>
        </w:rPr>
        <w:t xml:space="preserve"> in country </w:t>
      </w:r>
      <w:r w:rsidR="00D70198" w:rsidRPr="00F552F0">
        <w:rPr>
          <w:i/>
          <w:color w:val="000000"/>
          <w:sz w:val="22"/>
          <w:szCs w:val="22"/>
        </w:rPr>
        <w:t>c</w:t>
      </w:r>
      <w:r w:rsidR="00D70198" w:rsidRPr="00F552F0">
        <w:rPr>
          <w:color w:val="000000"/>
          <w:sz w:val="22"/>
          <w:szCs w:val="22"/>
        </w:rPr>
        <w:t xml:space="preserve">; and </w:t>
      </w:r>
      <w:r w:rsidR="00BF6193" w:rsidRPr="00F552F0">
        <w:rPr>
          <w:b/>
          <w:i/>
          <w:color w:val="000000"/>
          <w:sz w:val="22"/>
          <w:szCs w:val="22"/>
        </w:rPr>
        <w:t>d</w:t>
      </w:r>
      <w:r w:rsidR="00D70198" w:rsidRPr="00F552F0">
        <w:rPr>
          <w:i/>
          <w:color w:val="000000"/>
          <w:sz w:val="22"/>
          <w:szCs w:val="22"/>
          <w:vertAlign w:val="subscript"/>
        </w:rPr>
        <w:t>c</w:t>
      </w:r>
      <w:r w:rsidR="00D70198" w:rsidRPr="00F552F0">
        <w:rPr>
          <w:color w:val="000000"/>
          <w:sz w:val="22"/>
          <w:szCs w:val="22"/>
        </w:rPr>
        <w:t xml:space="preserve"> and </w:t>
      </w:r>
      <w:r w:rsidR="00BF6193" w:rsidRPr="00F552F0">
        <w:rPr>
          <w:b/>
          <w:i/>
          <w:color w:val="000000"/>
          <w:sz w:val="22"/>
          <w:szCs w:val="22"/>
        </w:rPr>
        <w:t>d</w:t>
      </w:r>
      <w:r w:rsidR="00D70198" w:rsidRPr="00F552F0">
        <w:rPr>
          <w:i/>
          <w:color w:val="000000"/>
          <w:sz w:val="22"/>
          <w:szCs w:val="22"/>
          <w:vertAlign w:val="subscript"/>
        </w:rPr>
        <w:t>i</w:t>
      </w:r>
      <w:r w:rsidR="00D70198" w:rsidRPr="00F552F0">
        <w:rPr>
          <w:color w:val="000000"/>
          <w:sz w:val="22"/>
          <w:szCs w:val="22"/>
        </w:rPr>
        <w:t xml:space="preserve"> are country and industry fixed effects. </w:t>
      </w:r>
    </w:p>
    <w:p w:rsidR="005534EE" w:rsidRPr="00F552F0" w:rsidRDefault="005534EE" w:rsidP="00967312">
      <w:pPr>
        <w:autoSpaceDE w:val="0"/>
        <w:autoSpaceDN w:val="0"/>
        <w:adjustRightInd w:val="0"/>
        <w:spacing w:line="440" w:lineRule="exact"/>
        <w:ind w:firstLine="720"/>
        <w:jc w:val="both"/>
        <w:rPr>
          <w:color w:val="000000"/>
        </w:rPr>
      </w:pPr>
      <w:r w:rsidRPr="00F552F0">
        <w:rPr>
          <w:color w:val="000000"/>
          <w:sz w:val="22"/>
          <w:szCs w:val="22"/>
        </w:rPr>
        <w:t>This approach has two important advantages. First</w:t>
      </w:r>
      <w:r w:rsidR="00967CBC" w:rsidRPr="00F552F0">
        <w:rPr>
          <w:color w:val="000000"/>
          <w:sz w:val="22"/>
          <w:szCs w:val="22"/>
        </w:rPr>
        <w:t>,</w:t>
      </w:r>
      <w:r w:rsidRPr="00F552F0">
        <w:rPr>
          <w:color w:val="000000"/>
          <w:sz w:val="22"/>
          <w:szCs w:val="22"/>
        </w:rPr>
        <w:t xml:space="preserve"> it does not rely on </w:t>
      </w:r>
      <w:r w:rsidR="00D70198" w:rsidRPr="00F552F0">
        <w:rPr>
          <w:color w:val="000000"/>
          <w:sz w:val="22"/>
          <w:szCs w:val="22"/>
        </w:rPr>
        <w:t xml:space="preserve">potentially </w:t>
      </w:r>
      <w:r w:rsidRPr="00F552F0">
        <w:rPr>
          <w:color w:val="000000"/>
          <w:sz w:val="22"/>
          <w:szCs w:val="22"/>
        </w:rPr>
        <w:t>noisy industry</w:t>
      </w:r>
      <w:r w:rsidR="007B4E8F" w:rsidRPr="00F552F0">
        <w:rPr>
          <w:color w:val="000000"/>
          <w:sz w:val="22"/>
          <w:szCs w:val="22"/>
        </w:rPr>
        <w:t>-level</w:t>
      </w:r>
      <w:r w:rsidRPr="00F552F0">
        <w:rPr>
          <w:color w:val="000000"/>
          <w:sz w:val="22"/>
          <w:szCs w:val="22"/>
        </w:rPr>
        <w:t xml:space="preserve"> investment data. Second</w:t>
      </w:r>
      <w:r w:rsidR="00D70198" w:rsidRPr="00F552F0">
        <w:rPr>
          <w:color w:val="000000"/>
          <w:sz w:val="22"/>
          <w:szCs w:val="22"/>
        </w:rPr>
        <w:t>, using an interaction between country and industry characteristics</w:t>
      </w:r>
      <w:r w:rsidR="00E479E0" w:rsidRPr="00F552F0">
        <w:rPr>
          <w:color w:val="000000"/>
          <w:sz w:val="22"/>
          <w:szCs w:val="22"/>
        </w:rPr>
        <w:t xml:space="preserve"> exploits between-industry variation within each country, mitigating country-level latent</w:t>
      </w:r>
      <w:r w:rsidRPr="00F552F0">
        <w:rPr>
          <w:color w:val="000000"/>
          <w:sz w:val="22"/>
          <w:szCs w:val="22"/>
        </w:rPr>
        <w:t xml:space="preserve"> variable problem</w:t>
      </w:r>
      <w:r w:rsidR="00E479E0" w:rsidRPr="00F552F0">
        <w:rPr>
          <w:color w:val="000000"/>
          <w:sz w:val="22"/>
          <w:szCs w:val="22"/>
        </w:rPr>
        <w:t>s</w:t>
      </w:r>
      <w:r w:rsidRPr="00F552F0">
        <w:rPr>
          <w:color w:val="000000"/>
          <w:sz w:val="22"/>
          <w:szCs w:val="22"/>
        </w:rPr>
        <w:t xml:space="preserve">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002C144B" w:rsidRPr="00F552F0">
        <w:rPr>
          <w:color w:val="000000"/>
          <w:sz w:val="22"/>
          <w:szCs w:val="22"/>
        </w:rPr>
        <w:t>,</w:t>
      </w:r>
      <w:r w:rsidRPr="00F552F0">
        <w:rPr>
          <w:color w:val="000000"/>
          <w:sz w:val="22"/>
          <w:szCs w:val="22"/>
        </w:rPr>
        <w:t xml:space="preserve"> 1998). </w:t>
      </w:r>
      <w:r w:rsidR="00E479E0" w:rsidRPr="00F552F0">
        <w:rPr>
          <w:color w:val="000000"/>
          <w:sz w:val="22"/>
          <w:szCs w:val="22"/>
        </w:rPr>
        <w:t xml:space="preserve">   </w:t>
      </w:r>
    </w:p>
    <w:p w:rsidR="00717D54" w:rsidRPr="00F552F0" w:rsidRDefault="00717D54" w:rsidP="00717D54">
      <w:pPr>
        <w:autoSpaceDE w:val="0"/>
        <w:autoSpaceDN w:val="0"/>
        <w:adjustRightInd w:val="0"/>
        <w:spacing w:line="440" w:lineRule="exact"/>
        <w:jc w:val="both"/>
        <w:rPr>
          <w:b/>
          <w:color w:val="000000"/>
        </w:rPr>
      </w:pPr>
    </w:p>
    <w:p w:rsidR="004C3644" w:rsidRPr="00F552F0" w:rsidRDefault="003D5871" w:rsidP="00717D54">
      <w:pPr>
        <w:autoSpaceDE w:val="0"/>
        <w:autoSpaceDN w:val="0"/>
        <w:adjustRightInd w:val="0"/>
        <w:spacing w:line="440" w:lineRule="exact"/>
        <w:jc w:val="both"/>
        <w:rPr>
          <w:i/>
          <w:color w:val="000000"/>
        </w:rPr>
      </w:pPr>
      <w:r w:rsidRPr="00F552F0">
        <w:rPr>
          <w:i/>
          <w:color w:val="000000"/>
        </w:rPr>
        <w:t>2.3.3.</w:t>
      </w:r>
      <w:r w:rsidRPr="00F552F0">
        <w:rPr>
          <w:i/>
          <w:color w:val="000000"/>
        </w:rPr>
        <w:tab/>
        <w:t xml:space="preserve">Nonperforming </w:t>
      </w:r>
      <w:r w:rsidR="00967CBC" w:rsidRPr="00F552F0">
        <w:rPr>
          <w:i/>
          <w:color w:val="000000"/>
        </w:rPr>
        <w:t>l</w:t>
      </w:r>
      <w:r w:rsidRPr="00F552F0">
        <w:rPr>
          <w:i/>
          <w:color w:val="000000"/>
        </w:rPr>
        <w:t>oans</w:t>
      </w:r>
    </w:p>
    <w:p w:rsidR="00E21501" w:rsidRPr="00F552F0" w:rsidRDefault="00E479E0">
      <w:pPr>
        <w:autoSpaceDE w:val="0"/>
        <w:autoSpaceDN w:val="0"/>
        <w:adjustRightInd w:val="0"/>
        <w:spacing w:line="440" w:lineRule="exact"/>
        <w:ind w:firstLine="720"/>
        <w:jc w:val="both"/>
        <w:rPr>
          <w:color w:val="000000"/>
          <w:sz w:val="22"/>
          <w:szCs w:val="22"/>
        </w:rPr>
      </w:pPr>
      <w:r w:rsidRPr="00F552F0">
        <w:rPr>
          <w:color w:val="000000"/>
          <w:sz w:val="22"/>
          <w:szCs w:val="22"/>
        </w:rPr>
        <w:t>Our third capital allocation efficiency measure is</w:t>
      </w:r>
      <w:r w:rsidR="004C3644" w:rsidRPr="00F552F0">
        <w:rPr>
          <w:color w:val="000000"/>
          <w:sz w:val="22"/>
          <w:szCs w:val="22"/>
        </w:rPr>
        <w:t xml:space="preserve"> </w:t>
      </w:r>
      <w:r w:rsidR="004C3644" w:rsidRPr="00F552F0">
        <w:rPr>
          <w:i/>
          <w:color w:val="000000"/>
          <w:sz w:val="22"/>
          <w:szCs w:val="22"/>
        </w:rPr>
        <w:t>nonperforming loans</w:t>
      </w:r>
      <w:r w:rsidR="004C3644" w:rsidRPr="00F552F0">
        <w:rPr>
          <w:color w:val="000000"/>
          <w:sz w:val="22"/>
          <w:szCs w:val="22"/>
        </w:rPr>
        <w:t xml:space="preserve">, measured as a fraction </w:t>
      </w:r>
      <w:r w:rsidR="008D7150" w:rsidRPr="00F552F0">
        <w:rPr>
          <w:color w:val="000000"/>
          <w:sz w:val="22"/>
          <w:szCs w:val="22"/>
        </w:rPr>
        <w:t>of</w:t>
      </w:r>
      <w:r w:rsidRPr="00F552F0">
        <w:rPr>
          <w:color w:val="000000"/>
          <w:sz w:val="22"/>
          <w:szCs w:val="22"/>
        </w:rPr>
        <w:t xml:space="preserve"> each country’s </w:t>
      </w:r>
      <w:r w:rsidR="004002B7" w:rsidRPr="00F552F0">
        <w:rPr>
          <w:color w:val="000000"/>
          <w:sz w:val="22"/>
          <w:szCs w:val="22"/>
        </w:rPr>
        <w:t>total gross loans outstanding.</w:t>
      </w:r>
      <w:r w:rsidRPr="00F552F0">
        <w:rPr>
          <w:color w:val="000000"/>
          <w:sz w:val="22"/>
          <w:szCs w:val="22"/>
        </w:rPr>
        <w:t xml:space="preserve"> This</w:t>
      </w:r>
      <w:r w:rsidR="004C3644" w:rsidRPr="00F552F0">
        <w:rPr>
          <w:color w:val="000000"/>
          <w:sz w:val="22"/>
          <w:szCs w:val="22"/>
        </w:rPr>
        <w:t xml:space="preserve"> gauge</w:t>
      </w:r>
      <w:r w:rsidRPr="00F552F0">
        <w:rPr>
          <w:color w:val="000000"/>
          <w:sz w:val="22"/>
          <w:szCs w:val="22"/>
        </w:rPr>
        <w:t>s</w:t>
      </w:r>
      <w:r w:rsidR="004C3644" w:rsidRPr="00F552F0">
        <w:rPr>
          <w:color w:val="000000"/>
          <w:sz w:val="22"/>
          <w:szCs w:val="22"/>
        </w:rPr>
        <w:t xml:space="preserve"> the banking system’s </w:t>
      </w:r>
      <w:r w:rsidRPr="00F552F0">
        <w:rPr>
          <w:color w:val="000000"/>
          <w:sz w:val="22"/>
          <w:szCs w:val="22"/>
        </w:rPr>
        <w:t>record at picking</w:t>
      </w:r>
      <w:r w:rsidR="004C3644" w:rsidRPr="00F552F0">
        <w:rPr>
          <w:color w:val="000000"/>
          <w:sz w:val="22"/>
          <w:szCs w:val="22"/>
        </w:rPr>
        <w:t xml:space="preserve"> winners, or at least avoid</w:t>
      </w:r>
      <w:r w:rsidRPr="00F552F0">
        <w:rPr>
          <w:color w:val="000000"/>
          <w:sz w:val="22"/>
          <w:szCs w:val="22"/>
        </w:rPr>
        <w:t>ing</w:t>
      </w:r>
      <w:r w:rsidR="004C3644" w:rsidRPr="00F552F0">
        <w:rPr>
          <w:color w:val="000000"/>
          <w:sz w:val="22"/>
          <w:szCs w:val="22"/>
        </w:rPr>
        <w:t xml:space="preserve"> losers. These data are from </w:t>
      </w:r>
      <w:bookmarkStart w:id="3" w:name="OLE_LINK3"/>
      <w:bookmarkStart w:id="4" w:name="OLE_LINK4"/>
      <w:r w:rsidR="004C3644" w:rsidRPr="00F552F0">
        <w:rPr>
          <w:color w:val="000000"/>
          <w:sz w:val="22"/>
          <w:szCs w:val="22"/>
        </w:rPr>
        <w:t>the World Development Indicators database</w:t>
      </w:r>
      <w:r w:rsidR="00FB3043" w:rsidRPr="00F552F0">
        <w:rPr>
          <w:color w:val="000000"/>
          <w:sz w:val="22"/>
          <w:szCs w:val="22"/>
        </w:rPr>
        <w:t xml:space="preserve"> (WDI)</w:t>
      </w:r>
      <w:r w:rsidR="004C3644" w:rsidRPr="00F552F0">
        <w:rPr>
          <w:color w:val="000000"/>
          <w:sz w:val="22"/>
          <w:szCs w:val="22"/>
        </w:rPr>
        <w:t xml:space="preserve">, </w:t>
      </w:r>
      <w:r w:rsidR="004C3644" w:rsidRPr="00F552F0">
        <w:rPr>
          <w:color w:val="000000"/>
          <w:sz w:val="22"/>
          <w:szCs w:val="22"/>
        </w:rPr>
        <w:lastRenderedPageBreak/>
        <w:t>provided by the World Bank</w:t>
      </w:r>
      <w:bookmarkEnd w:id="3"/>
      <w:bookmarkEnd w:id="4"/>
      <w:r w:rsidR="004C3644" w:rsidRPr="00F552F0">
        <w:rPr>
          <w:color w:val="000000"/>
          <w:sz w:val="22"/>
          <w:szCs w:val="22"/>
        </w:rPr>
        <w:t>, and are averaged across 1993 through 2003 to yield one observation for each country to smooth out cyclical variations</w:t>
      </w:r>
      <w:r w:rsidR="00F3403B" w:rsidRPr="00F552F0">
        <w:rPr>
          <w:color w:val="000000"/>
          <w:sz w:val="22"/>
          <w:szCs w:val="22"/>
        </w:rPr>
        <w:t>.</w:t>
      </w:r>
      <w:r w:rsidR="004C3644" w:rsidRPr="00F552F0">
        <w:rPr>
          <w:color w:val="000000"/>
          <w:sz w:val="22"/>
          <w:szCs w:val="22"/>
        </w:rPr>
        <w:t xml:space="preserve"> In our regressions, we logistically transform each dependent variable </w:t>
      </w:r>
      <w:r w:rsidR="004C3644" w:rsidRPr="00F552F0">
        <w:rPr>
          <w:i/>
          <w:color w:val="000000"/>
          <w:sz w:val="22"/>
          <w:szCs w:val="22"/>
        </w:rPr>
        <w:t>a</w:t>
      </w:r>
      <w:r w:rsidR="004C3644" w:rsidRPr="00F552F0">
        <w:rPr>
          <w:color w:val="000000"/>
          <w:sz w:val="22"/>
          <w:szCs w:val="22"/>
        </w:rPr>
        <w:t xml:space="preserve"> bounded within the unit interval to </w:t>
      </w:r>
      <w:r w:rsidR="004C3644" w:rsidRPr="00F552F0">
        <w:rPr>
          <w:color w:val="000000"/>
          <w:position w:val="-6"/>
          <w:sz w:val="22"/>
          <w:szCs w:val="22"/>
        </w:rPr>
        <w:object w:dxaOrig="200" w:dyaOrig="279">
          <v:shape id="_x0000_i1027" type="#_x0000_t75" style="width:10.4pt;height:14.55pt" o:ole="">
            <v:imagedata r:id="rId14" o:title=""/>
          </v:shape>
          <o:OLEObject Type="Embed" ProgID="Equation.3" ShapeID="_x0000_i1027" DrawAspect="Content" ObjectID="_1428737175" r:id="rId15"/>
        </w:object>
      </w:r>
      <w:r w:rsidR="00CC770A" w:rsidRPr="00F552F0">
        <w:rPr>
          <w:color w:val="000000"/>
          <w:sz w:val="22"/>
          <w:szCs w:val="22"/>
        </w:rPr>
        <w:t xml:space="preserve"> ranging across the real line. </w:t>
      </w:r>
      <w:r w:rsidR="004C3644" w:rsidRPr="00F552F0">
        <w:rPr>
          <w:color w:val="000000"/>
          <w:sz w:val="22"/>
          <w:szCs w:val="22"/>
        </w:rPr>
        <w:t xml:space="preserve">That is, we transform </w:t>
      </w:r>
      <w:r w:rsidR="004C3644" w:rsidRPr="00F552F0">
        <w:rPr>
          <w:i/>
          <w:color w:val="000000"/>
          <w:sz w:val="22"/>
          <w:szCs w:val="22"/>
        </w:rPr>
        <w:t>a</w:t>
      </w:r>
      <w:r w:rsidR="004C3644" w:rsidRPr="00F552F0">
        <w:rPr>
          <w:color w:val="000000"/>
          <w:sz w:val="22"/>
          <w:szCs w:val="22"/>
        </w:rPr>
        <w:t xml:space="preserve"> </w:t>
      </w:r>
      <w:r w:rsidR="004C3644" w:rsidRPr="00F552F0">
        <w:rPr>
          <w:color w:val="000000"/>
          <w:sz w:val="22"/>
          <w:szCs w:val="22"/>
        </w:rPr>
        <w:sym w:font="Symbol" w:char="F0CE"/>
      </w:r>
      <w:r w:rsidR="004C3644" w:rsidRPr="00F552F0">
        <w:rPr>
          <w:color w:val="000000"/>
          <w:sz w:val="22"/>
          <w:szCs w:val="22"/>
        </w:rPr>
        <w:t xml:space="preserve"> [0</w:t>
      </w:r>
      <w:proofErr w:type="gramStart"/>
      <w:r w:rsidR="004C3644" w:rsidRPr="00F552F0">
        <w:rPr>
          <w:color w:val="000000"/>
          <w:sz w:val="22"/>
          <w:szCs w:val="22"/>
        </w:rPr>
        <w:t>,1</w:t>
      </w:r>
      <w:proofErr w:type="gramEnd"/>
      <w:r w:rsidR="004C3644" w:rsidRPr="00F552F0">
        <w:rPr>
          <w:color w:val="000000"/>
          <w:sz w:val="22"/>
          <w:szCs w:val="22"/>
        </w:rPr>
        <w:t>) into</w:t>
      </w:r>
      <w:r w:rsidR="00CC770A" w:rsidRPr="00F552F0">
        <w:rPr>
          <w:color w:val="000000"/>
          <w:sz w:val="22"/>
          <w:szCs w:val="22"/>
        </w:rPr>
        <w:t xml:space="preserve"> </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rsidP="00985BB3">
      <w:pPr>
        <w:autoSpaceDE w:val="0"/>
        <w:autoSpaceDN w:val="0"/>
        <w:adjustRightInd w:val="0"/>
        <w:jc w:val="both"/>
        <w:rPr>
          <w:color w:val="000000"/>
          <w:sz w:val="22"/>
          <w:szCs w:val="22"/>
        </w:rPr>
      </w:pPr>
      <w:r w:rsidRPr="00F552F0">
        <w:rPr>
          <w:color w:val="000000"/>
          <w:sz w:val="22"/>
          <w:szCs w:val="22"/>
        </w:rPr>
        <w:tab/>
      </w:r>
      <w:r w:rsidR="005C610D" w:rsidRPr="00F552F0">
        <w:rPr>
          <w:color w:val="000000"/>
          <w:position w:val="-28"/>
          <w:sz w:val="22"/>
          <w:szCs w:val="22"/>
        </w:rPr>
        <w:object w:dxaOrig="8880" w:dyaOrig="680">
          <v:shape id="_x0000_i1028" type="#_x0000_t75" style="width:440.3pt;height:33.9pt" o:ole="">
            <v:imagedata r:id="rId16" o:title=""/>
          </v:shape>
          <o:OLEObject Type="Embed" ProgID="DSEquations" ShapeID="_x0000_i1028" DrawAspect="Content" ObjectID="_1428737176" r:id="rId17"/>
        </w:object>
      </w:r>
      <w:r w:rsidRPr="00F552F0">
        <w:rPr>
          <w:color w:val="000000"/>
          <w:sz w:val="22"/>
          <w:szCs w:val="22"/>
        </w:rPr>
        <w:t xml:space="preserve"> </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A</w:t>
      </w:r>
      <w:r w:rsidR="00041EC3" w:rsidRPr="00F552F0">
        <w:rPr>
          <w:color w:val="000000"/>
          <w:sz w:val="22"/>
          <w:szCs w:val="22"/>
        </w:rPr>
        <w:t xml:space="preserve"> more</w:t>
      </w:r>
      <w:r w:rsidRPr="00F552F0">
        <w:rPr>
          <w:color w:val="000000"/>
          <w:sz w:val="22"/>
          <w:szCs w:val="22"/>
        </w:rPr>
        <w:t xml:space="preserve"> efficiently</w:t>
      </w:r>
      <w:r w:rsidR="00967CBC" w:rsidRPr="00F552F0">
        <w:rPr>
          <w:color w:val="000000"/>
          <w:sz w:val="22"/>
          <w:szCs w:val="22"/>
        </w:rPr>
        <w:t xml:space="preserve"> </w:t>
      </w:r>
      <w:r w:rsidRPr="00F552F0">
        <w:rPr>
          <w:color w:val="000000"/>
          <w:sz w:val="22"/>
          <w:szCs w:val="22"/>
        </w:rPr>
        <w:t xml:space="preserve">run banking system should </w:t>
      </w:r>
      <w:r w:rsidR="00041EC3" w:rsidRPr="00F552F0">
        <w:rPr>
          <w:color w:val="000000"/>
          <w:sz w:val="22"/>
          <w:szCs w:val="22"/>
        </w:rPr>
        <w:t>make fewer loans</w:t>
      </w:r>
      <w:r w:rsidRPr="00F552F0">
        <w:rPr>
          <w:color w:val="000000"/>
          <w:sz w:val="22"/>
          <w:szCs w:val="22"/>
        </w:rPr>
        <w:t xml:space="preserve"> </w:t>
      </w:r>
      <w:r w:rsidR="00E307D6" w:rsidRPr="00F552F0">
        <w:rPr>
          <w:color w:val="000000"/>
          <w:sz w:val="22"/>
          <w:szCs w:val="22"/>
        </w:rPr>
        <w:t xml:space="preserve">to </w:t>
      </w:r>
      <w:r w:rsidR="00041EC3" w:rsidRPr="00F552F0">
        <w:rPr>
          <w:color w:val="000000"/>
          <w:sz w:val="22"/>
          <w:szCs w:val="22"/>
        </w:rPr>
        <w:t>ex ante unqualified borrowers, and should therefore bear</w:t>
      </w:r>
      <w:r w:rsidRPr="00F552F0">
        <w:rPr>
          <w:color w:val="000000"/>
          <w:sz w:val="22"/>
          <w:szCs w:val="22"/>
        </w:rPr>
        <w:t xml:space="preserve"> </w:t>
      </w:r>
      <w:r w:rsidR="00041EC3" w:rsidRPr="00F552F0">
        <w:rPr>
          <w:color w:val="000000"/>
          <w:sz w:val="22"/>
          <w:szCs w:val="22"/>
        </w:rPr>
        <w:t>fewer</w:t>
      </w:r>
      <w:r w:rsidRPr="00F552F0">
        <w:rPr>
          <w:color w:val="000000"/>
          <w:sz w:val="22"/>
          <w:szCs w:val="22"/>
        </w:rPr>
        <w:t xml:space="preserve"> </w:t>
      </w:r>
      <w:r w:rsidR="00041EC3" w:rsidRPr="00F552F0">
        <w:rPr>
          <w:color w:val="000000"/>
          <w:sz w:val="22"/>
          <w:szCs w:val="22"/>
        </w:rPr>
        <w:t>nonperforming loans.</w:t>
      </w:r>
      <w:r w:rsidR="00364C39" w:rsidRPr="00F552F0">
        <w:rPr>
          <w:color w:val="000000"/>
          <w:sz w:val="22"/>
          <w:szCs w:val="22"/>
        </w:rPr>
        <w:t xml:space="preserve"> </w:t>
      </w:r>
      <w:r w:rsidR="00041EC3" w:rsidRPr="00F552F0">
        <w:rPr>
          <w:color w:val="000000"/>
          <w:sz w:val="22"/>
          <w:szCs w:val="22"/>
        </w:rPr>
        <w:t>S</w:t>
      </w:r>
      <w:r w:rsidRPr="00F552F0">
        <w:rPr>
          <w:color w:val="000000"/>
          <w:sz w:val="22"/>
          <w:szCs w:val="22"/>
        </w:rPr>
        <w:t>tate banks pressured by politicians into lending to financially unqualified</w:t>
      </w:r>
      <w:r w:rsidR="00CB3CF2" w:rsidRPr="00F552F0">
        <w:rPr>
          <w:color w:val="000000"/>
          <w:sz w:val="22"/>
          <w:szCs w:val="22"/>
        </w:rPr>
        <w:t>,</w:t>
      </w:r>
      <w:r w:rsidRPr="00F552F0">
        <w:rPr>
          <w:color w:val="000000"/>
          <w:sz w:val="22"/>
          <w:szCs w:val="22"/>
        </w:rPr>
        <w:t xml:space="preserve"> but politically favored</w:t>
      </w:r>
      <w:r w:rsidR="00CB3CF2" w:rsidRPr="00F552F0">
        <w:rPr>
          <w:color w:val="000000"/>
          <w:sz w:val="22"/>
          <w:szCs w:val="22"/>
        </w:rPr>
        <w:t>,</w:t>
      </w:r>
      <w:r w:rsidRPr="00F552F0">
        <w:rPr>
          <w:color w:val="000000"/>
          <w:sz w:val="22"/>
          <w:szCs w:val="22"/>
        </w:rPr>
        <w:t xml:space="preserve"> borrowers often run up hug</w:t>
      </w:r>
      <w:r w:rsidR="00CC770A" w:rsidRPr="00F552F0">
        <w:rPr>
          <w:color w:val="000000"/>
          <w:sz w:val="22"/>
          <w:szCs w:val="22"/>
        </w:rPr>
        <w:t xml:space="preserve">e nonperforming loan problems. </w:t>
      </w:r>
      <w:r w:rsidRPr="00F552F0">
        <w:rPr>
          <w:color w:val="000000"/>
          <w:sz w:val="22"/>
          <w:szCs w:val="22"/>
        </w:rPr>
        <w:t xml:space="preserve">Banks controlled by oligarchic families can get into very similar problems by lending to related parties who, despite </w:t>
      </w:r>
      <w:r w:rsidR="00FF00E3" w:rsidRPr="00F552F0">
        <w:rPr>
          <w:color w:val="000000"/>
          <w:sz w:val="22"/>
          <w:szCs w:val="22"/>
        </w:rPr>
        <w:t>daunting</w:t>
      </w:r>
      <w:r w:rsidRPr="00F552F0">
        <w:rPr>
          <w:color w:val="000000"/>
          <w:sz w:val="22"/>
          <w:szCs w:val="22"/>
        </w:rPr>
        <w:t xml:space="preserve"> pedigrees, are ill</w:t>
      </w:r>
      <w:r w:rsidR="00967CBC" w:rsidRPr="00F552F0">
        <w:rPr>
          <w:color w:val="000000"/>
          <w:sz w:val="22"/>
          <w:szCs w:val="22"/>
        </w:rPr>
        <w:t>-</w:t>
      </w:r>
      <w:r w:rsidRPr="00F552F0">
        <w:rPr>
          <w:color w:val="000000"/>
          <w:sz w:val="22"/>
          <w:szCs w:val="22"/>
        </w:rPr>
        <w:t xml:space="preserve">qualified </w:t>
      </w:r>
      <w:r w:rsidR="00041EC3" w:rsidRPr="00F552F0">
        <w:rPr>
          <w:color w:val="000000"/>
          <w:sz w:val="22"/>
          <w:szCs w:val="22"/>
        </w:rPr>
        <w:t>managers (Krueger</w:t>
      </w:r>
      <w:r w:rsidR="002C144B" w:rsidRPr="00F552F0">
        <w:rPr>
          <w:color w:val="000000"/>
          <w:sz w:val="22"/>
          <w:szCs w:val="22"/>
        </w:rPr>
        <w:t>,</w:t>
      </w:r>
      <w:r w:rsidR="00297A6C" w:rsidRPr="00F552F0">
        <w:rPr>
          <w:color w:val="000000"/>
          <w:sz w:val="22"/>
          <w:szCs w:val="22"/>
        </w:rPr>
        <w:t xml:space="preserve"> 200</w:t>
      </w:r>
      <w:r w:rsidR="00041EC3" w:rsidRPr="00F552F0">
        <w:rPr>
          <w:color w:val="000000"/>
          <w:sz w:val="22"/>
          <w:szCs w:val="22"/>
        </w:rPr>
        <w:t xml:space="preserve">2). </w:t>
      </w:r>
    </w:p>
    <w:p w:rsidR="004C3644" w:rsidRPr="00F552F0" w:rsidRDefault="00041EC3">
      <w:pPr>
        <w:autoSpaceDE w:val="0"/>
        <w:autoSpaceDN w:val="0"/>
        <w:adjustRightInd w:val="0"/>
        <w:spacing w:line="440" w:lineRule="exact"/>
        <w:ind w:firstLine="720"/>
        <w:jc w:val="both"/>
        <w:rPr>
          <w:color w:val="000000"/>
        </w:rPr>
      </w:pPr>
      <w:r w:rsidRPr="00F552F0">
        <w:rPr>
          <w:color w:val="000000"/>
          <w:sz w:val="22"/>
          <w:szCs w:val="22"/>
        </w:rPr>
        <w:t xml:space="preserve">However, this logic is imperfect. </w:t>
      </w:r>
      <w:r w:rsidR="00EC52D6" w:rsidRPr="00F552F0">
        <w:rPr>
          <w:color w:val="000000"/>
          <w:sz w:val="22"/>
          <w:szCs w:val="22"/>
        </w:rPr>
        <w:t xml:space="preserve">Because screening </w:t>
      </w:r>
      <w:r w:rsidRPr="00F552F0">
        <w:rPr>
          <w:color w:val="000000"/>
          <w:sz w:val="22"/>
          <w:szCs w:val="22"/>
        </w:rPr>
        <w:t xml:space="preserve">borrowers is costly, </w:t>
      </w:r>
      <w:r w:rsidR="00EC52D6" w:rsidRPr="00F552F0">
        <w:rPr>
          <w:color w:val="000000"/>
          <w:sz w:val="22"/>
          <w:szCs w:val="22"/>
        </w:rPr>
        <w:t xml:space="preserve">we should observe </w:t>
      </w:r>
      <w:r w:rsidRPr="00F552F0">
        <w:rPr>
          <w:color w:val="000000"/>
          <w:sz w:val="22"/>
          <w:szCs w:val="22"/>
        </w:rPr>
        <w:t>s</w:t>
      </w:r>
      <w:r w:rsidR="004C3644" w:rsidRPr="00F552F0">
        <w:rPr>
          <w:color w:val="000000"/>
          <w:sz w:val="22"/>
          <w:szCs w:val="22"/>
        </w:rPr>
        <w:t>ome nonperforming loans</w:t>
      </w:r>
      <w:r w:rsidR="00CC770A" w:rsidRPr="00F552F0">
        <w:rPr>
          <w:color w:val="000000"/>
          <w:sz w:val="22"/>
          <w:szCs w:val="22"/>
        </w:rPr>
        <w:t xml:space="preserve">. </w:t>
      </w:r>
      <w:r w:rsidRPr="00F552F0">
        <w:rPr>
          <w:color w:val="000000"/>
          <w:sz w:val="22"/>
          <w:szCs w:val="22"/>
        </w:rPr>
        <w:t xml:space="preserve">Too few might actually indicate inefficiently cautious lending. </w:t>
      </w:r>
      <w:r w:rsidR="00FF00E3" w:rsidRPr="00F552F0">
        <w:rPr>
          <w:color w:val="000000"/>
          <w:sz w:val="22"/>
          <w:szCs w:val="22"/>
        </w:rPr>
        <w:t>Also, different</w:t>
      </w:r>
      <w:r w:rsidR="004C3644" w:rsidRPr="00F552F0">
        <w:rPr>
          <w:color w:val="000000"/>
          <w:sz w:val="22"/>
          <w:szCs w:val="22"/>
        </w:rPr>
        <w:t xml:space="preserve"> financial reporting practices across countries </w:t>
      </w:r>
      <w:r w:rsidR="00FF00E3" w:rsidRPr="00F552F0">
        <w:rPr>
          <w:color w:val="000000"/>
          <w:sz w:val="22"/>
          <w:szCs w:val="22"/>
        </w:rPr>
        <w:t>could</w:t>
      </w:r>
      <w:r w:rsidR="004C3644" w:rsidRPr="00F552F0">
        <w:rPr>
          <w:color w:val="000000"/>
          <w:sz w:val="22"/>
          <w:szCs w:val="22"/>
        </w:rPr>
        <w:t xml:space="preserve"> </w:t>
      </w:r>
      <w:r w:rsidR="00FF00E3" w:rsidRPr="00F552F0">
        <w:rPr>
          <w:color w:val="000000"/>
          <w:sz w:val="22"/>
          <w:szCs w:val="22"/>
        </w:rPr>
        <w:t>render nonperforming loans data noisy, or even induce</w:t>
      </w:r>
      <w:r w:rsidR="004C3644" w:rsidRPr="00F552F0">
        <w:rPr>
          <w:color w:val="000000"/>
          <w:sz w:val="22"/>
          <w:szCs w:val="22"/>
        </w:rPr>
        <w:t xml:space="preserve"> bias if</w:t>
      </w:r>
      <w:r w:rsidR="00FF00E3" w:rsidRPr="00F552F0">
        <w:rPr>
          <w:color w:val="000000"/>
          <w:sz w:val="22"/>
          <w:szCs w:val="22"/>
        </w:rPr>
        <w:t>, for example,</w:t>
      </w:r>
      <w:r w:rsidR="004C3644" w:rsidRPr="00F552F0">
        <w:rPr>
          <w:color w:val="000000"/>
          <w:sz w:val="22"/>
          <w:szCs w:val="22"/>
        </w:rPr>
        <w:t xml:space="preserve"> family </w:t>
      </w:r>
      <w:r w:rsidR="00FF00E3" w:rsidRPr="00F552F0">
        <w:rPr>
          <w:color w:val="000000"/>
          <w:sz w:val="22"/>
          <w:szCs w:val="22"/>
        </w:rPr>
        <w:t>banking corre</w:t>
      </w:r>
      <w:r w:rsidR="00CC770A" w:rsidRPr="00F552F0">
        <w:rPr>
          <w:color w:val="000000"/>
          <w:sz w:val="22"/>
          <w:szCs w:val="22"/>
        </w:rPr>
        <w:t xml:space="preserve">lates with lower transparency. </w:t>
      </w:r>
      <w:proofErr w:type="gramStart"/>
      <w:r w:rsidR="00FF00E3" w:rsidRPr="00F552F0">
        <w:rPr>
          <w:color w:val="000000"/>
          <w:sz w:val="22"/>
          <w:szCs w:val="22"/>
        </w:rPr>
        <w:t xml:space="preserve">The last </w:t>
      </w:r>
      <w:r w:rsidR="001A03FF" w:rsidRPr="00F552F0">
        <w:rPr>
          <w:color w:val="000000"/>
          <w:sz w:val="22"/>
          <w:szCs w:val="22"/>
        </w:rPr>
        <w:t>likely works</w:t>
      </w:r>
      <w:r w:rsidR="00FF00E3" w:rsidRPr="00F552F0">
        <w:rPr>
          <w:color w:val="000000"/>
          <w:sz w:val="22"/>
          <w:szCs w:val="22"/>
        </w:rPr>
        <w:t xml:space="preserve"> against finding significant results.</w:t>
      </w:r>
      <w:proofErr w:type="gramEnd"/>
      <w:r w:rsidR="00FF00E3" w:rsidRPr="00F552F0">
        <w:rPr>
          <w:color w:val="000000"/>
          <w:sz w:val="22"/>
          <w:szCs w:val="22"/>
        </w:rPr>
        <w:t xml:space="preserve"> </w:t>
      </w:r>
    </w:p>
    <w:p w:rsidR="00DF48EA" w:rsidRPr="00F552F0" w:rsidRDefault="00DF48EA" w:rsidP="00CC770A">
      <w:pPr>
        <w:autoSpaceDE w:val="0"/>
        <w:autoSpaceDN w:val="0"/>
        <w:adjustRightInd w:val="0"/>
        <w:spacing w:line="440" w:lineRule="exact"/>
        <w:jc w:val="both"/>
        <w:rPr>
          <w:color w:val="000000"/>
        </w:rPr>
      </w:pPr>
    </w:p>
    <w:p w:rsidR="004C3644" w:rsidRPr="00F552F0" w:rsidRDefault="003D5871" w:rsidP="00EF22E6">
      <w:pPr>
        <w:keepNext/>
        <w:autoSpaceDE w:val="0"/>
        <w:autoSpaceDN w:val="0"/>
        <w:adjustRightInd w:val="0"/>
        <w:spacing w:line="440" w:lineRule="exact"/>
        <w:jc w:val="both"/>
        <w:rPr>
          <w:i/>
          <w:color w:val="000000"/>
        </w:rPr>
      </w:pPr>
      <w:r w:rsidRPr="00F552F0">
        <w:rPr>
          <w:i/>
          <w:color w:val="000000"/>
        </w:rPr>
        <w:t>2.3.4.</w:t>
      </w:r>
      <w:r w:rsidRPr="00F552F0">
        <w:rPr>
          <w:i/>
          <w:color w:val="000000"/>
        </w:rPr>
        <w:tab/>
        <w:t xml:space="preserve">Banking </w:t>
      </w:r>
      <w:r w:rsidR="00967CBC" w:rsidRPr="00F552F0">
        <w:rPr>
          <w:i/>
          <w:color w:val="000000"/>
        </w:rPr>
        <w:t>c</w:t>
      </w:r>
      <w:r w:rsidRPr="00F552F0">
        <w:rPr>
          <w:i/>
          <w:color w:val="000000"/>
        </w:rPr>
        <w:t>rises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Our </w:t>
      </w:r>
      <w:r w:rsidR="00E269EA" w:rsidRPr="00F552F0">
        <w:rPr>
          <w:color w:val="000000"/>
          <w:sz w:val="22"/>
          <w:szCs w:val="22"/>
        </w:rPr>
        <w:t>fourth</w:t>
      </w:r>
      <w:r w:rsidRPr="00F552F0">
        <w:rPr>
          <w:color w:val="000000"/>
          <w:sz w:val="22"/>
          <w:szCs w:val="22"/>
        </w:rPr>
        <w:t xml:space="preserve"> banking efficiency measure, the number of</w:t>
      </w:r>
      <w:r w:rsidRPr="00F552F0">
        <w:rPr>
          <w:i/>
          <w:color w:val="000000"/>
          <w:sz w:val="22"/>
          <w:szCs w:val="22"/>
        </w:rPr>
        <w:t xml:space="preserve"> banking crises</w:t>
      </w:r>
      <w:r w:rsidRPr="00F552F0">
        <w:rPr>
          <w:color w:val="000000"/>
          <w:sz w:val="22"/>
          <w:szCs w:val="22"/>
        </w:rPr>
        <w:t xml:space="preserve"> the economy experiences, is also directly tied to </w:t>
      </w:r>
      <w:r w:rsidR="00CB3CF2" w:rsidRPr="00F552F0">
        <w:rPr>
          <w:color w:val="000000"/>
          <w:sz w:val="22"/>
          <w:szCs w:val="22"/>
        </w:rPr>
        <w:t xml:space="preserve">the </w:t>
      </w:r>
      <w:r w:rsidR="00C005EC" w:rsidRPr="00F552F0">
        <w:rPr>
          <w:color w:val="000000"/>
          <w:sz w:val="22"/>
          <w:szCs w:val="22"/>
        </w:rPr>
        <w:t xml:space="preserve">quality of banks’ </w:t>
      </w:r>
      <w:r w:rsidR="00CE72B7" w:rsidRPr="00F552F0">
        <w:rPr>
          <w:color w:val="000000"/>
          <w:sz w:val="22"/>
          <w:szCs w:val="22"/>
        </w:rPr>
        <w:t xml:space="preserve">governance and </w:t>
      </w:r>
      <w:r w:rsidR="00C005EC" w:rsidRPr="00F552F0">
        <w:rPr>
          <w:color w:val="000000"/>
          <w:sz w:val="22"/>
          <w:szCs w:val="22"/>
        </w:rPr>
        <w:t xml:space="preserve">their financial </w:t>
      </w:r>
      <w:r w:rsidR="00CE72B7" w:rsidRPr="00F552F0">
        <w:rPr>
          <w:color w:val="000000"/>
          <w:sz w:val="22"/>
          <w:szCs w:val="22"/>
        </w:rPr>
        <w:t>health</w:t>
      </w:r>
      <w:r w:rsidR="00FF00E3" w:rsidRPr="00F552F0">
        <w:rPr>
          <w:color w:val="000000"/>
          <w:sz w:val="22"/>
          <w:szCs w:val="22"/>
        </w:rPr>
        <w:t xml:space="preserve">. </w:t>
      </w:r>
      <w:r w:rsidR="00C005EC" w:rsidRPr="00F552F0">
        <w:rPr>
          <w:color w:val="000000"/>
          <w:sz w:val="22"/>
          <w:szCs w:val="22"/>
        </w:rPr>
        <w:t xml:space="preserve">Although many </w:t>
      </w:r>
      <w:r w:rsidR="00CE72B7" w:rsidRPr="00F552F0">
        <w:rPr>
          <w:color w:val="000000"/>
          <w:sz w:val="22"/>
          <w:szCs w:val="22"/>
        </w:rPr>
        <w:t>factors can trigger banking crises</w:t>
      </w:r>
      <w:r w:rsidR="001930C3" w:rsidRPr="00F552F0">
        <w:rPr>
          <w:color w:val="000000"/>
          <w:sz w:val="22"/>
          <w:szCs w:val="22"/>
        </w:rPr>
        <w:t xml:space="preserve"> (Allen </w:t>
      </w:r>
      <w:r w:rsidR="00E82874" w:rsidRPr="00F552F0">
        <w:rPr>
          <w:color w:val="000000"/>
          <w:sz w:val="22"/>
          <w:szCs w:val="22"/>
        </w:rPr>
        <w:t>and</w:t>
      </w:r>
      <w:r w:rsidR="001930C3" w:rsidRPr="00F552F0">
        <w:rPr>
          <w:color w:val="000000"/>
          <w:sz w:val="22"/>
          <w:szCs w:val="22"/>
        </w:rPr>
        <w:t xml:space="preserve"> Gale</w:t>
      </w:r>
      <w:r w:rsidR="002C144B" w:rsidRPr="00F552F0">
        <w:rPr>
          <w:color w:val="000000"/>
          <w:sz w:val="22"/>
          <w:szCs w:val="22"/>
        </w:rPr>
        <w:t>,</w:t>
      </w:r>
      <w:r w:rsidR="00297A6C" w:rsidRPr="00F552F0">
        <w:rPr>
          <w:color w:val="000000"/>
          <w:sz w:val="22"/>
          <w:szCs w:val="22"/>
        </w:rPr>
        <w:t xml:space="preserve"> 200</w:t>
      </w:r>
      <w:r w:rsidR="001930C3" w:rsidRPr="00F552F0">
        <w:rPr>
          <w:color w:val="000000"/>
          <w:sz w:val="22"/>
          <w:szCs w:val="22"/>
        </w:rPr>
        <w:t>7)</w:t>
      </w:r>
      <w:r w:rsidR="00144CB1" w:rsidRPr="00F552F0">
        <w:rPr>
          <w:color w:val="000000"/>
          <w:sz w:val="22"/>
          <w:szCs w:val="22"/>
        </w:rPr>
        <w:t>, financial history reveals extensive accumulated capital misallocation a near universal theme (</w:t>
      </w:r>
      <w:proofErr w:type="spellStart"/>
      <w:r w:rsidR="00144CB1" w:rsidRPr="00F552F0">
        <w:rPr>
          <w:color w:val="000000"/>
          <w:sz w:val="22"/>
          <w:szCs w:val="22"/>
        </w:rPr>
        <w:t>Kindleberger</w:t>
      </w:r>
      <w:proofErr w:type="spellEnd"/>
      <w:r w:rsidR="002C07E6" w:rsidRPr="00F552F0">
        <w:rPr>
          <w:color w:val="000000"/>
          <w:sz w:val="22"/>
          <w:szCs w:val="22"/>
        </w:rPr>
        <w:t xml:space="preserve"> </w:t>
      </w:r>
      <w:r w:rsidR="00E82874" w:rsidRPr="00F552F0">
        <w:rPr>
          <w:color w:val="000000"/>
          <w:sz w:val="22"/>
          <w:szCs w:val="22"/>
        </w:rPr>
        <w:t>and</w:t>
      </w:r>
      <w:r w:rsidR="00BF1DFB" w:rsidRPr="00F552F0">
        <w:rPr>
          <w:color w:val="000000"/>
          <w:sz w:val="22"/>
          <w:szCs w:val="22"/>
        </w:rPr>
        <w:t xml:space="preserve"> </w:t>
      </w:r>
      <w:proofErr w:type="spellStart"/>
      <w:r w:rsidR="00BF1DFB" w:rsidRPr="00F552F0">
        <w:rPr>
          <w:color w:val="000000"/>
          <w:sz w:val="22"/>
          <w:szCs w:val="22"/>
        </w:rPr>
        <w:t>Aliber</w:t>
      </w:r>
      <w:proofErr w:type="spellEnd"/>
      <w:r w:rsidR="002C144B" w:rsidRPr="00F552F0">
        <w:rPr>
          <w:color w:val="000000"/>
          <w:sz w:val="22"/>
          <w:szCs w:val="22"/>
        </w:rPr>
        <w:t>,</w:t>
      </w:r>
      <w:r w:rsidR="00297A6C" w:rsidRPr="00F552F0">
        <w:rPr>
          <w:color w:val="000000"/>
          <w:sz w:val="22"/>
          <w:szCs w:val="22"/>
        </w:rPr>
        <w:t xml:space="preserve"> 200</w:t>
      </w:r>
      <w:r w:rsidR="00BF1DFB" w:rsidRPr="00F552F0">
        <w:rPr>
          <w:color w:val="000000"/>
          <w:sz w:val="22"/>
          <w:szCs w:val="22"/>
        </w:rPr>
        <w:t>5</w:t>
      </w:r>
      <w:r w:rsidR="00144CB1" w:rsidRPr="00F552F0">
        <w:rPr>
          <w:color w:val="000000"/>
          <w:sz w:val="22"/>
          <w:szCs w:val="22"/>
        </w:rPr>
        <w:t>)</w:t>
      </w:r>
      <w:r w:rsidR="00BF1DFB" w:rsidRPr="00F552F0">
        <w:rPr>
          <w:color w:val="000000"/>
          <w:sz w:val="22"/>
          <w:szCs w:val="22"/>
        </w:rPr>
        <w:t xml:space="preserve">. </w:t>
      </w:r>
      <w:r w:rsidR="00144CB1" w:rsidRPr="00F552F0">
        <w:rPr>
          <w:color w:val="000000"/>
          <w:sz w:val="22"/>
          <w:szCs w:val="22"/>
        </w:rPr>
        <w:t>W</w:t>
      </w:r>
      <w:r w:rsidR="00FF00E3" w:rsidRPr="00F552F0">
        <w:rPr>
          <w:color w:val="000000"/>
          <w:sz w:val="22"/>
          <w:szCs w:val="22"/>
        </w:rPr>
        <w:t xml:space="preserve">e </w:t>
      </w:r>
      <w:r w:rsidR="00144CB1" w:rsidRPr="00F552F0">
        <w:rPr>
          <w:color w:val="000000"/>
          <w:sz w:val="22"/>
          <w:szCs w:val="22"/>
        </w:rPr>
        <w:t xml:space="preserve">therefore </w:t>
      </w:r>
      <w:r w:rsidR="00FF00E3" w:rsidRPr="00F552F0">
        <w:rPr>
          <w:color w:val="000000"/>
          <w:sz w:val="22"/>
          <w:szCs w:val="22"/>
        </w:rPr>
        <w:t>expect fewer banking crises in countries where bank loans are allocated more efficiently</w:t>
      </w:r>
      <w:r w:rsidR="00C005EC" w:rsidRPr="00F552F0">
        <w:rPr>
          <w:color w:val="000000"/>
          <w:sz w:val="22"/>
          <w:szCs w:val="22"/>
        </w:rPr>
        <w:t>, all else equal</w:t>
      </w:r>
      <w:r w:rsidR="00CC770A" w:rsidRPr="00F552F0">
        <w:rPr>
          <w:color w:val="000000"/>
          <w:sz w:val="22"/>
          <w:szCs w:val="22"/>
        </w:rPr>
        <w:t xml:space="preserve">. </w:t>
      </w:r>
    </w:p>
    <w:p w:rsidR="000E1C8C" w:rsidRPr="00F552F0" w:rsidRDefault="00FF00E3">
      <w:pPr>
        <w:autoSpaceDE w:val="0"/>
        <w:autoSpaceDN w:val="0"/>
        <w:adjustRightInd w:val="0"/>
        <w:spacing w:line="440" w:lineRule="exact"/>
        <w:jc w:val="both"/>
        <w:rPr>
          <w:color w:val="000000"/>
          <w:sz w:val="22"/>
          <w:szCs w:val="22"/>
        </w:rPr>
      </w:pPr>
      <w:r w:rsidRPr="00F552F0">
        <w:rPr>
          <w:color w:val="000000"/>
          <w:sz w:val="22"/>
          <w:szCs w:val="22"/>
        </w:rPr>
        <w:tab/>
        <w:t>Our</w:t>
      </w:r>
      <w:r w:rsidR="00A826AD" w:rsidRPr="00F552F0">
        <w:rPr>
          <w:color w:val="000000"/>
          <w:sz w:val="22"/>
          <w:szCs w:val="22"/>
        </w:rPr>
        <w:t xml:space="preserve"> first</w:t>
      </w:r>
      <w:r w:rsidR="004C3644" w:rsidRPr="00F552F0">
        <w:rPr>
          <w:i/>
          <w:color w:val="000000"/>
          <w:sz w:val="22"/>
          <w:szCs w:val="22"/>
        </w:rPr>
        <w:t xml:space="preserve"> banking crises </w:t>
      </w:r>
      <w:r w:rsidRPr="00F552F0">
        <w:rPr>
          <w:color w:val="000000"/>
          <w:sz w:val="22"/>
          <w:szCs w:val="22"/>
        </w:rPr>
        <w:t xml:space="preserve">variable </w:t>
      </w:r>
      <w:r w:rsidR="00B059DE" w:rsidRPr="00F552F0">
        <w:rPr>
          <w:color w:val="000000"/>
          <w:sz w:val="22"/>
          <w:szCs w:val="22"/>
        </w:rPr>
        <w:t xml:space="preserve">is the number of banking crises </w:t>
      </w:r>
      <w:r w:rsidR="00E2076F" w:rsidRPr="00F552F0">
        <w:rPr>
          <w:color w:val="000000"/>
          <w:sz w:val="22"/>
          <w:szCs w:val="22"/>
        </w:rPr>
        <w:t>in each</w:t>
      </w:r>
      <w:r w:rsidR="00B059DE" w:rsidRPr="00F552F0">
        <w:rPr>
          <w:color w:val="000000"/>
          <w:sz w:val="22"/>
          <w:szCs w:val="22"/>
        </w:rPr>
        <w:t xml:space="preserve"> country covered in </w:t>
      </w:r>
      <w:proofErr w:type="spellStart"/>
      <w:r w:rsidR="00B059DE" w:rsidRPr="00F552F0">
        <w:rPr>
          <w:color w:val="000000"/>
          <w:sz w:val="22"/>
          <w:szCs w:val="22"/>
        </w:rPr>
        <w:t>Demirguc-Kunt</w:t>
      </w:r>
      <w:proofErr w:type="spellEnd"/>
      <w:r w:rsidR="00B059DE" w:rsidRPr="00F552F0">
        <w:rPr>
          <w:color w:val="000000"/>
          <w:sz w:val="22"/>
          <w:szCs w:val="22"/>
        </w:rPr>
        <w:t xml:space="preserve"> </w:t>
      </w:r>
      <w:r w:rsidR="003D5871" w:rsidRPr="00F552F0">
        <w:rPr>
          <w:color w:val="000000"/>
          <w:sz w:val="22"/>
          <w:szCs w:val="22"/>
        </w:rPr>
        <w:t>et al.</w:t>
      </w:r>
      <w:r w:rsidR="009118A3" w:rsidRPr="00F552F0">
        <w:rPr>
          <w:color w:val="000000"/>
          <w:sz w:val="22"/>
          <w:szCs w:val="22"/>
        </w:rPr>
        <w:t xml:space="preserve"> </w:t>
      </w:r>
      <w:r w:rsidR="00B059DE" w:rsidRPr="00F552F0">
        <w:rPr>
          <w:color w:val="000000"/>
          <w:sz w:val="22"/>
          <w:szCs w:val="22"/>
        </w:rPr>
        <w:t xml:space="preserve">(2006) </w:t>
      </w:r>
      <w:r w:rsidR="00E2076F" w:rsidRPr="00F552F0">
        <w:rPr>
          <w:color w:val="000000"/>
          <w:sz w:val="22"/>
          <w:szCs w:val="22"/>
        </w:rPr>
        <w:t>or</w:t>
      </w:r>
      <w:r w:rsidR="00B059DE" w:rsidRPr="00F552F0">
        <w:rPr>
          <w:color w:val="000000"/>
          <w:sz w:val="22"/>
          <w:szCs w:val="22"/>
        </w:rPr>
        <w:t xml:space="preserve"> </w:t>
      </w:r>
      <w:proofErr w:type="spellStart"/>
      <w:r w:rsidR="00B059DE" w:rsidRPr="00F552F0">
        <w:rPr>
          <w:color w:val="000000"/>
          <w:sz w:val="22"/>
          <w:szCs w:val="22"/>
        </w:rPr>
        <w:t>Dell'Ariccia</w:t>
      </w:r>
      <w:proofErr w:type="spellEnd"/>
      <w:r w:rsidR="00B059DE" w:rsidRPr="00F552F0">
        <w:rPr>
          <w:color w:val="000000"/>
          <w:sz w:val="22"/>
          <w:szCs w:val="22"/>
        </w:rPr>
        <w:t xml:space="preserve"> </w:t>
      </w:r>
      <w:r w:rsidR="003D5871" w:rsidRPr="00F552F0">
        <w:rPr>
          <w:color w:val="000000"/>
          <w:sz w:val="22"/>
          <w:szCs w:val="22"/>
        </w:rPr>
        <w:t>et al.</w:t>
      </w:r>
      <w:r w:rsidR="00B059DE" w:rsidRPr="00F552F0">
        <w:rPr>
          <w:color w:val="000000"/>
          <w:sz w:val="22"/>
          <w:szCs w:val="22"/>
        </w:rPr>
        <w:t xml:space="preserve"> (2008)</w:t>
      </w:r>
      <w:r w:rsidR="00A826AD" w:rsidRPr="00F552F0">
        <w:rPr>
          <w:color w:val="000000"/>
          <w:sz w:val="22"/>
          <w:szCs w:val="22"/>
        </w:rPr>
        <w:t xml:space="preserve"> after 1993</w:t>
      </w:r>
      <w:r w:rsidR="00D1144A" w:rsidRPr="00F552F0">
        <w:rPr>
          <w:color w:val="000000"/>
          <w:sz w:val="22"/>
          <w:szCs w:val="22"/>
        </w:rPr>
        <w:t xml:space="preserve">. </w:t>
      </w:r>
      <w:proofErr w:type="spellStart"/>
      <w:r w:rsidR="00D1144A" w:rsidRPr="00F552F0">
        <w:rPr>
          <w:color w:val="000000"/>
          <w:sz w:val="22"/>
          <w:szCs w:val="22"/>
        </w:rPr>
        <w:t>Dell'Ariccia</w:t>
      </w:r>
      <w:proofErr w:type="spellEnd"/>
      <w:r w:rsidR="00D1144A" w:rsidRPr="00F552F0">
        <w:rPr>
          <w:color w:val="000000"/>
          <w:sz w:val="22"/>
          <w:szCs w:val="22"/>
        </w:rPr>
        <w:t xml:space="preserve"> </w:t>
      </w:r>
      <w:r w:rsidR="003D5871" w:rsidRPr="00F552F0">
        <w:rPr>
          <w:color w:val="000000"/>
          <w:sz w:val="22"/>
          <w:szCs w:val="22"/>
        </w:rPr>
        <w:t>et al.</w:t>
      </w:r>
      <w:r w:rsidR="00D1144A" w:rsidRPr="00F552F0">
        <w:rPr>
          <w:color w:val="000000"/>
          <w:sz w:val="22"/>
          <w:szCs w:val="22"/>
        </w:rPr>
        <w:t xml:space="preserve"> (2008) </w:t>
      </w:r>
      <w:r w:rsidR="00E2076F" w:rsidRPr="00F552F0">
        <w:rPr>
          <w:color w:val="000000"/>
          <w:sz w:val="22"/>
          <w:szCs w:val="22"/>
        </w:rPr>
        <w:t>presume a</w:t>
      </w:r>
      <w:r w:rsidR="00D1144A" w:rsidRPr="00F552F0">
        <w:rPr>
          <w:color w:val="000000"/>
          <w:sz w:val="22"/>
          <w:szCs w:val="22"/>
        </w:rPr>
        <w:t xml:space="preserve"> banking cris</w:t>
      </w:r>
      <w:r w:rsidR="00967CBC" w:rsidRPr="00F552F0">
        <w:rPr>
          <w:color w:val="000000"/>
          <w:sz w:val="22"/>
          <w:szCs w:val="22"/>
        </w:rPr>
        <w:t>i</w:t>
      </w:r>
      <w:r w:rsidR="00D1144A" w:rsidRPr="00F552F0">
        <w:rPr>
          <w:color w:val="000000"/>
          <w:sz w:val="22"/>
          <w:szCs w:val="22"/>
        </w:rPr>
        <w:t xml:space="preserve">s if </w:t>
      </w:r>
      <w:r w:rsidR="00E2076F" w:rsidRPr="00F552F0">
        <w:rPr>
          <w:color w:val="000000"/>
          <w:sz w:val="22"/>
          <w:szCs w:val="22"/>
        </w:rPr>
        <w:t xml:space="preserve">one of </w:t>
      </w:r>
      <w:r w:rsidR="00D1144A" w:rsidRPr="00F552F0">
        <w:rPr>
          <w:color w:val="000000"/>
          <w:sz w:val="22"/>
          <w:szCs w:val="22"/>
        </w:rPr>
        <w:t>the following happens: extensive depositor runs; an emergency measure (e.g. bank holiday or nationalization); bank rescues costing 2% of GDP</w:t>
      </w:r>
      <w:r w:rsidR="002E5334" w:rsidRPr="00F552F0">
        <w:rPr>
          <w:color w:val="000000"/>
          <w:sz w:val="22"/>
          <w:szCs w:val="22"/>
        </w:rPr>
        <w:t xml:space="preserve"> or more</w:t>
      </w:r>
      <w:r w:rsidR="00D1144A" w:rsidRPr="00F552F0">
        <w:rPr>
          <w:color w:val="000000"/>
          <w:sz w:val="22"/>
          <w:szCs w:val="22"/>
        </w:rPr>
        <w:t xml:space="preserve">; or </w:t>
      </w:r>
      <w:r w:rsidR="001578B3" w:rsidRPr="00F552F0">
        <w:rPr>
          <w:color w:val="000000"/>
          <w:sz w:val="22"/>
          <w:szCs w:val="22"/>
        </w:rPr>
        <w:t>nonperforming</w:t>
      </w:r>
      <w:r w:rsidR="00D1144A" w:rsidRPr="00F552F0">
        <w:rPr>
          <w:color w:val="000000"/>
          <w:sz w:val="22"/>
          <w:szCs w:val="22"/>
        </w:rPr>
        <w:t xml:space="preserve"> loans </w:t>
      </w:r>
      <w:r w:rsidR="002E5334" w:rsidRPr="00F552F0">
        <w:rPr>
          <w:color w:val="000000"/>
          <w:sz w:val="22"/>
          <w:szCs w:val="22"/>
        </w:rPr>
        <w:t xml:space="preserve">rising to </w:t>
      </w:r>
      <w:r w:rsidR="00D1144A" w:rsidRPr="00F552F0">
        <w:rPr>
          <w:color w:val="000000"/>
          <w:sz w:val="22"/>
          <w:szCs w:val="22"/>
        </w:rPr>
        <w:lastRenderedPageBreak/>
        <w:t xml:space="preserve">10% </w:t>
      </w:r>
      <w:r w:rsidR="002E5334" w:rsidRPr="00F552F0">
        <w:rPr>
          <w:color w:val="000000"/>
          <w:sz w:val="22"/>
          <w:szCs w:val="22"/>
        </w:rPr>
        <w:t xml:space="preserve">or more </w:t>
      </w:r>
      <w:r w:rsidR="00D1144A" w:rsidRPr="00F552F0">
        <w:rPr>
          <w:color w:val="000000"/>
          <w:sz w:val="22"/>
          <w:szCs w:val="22"/>
        </w:rPr>
        <w:t>of bank assets.</w:t>
      </w:r>
      <w:r w:rsidR="00D1144A" w:rsidRPr="00F552F0">
        <w:rPr>
          <w:sz w:val="20"/>
          <w:szCs w:val="20"/>
        </w:rPr>
        <w:t xml:space="preserve"> </w:t>
      </w:r>
      <w:r w:rsidR="000F6624" w:rsidRPr="00F552F0">
        <w:rPr>
          <w:color w:val="000000"/>
          <w:sz w:val="22"/>
          <w:szCs w:val="22"/>
        </w:rPr>
        <w:t xml:space="preserve">These </w:t>
      </w:r>
      <w:r w:rsidR="002E5334" w:rsidRPr="00F552F0">
        <w:rPr>
          <w:color w:val="000000"/>
          <w:sz w:val="22"/>
          <w:szCs w:val="22"/>
        </w:rPr>
        <w:t>papers</w:t>
      </w:r>
      <w:r w:rsidR="00B059DE" w:rsidRPr="00F552F0">
        <w:rPr>
          <w:color w:val="000000"/>
          <w:sz w:val="22"/>
          <w:szCs w:val="22"/>
        </w:rPr>
        <w:t xml:space="preserve"> do not include the</w:t>
      </w:r>
      <w:r w:rsidR="000F6624" w:rsidRPr="00F552F0">
        <w:rPr>
          <w:color w:val="000000"/>
          <w:sz w:val="22"/>
          <w:szCs w:val="22"/>
        </w:rPr>
        <w:t xml:space="preserve"> </w:t>
      </w:r>
      <w:r w:rsidR="00B059DE" w:rsidRPr="00F552F0">
        <w:rPr>
          <w:color w:val="000000"/>
          <w:sz w:val="22"/>
          <w:szCs w:val="22"/>
        </w:rPr>
        <w:t>2008 banking crisis</w:t>
      </w:r>
      <w:r w:rsidR="002E5334" w:rsidRPr="00F552F0">
        <w:rPr>
          <w:color w:val="000000"/>
          <w:sz w:val="22"/>
          <w:szCs w:val="22"/>
        </w:rPr>
        <w:t>, so</w:t>
      </w:r>
      <w:r w:rsidR="000F6624" w:rsidRPr="00F552F0">
        <w:rPr>
          <w:color w:val="000000"/>
          <w:sz w:val="22"/>
          <w:szCs w:val="22"/>
        </w:rPr>
        <w:t xml:space="preserve"> we construct an alternative measure</w:t>
      </w:r>
      <w:r w:rsidR="00A826AD" w:rsidRPr="00F552F0">
        <w:rPr>
          <w:color w:val="000000"/>
          <w:sz w:val="22"/>
          <w:szCs w:val="22"/>
        </w:rPr>
        <w:t xml:space="preserve"> </w:t>
      </w:r>
      <w:r w:rsidR="00A826AD" w:rsidRPr="00F552F0">
        <w:rPr>
          <w:i/>
          <w:color w:val="000000"/>
          <w:sz w:val="22"/>
          <w:szCs w:val="22"/>
        </w:rPr>
        <w:t>banking crises + 2008</w:t>
      </w:r>
      <w:r w:rsidR="00A826AD" w:rsidRPr="00F552F0">
        <w:rPr>
          <w:color w:val="000000"/>
          <w:sz w:val="22"/>
          <w:szCs w:val="22"/>
        </w:rPr>
        <w:t xml:space="preserve"> , whic</w:t>
      </w:r>
      <w:r w:rsidR="00F03F2A" w:rsidRPr="00F552F0">
        <w:rPr>
          <w:color w:val="000000"/>
          <w:sz w:val="22"/>
          <w:szCs w:val="22"/>
        </w:rPr>
        <w:t>h</w:t>
      </w:r>
      <w:r w:rsidR="000F6624" w:rsidRPr="00F552F0">
        <w:rPr>
          <w:color w:val="000000"/>
          <w:sz w:val="22"/>
          <w:szCs w:val="22"/>
        </w:rPr>
        <w:t xml:space="preserve"> </w:t>
      </w:r>
      <w:r w:rsidR="00F03F2A" w:rsidRPr="00F552F0">
        <w:rPr>
          <w:color w:val="000000"/>
          <w:sz w:val="22"/>
          <w:szCs w:val="22"/>
        </w:rPr>
        <w:t>increases</w:t>
      </w:r>
      <w:r w:rsidR="00D1144A" w:rsidRPr="00F552F0">
        <w:rPr>
          <w:color w:val="000000"/>
          <w:sz w:val="22"/>
          <w:szCs w:val="22"/>
        </w:rPr>
        <w:t xml:space="preserve"> </w:t>
      </w:r>
      <w:r w:rsidR="002E5334" w:rsidRPr="00F552F0">
        <w:rPr>
          <w:color w:val="000000"/>
          <w:sz w:val="22"/>
          <w:szCs w:val="22"/>
        </w:rPr>
        <w:t>countries’</w:t>
      </w:r>
      <w:r w:rsidR="00D1144A" w:rsidRPr="00F552F0">
        <w:rPr>
          <w:color w:val="000000"/>
          <w:sz w:val="22"/>
          <w:szCs w:val="22"/>
        </w:rPr>
        <w:t xml:space="preserve"> crises counts </w:t>
      </w:r>
      <w:r w:rsidR="00A826AD" w:rsidRPr="00F552F0">
        <w:rPr>
          <w:color w:val="000000"/>
          <w:sz w:val="22"/>
          <w:szCs w:val="22"/>
        </w:rPr>
        <w:t>by one</w:t>
      </w:r>
      <w:r w:rsidR="000F6624" w:rsidRPr="00F552F0">
        <w:rPr>
          <w:color w:val="000000"/>
          <w:sz w:val="22"/>
          <w:szCs w:val="22"/>
        </w:rPr>
        <w:t xml:space="preserve"> where </w:t>
      </w:r>
      <w:r w:rsidR="002E5334" w:rsidRPr="00F552F0">
        <w:rPr>
          <w:color w:val="000000"/>
          <w:sz w:val="22"/>
          <w:szCs w:val="22"/>
        </w:rPr>
        <w:t xml:space="preserve">the </w:t>
      </w:r>
      <w:r w:rsidR="00967CBC" w:rsidRPr="00F552F0">
        <w:rPr>
          <w:color w:val="000000"/>
          <w:sz w:val="22"/>
          <w:szCs w:val="22"/>
        </w:rPr>
        <w:t>International Monetary Fund</w:t>
      </w:r>
      <w:r w:rsidR="002E5334" w:rsidRPr="00F552F0">
        <w:rPr>
          <w:color w:val="000000"/>
          <w:sz w:val="22"/>
          <w:szCs w:val="22"/>
        </w:rPr>
        <w:t xml:space="preserve"> Global Financial Stability Report (April 2009) indicates that </w:t>
      </w:r>
      <w:r w:rsidR="000F6624" w:rsidRPr="00F552F0">
        <w:rPr>
          <w:color w:val="000000"/>
          <w:sz w:val="22"/>
          <w:szCs w:val="22"/>
        </w:rPr>
        <w:t>governments directly intervened to</w:t>
      </w:r>
      <w:r w:rsidR="00A826AD" w:rsidRPr="00F552F0">
        <w:rPr>
          <w:color w:val="000000"/>
          <w:sz w:val="22"/>
          <w:szCs w:val="22"/>
        </w:rPr>
        <w:t xml:space="preserve"> </w:t>
      </w:r>
      <w:r w:rsidR="002E5334" w:rsidRPr="00F552F0">
        <w:rPr>
          <w:color w:val="000000"/>
          <w:sz w:val="22"/>
          <w:szCs w:val="22"/>
        </w:rPr>
        <w:t xml:space="preserve">rescue </w:t>
      </w:r>
      <w:r w:rsidR="00A826AD" w:rsidRPr="00F552F0">
        <w:rPr>
          <w:color w:val="000000"/>
          <w:sz w:val="22"/>
          <w:szCs w:val="22"/>
        </w:rPr>
        <w:t>large</w:t>
      </w:r>
      <w:r w:rsidR="000F6624" w:rsidRPr="00F552F0">
        <w:rPr>
          <w:color w:val="000000"/>
          <w:sz w:val="22"/>
          <w:szCs w:val="22"/>
        </w:rPr>
        <w:t xml:space="preserve"> financial institutions</w:t>
      </w:r>
      <w:r w:rsidR="00A826AD" w:rsidRPr="00F552F0">
        <w:rPr>
          <w:color w:val="000000"/>
          <w:sz w:val="22"/>
          <w:szCs w:val="22"/>
        </w:rPr>
        <w:t xml:space="preserve"> in 2008 </w:t>
      </w:r>
      <w:r w:rsidR="002E5334" w:rsidRPr="00F552F0">
        <w:rPr>
          <w:color w:val="000000"/>
          <w:sz w:val="22"/>
          <w:szCs w:val="22"/>
        </w:rPr>
        <w:t>or</w:t>
      </w:r>
      <w:r w:rsidR="00A826AD" w:rsidRPr="00F552F0">
        <w:rPr>
          <w:color w:val="000000"/>
          <w:sz w:val="22"/>
          <w:szCs w:val="22"/>
        </w:rPr>
        <w:t xml:space="preserve"> 2009</w:t>
      </w:r>
      <w:r w:rsidR="002E5334" w:rsidRPr="00F552F0">
        <w:rPr>
          <w:color w:val="000000"/>
          <w:sz w:val="22"/>
          <w:szCs w:val="22"/>
        </w:rPr>
        <w:t>. Unfortunately, data to</w:t>
      </w:r>
      <w:r w:rsidR="00A826AD" w:rsidRPr="00F552F0">
        <w:rPr>
          <w:color w:val="000000"/>
          <w:sz w:val="22"/>
          <w:szCs w:val="22"/>
        </w:rPr>
        <w:t xml:space="preserve"> replicate the criteria </w:t>
      </w:r>
      <w:r w:rsidR="002E5334" w:rsidRPr="00F552F0">
        <w:rPr>
          <w:color w:val="000000"/>
          <w:sz w:val="22"/>
          <w:szCs w:val="22"/>
        </w:rPr>
        <w:t>used</w:t>
      </w:r>
      <w:r w:rsidR="00A826AD" w:rsidRPr="00F552F0">
        <w:rPr>
          <w:color w:val="000000"/>
          <w:sz w:val="22"/>
          <w:szCs w:val="22"/>
        </w:rPr>
        <w:t xml:space="preserve"> in </w:t>
      </w:r>
      <w:r w:rsidR="00D1144A" w:rsidRPr="00F552F0">
        <w:rPr>
          <w:color w:val="000000"/>
          <w:sz w:val="22"/>
          <w:szCs w:val="22"/>
        </w:rPr>
        <w:t>previous papers</w:t>
      </w:r>
      <w:r w:rsidR="002E5334" w:rsidRPr="00F552F0">
        <w:rPr>
          <w:color w:val="000000"/>
          <w:sz w:val="22"/>
          <w:szCs w:val="22"/>
        </w:rPr>
        <w:t xml:space="preserve"> are as yet unavailable</w:t>
      </w:r>
      <w:r w:rsidR="00D1144A" w:rsidRPr="00F552F0">
        <w:rPr>
          <w:color w:val="000000"/>
          <w:sz w:val="22"/>
          <w:szCs w:val="22"/>
        </w:rPr>
        <w:t xml:space="preserve">, </w:t>
      </w:r>
      <w:r w:rsidR="002E5334" w:rsidRPr="00F552F0">
        <w:rPr>
          <w:color w:val="000000"/>
          <w:sz w:val="22"/>
          <w:szCs w:val="22"/>
        </w:rPr>
        <w:t xml:space="preserve">so </w:t>
      </w:r>
      <w:r w:rsidR="00D1144A" w:rsidRPr="00F552F0">
        <w:rPr>
          <w:color w:val="000000"/>
          <w:sz w:val="22"/>
          <w:szCs w:val="22"/>
        </w:rPr>
        <w:t>we treat this variable circumspect</w:t>
      </w:r>
      <w:r w:rsidR="00CB3CF2" w:rsidRPr="00F552F0">
        <w:rPr>
          <w:color w:val="000000"/>
          <w:sz w:val="22"/>
          <w:szCs w:val="22"/>
        </w:rPr>
        <w:t>ly</w:t>
      </w:r>
      <w:r w:rsidR="00A826AD" w:rsidRPr="00F552F0">
        <w:rPr>
          <w:color w:val="000000"/>
          <w:sz w:val="22"/>
          <w:szCs w:val="22"/>
        </w:rPr>
        <w:t xml:space="preserve">. </w:t>
      </w:r>
    </w:p>
    <w:p w:rsidR="00D1144A" w:rsidRPr="00F552F0" w:rsidRDefault="00D1144A">
      <w:pPr>
        <w:autoSpaceDE w:val="0"/>
        <w:autoSpaceDN w:val="0"/>
        <w:adjustRightInd w:val="0"/>
        <w:spacing w:line="440" w:lineRule="exact"/>
        <w:jc w:val="both"/>
        <w:rPr>
          <w:color w:val="000000"/>
          <w:sz w:val="22"/>
          <w:szCs w:val="22"/>
        </w:rPr>
      </w:pPr>
    </w:p>
    <w:p w:rsidR="00E5018F" w:rsidRPr="00F552F0" w:rsidRDefault="003D5871" w:rsidP="00083A7D">
      <w:pPr>
        <w:keepNext/>
        <w:autoSpaceDE w:val="0"/>
        <w:autoSpaceDN w:val="0"/>
        <w:adjustRightInd w:val="0"/>
        <w:spacing w:line="440" w:lineRule="exact"/>
        <w:jc w:val="both"/>
        <w:rPr>
          <w:i/>
          <w:color w:val="000000"/>
        </w:rPr>
      </w:pPr>
      <w:r w:rsidRPr="00F552F0">
        <w:rPr>
          <w:i/>
          <w:color w:val="000000"/>
        </w:rPr>
        <w:t>2.3.5.</w:t>
      </w:r>
      <w:r w:rsidRPr="00F552F0">
        <w:rPr>
          <w:i/>
          <w:color w:val="000000"/>
        </w:rPr>
        <w:tab/>
        <w:t>Economy stability</w:t>
      </w:r>
    </w:p>
    <w:p w:rsidR="00E21501" w:rsidRPr="00F552F0" w:rsidRDefault="001A03FF">
      <w:pPr>
        <w:autoSpaceDE w:val="0"/>
        <w:autoSpaceDN w:val="0"/>
        <w:adjustRightInd w:val="0"/>
        <w:spacing w:line="440" w:lineRule="exact"/>
        <w:ind w:firstLine="720"/>
        <w:jc w:val="both"/>
        <w:rPr>
          <w:color w:val="000000"/>
          <w:sz w:val="22"/>
          <w:szCs w:val="22"/>
        </w:rPr>
      </w:pPr>
      <w:r w:rsidRPr="00F552F0">
        <w:rPr>
          <w:color w:val="000000"/>
          <w:sz w:val="22"/>
          <w:szCs w:val="22"/>
        </w:rPr>
        <w:t xml:space="preserve">A country’s banking system is plausibly a fundamental channel through which monetary variables affect its real economy. Consequently, macroeconomic stability may </w:t>
      </w:r>
      <w:r w:rsidRPr="00F552F0">
        <w:rPr>
          <w:sz w:val="22"/>
          <w:szCs w:val="22"/>
        </w:rPr>
        <w:t>correlate</w:t>
      </w:r>
      <w:r w:rsidRPr="00F552F0">
        <w:rPr>
          <w:color w:val="000000"/>
          <w:sz w:val="22"/>
          <w:szCs w:val="22"/>
        </w:rPr>
        <w:t xml:space="preserve"> with the health and governance of the banking system.</w:t>
      </w:r>
      <w:r w:rsidR="00CC770A" w:rsidRPr="00F552F0">
        <w:rPr>
          <w:color w:val="000000"/>
          <w:sz w:val="22"/>
          <w:szCs w:val="22"/>
        </w:rPr>
        <w:t xml:space="preserve"> </w:t>
      </w:r>
      <w:r w:rsidR="005B3E7C" w:rsidRPr="00F552F0">
        <w:rPr>
          <w:color w:val="000000"/>
          <w:sz w:val="22"/>
          <w:szCs w:val="22"/>
        </w:rPr>
        <w:t>B</w:t>
      </w:r>
      <w:r w:rsidR="00E5018F" w:rsidRPr="00F552F0">
        <w:rPr>
          <w:color w:val="000000"/>
          <w:sz w:val="22"/>
          <w:szCs w:val="22"/>
        </w:rPr>
        <w:t xml:space="preserve">anking systems that allocate capital less efficiently might be more </w:t>
      </w:r>
      <w:r w:rsidR="00E00D0A" w:rsidRPr="00F552F0">
        <w:rPr>
          <w:color w:val="000000"/>
          <w:sz w:val="22"/>
          <w:szCs w:val="22"/>
        </w:rPr>
        <w:t>prone to economic boom</w:t>
      </w:r>
      <w:r w:rsidR="00CB3CF2" w:rsidRPr="00F552F0">
        <w:rPr>
          <w:color w:val="000000"/>
          <w:sz w:val="22"/>
          <w:szCs w:val="22"/>
        </w:rPr>
        <w:t>s</w:t>
      </w:r>
      <w:r w:rsidR="00E00D0A" w:rsidRPr="00F552F0">
        <w:rPr>
          <w:color w:val="000000"/>
          <w:sz w:val="22"/>
          <w:szCs w:val="22"/>
        </w:rPr>
        <w:t xml:space="preserve"> and bust</w:t>
      </w:r>
      <w:r w:rsidR="00CB3CF2" w:rsidRPr="00F552F0">
        <w:rPr>
          <w:color w:val="000000"/>
          <w:sz w:val="22"/>
          <w:szCs w:val="22"/>
        </w:rPr>
        <w:t>s,</w:t>
      </w:r>
      <w:r w:rsidR="00E00D0A" w:rsidRPr="00F552F0">
        <w:rPr>
          <w:color w:val="000000"/>
          <w:sz w:val="22"/>
          <w:szCs w:val="22"/>
        </w:rPr>
        <w:t xml:space="preserve"> and tend to have </w:t>
      </w:r>
      <w:r w:rsidR="00CB3CF2" w:rsidRPr="00F552F0">
        <w:rPr>
          <w:color w:val="000000"/>
          <w:sz w:val="22"/>
          <w:szCs w:val="22"/>
        </w:rPr>
        <w:t xml:space="preserve">more </w:t>
      </w:r>
      <w:r w:rsidR="00E00D0A" w:rsidRPr="00F552F0">
        <w:rPr>
          <w:color w:val="000000"/>
          <w:sz w:val="22"/>
          <w:szCs w:val="22"/>
        </w:rPr>
        <w:t xml:space="preserve">exaggerated responses to these </w:t>
      </w:r>
      <w:r w:rsidR="00E5018F" w:rsidRPr="00F552F0">
        <w:rPr>
          <w:color w:val="000000"/>
          <w:sz w:val="22"/>
          <w:szCs w:val="22"/>
        </w:rPr>
        <w:t xml:space="preserve">shocks. This might magnify the effect of economic shocks on the overall economy. We gauge macroeconomic volatility by </w:t>
      </w:r>
      <w:r w:rsidR="00E5018F" w:rsidRPr="00F552F0">
        <w:rPr>
          <w:i/>
          <w:color w:val="000000"/>
          <w:sz w:val="22"/>
          <w:szCs w:val="22"/>
        </w:rPr>
        <w:t xml:space="preserve">growth </w:t>
      </w:r>
      <w:r w:rsidR="00E5018F" w:rsidRPr="00F552F0">
        <w:rPr>
          <w:color w:val="000000"/>
          <w:sz w:val="22"/>
          <w:szCs w:val="22"/>
        </w:rPr>
        <w:t>volatility</w:t>
      </w:r>
      <w:r w:rsidR="00967CBC" w:rsidRPr="00F552F0">
        <w:rPr>
          <w:color w:val="000000"/>
          <w:sz w:val="22"/>
          <w:szCs w:val="22"/>
        </w:rPr>
        <w:t>—</w:t>
      </w:r>
      <w:r w:rsidR="00E5018F" w:rsidRPr="00F552F0">
        <w:rPr>
          <w:color w:val="000000"/>
          <w:sz w:val="22"/>
          <w:szCs w:val="22"/>
        </w:rPr>
        <w:t>the standard deviation of log first differences in real per capita GDP for each country from the Penn World Tables</w:t>
      </w:r>
      <w:r w:rsidR="00C16AF6" w:rsidRPr="00F552F0">
        <w:rPr>
          <w:color w:val="000000"/>
          <w:sz w:val="22"/>
          <w:szCs w:val="22"/>
        </w:rPr>
        <w:t xml:space="preserve">, averaged </w:t>
      </w:r>
      <w:r w:rsidR="00E20FFA" w:rsidRPr="00F552F0">
        <w:rPr>
          <w:color w:val="000000"/>
          <w:sz w:val="22"/>
          <w:szCs w:val="22"/>
        </w:rPr>
        <w:t>from</w:t>
      </w:r>
      <w:r w:rsidR="00222215" w:rsidRPr="00F552F0">
        <w:rPr>
          <w:color w:val="000000"/>
          <w:sz w:val="22"/>
          <w:szCs w:val="22"/>
        </w:rPr>
        <w:t xml:space="preserve"> 1993</w:t>
      </w:r>
      <w:r w:rsidR="00C16AF6" w:rsidRPr="00F552F0">
        <w:rPr>
          <w:color w:val="000000"/>
          <w:sz w:val="22"/>
          <w:szCs w:val="22"/>
        </w:rPr>
        <w:t xml:space="preserve"> </w:t>
      </w:r>
      <w:r w:rsidR="00E20FFA" w:rsidRPr="00F552F0">
        <w:rPr>
          <w:color w:val="000000"/>
          <w:sz w:val="22"/>
          <w:szCs w:val="22"/>
        </w:rPr>
        <w:t>through</w:t>
      </w:r>
      <w:r w:rsidR="00C16AF6" w:rsidRPr="00F552F0">
        <w:rPr>
          <w:color w:val="000000"/>
          <w:sz w:val="22"/>
          <w:szCs w:val="22"/>
        </w:rPr>
        <w:t xml:space="preserve"> 2004</w:t>
      </w:r>
      <w:r w:rsidR="001F449F" w:rsidRPr="00F552F0">
        <w:rPr>
          <w:color w:val="000000"/>
          <w:sz w:val="22"/>
          <w:szCs w:val="22"/>
        </w:rPr>
        <w:t xml:space="preserve">. </w:t>
      </w:r>
    </w:p>
    <w:p w:rsidR="00E5018F" w:rsidRPr="00F552F0" w:rsidRDefault="00E5018F">
      <w:pPr>
        <w:autoSpaceDE w:val="0"/>
        <w:autoSpaceDN w:val="0"/>
        <w:adjustRightInd w:val="0"/>
        <w:spacing w:line="440" w:lineRule="exact"/>
        <w:jc w:val="both"/>
        <w:rPr>
          <w:color w:val="000000"/>
          <w:sz w:val="22"/>
          <w:szCs w:val="22"/>
        </w:rPr>
      </w:pPr>
    </w:p>
    <w:p w:rsidR="004C3644" w:rsidRPr="00F552F0" w:rsidRDefault="003D5871" w:rsidP="00EC52D6">
      <w:pPr>
        <w:keepNext/>
        <w:autoSpaceDE w:val="0"/>
        <w:autoSpaceDN w:val="0"/>
        <w:adjustRightInd w:val="0"/>
        <w:spacing w:line="440" w:lineRule="exact"/>
        <w:jc w:val="both"/>
        <w:rPr>
          <w:i/>
          <w:color w:val="000000"/>
          <w:sz w:val="28"/>
        </w:rPr>
      </w:pPr>
      <w:r w:rsidRPr="00F552F0">
        <w:rPr>
          <w:i/>
          <w:color w:val="000000"/>
          <w:sz w:val="28"/>
        </w:rPr>
        <w:t>2.4.</w:t>
      </w:r>
      <w:r w:rsidRPr="00F552F0">
        <w:rPr>
          <w:i/>
          <w:color w:val="000000"/>
          <w:sz w:val="28"/>
        </w:rPr>
        <w:tab/>
        <w:t xml:space="preserve">Economy performance </w:t>
      </w:r>
    </w:p>
    <w:p w:rsidR="00E21501" w:rsidRPr="00F552F0" w:rsidRDefault="00FB4B3D">
      <w:pPr>
        <w:autoSpaceDE w:val="0"/>
        <w:autoSpaceDN w:val="0"/>
        <w:adjustRightInd w:val="0"/>
        <w:spacing w:line="440" w:lineRule="exact"/>
        <w:ind w:firstLine="720"/>
        <w:jc w:val="both"/>
        <w:rPr>
          <w:color w:val="000000"/>
          <w:sz w:val="22"/>
          <w:szCs w:val="22"/>
        </w:rPr>
      </w:pPr>
      <w:r w:rsidRPr="00F552F0">
        <w:rPr>
          <w:color w:val="000000"/>
          <w:sz w:val="22"/>
          <w:szCs w:val="22"/>
        </w:rPr>
        <w:t>A country’s e</w:t>
      </w:r>
      <w:r w:rsidR="004C3644" w:rsidRPr="00F552F0">
        <w:rPr>
          <w:color w:val="000000"/>
          <w:sz w:val="22"/>
          <w:szCs w:val="22"/>
        </w:rPr>
        <w:t>conomic performance is commonly measured by growth in per capita income, productivity, or capital. These are important metrics, but economies can also be plausibly described as better-performing if they</w:t>
      </w:r>
      <w:r w:rsidR="004F0C8F" w:rsidRPr="00F552F0">
        <w:rPr>
          <w:color w:val="000000"/>
          <w:sz w:val="22"/>
          <w:szCs w:val="22"/>
        </w:rPr>
        <w:t xml:space="preserve"> provide more egalitarian incomes or opportunities. We therefore </w:t>
      </w:r>
      <w:r w:rsidR="00416AB0" w:rsidRPr="00F552F0">
        <w:rPr>
          <w:color w:val="000000"/>
          <w:sz w:val="22"/>
          <w:szCs w:val="22"/>
        </w:rPr>
        <w:t>consider</w:t>
      </w:r>
      <w:r w:rsidR="004F0C8F" w:rsidRPr="00F552F0">
        <w:rPr>
          <w:color w:val="000000"/>
          <w:sz w:val="22"/>
          <w:szCs w:val="22"/>
        </w:rPr>
        <w:t xml:space="preserve"> a constellation of economic growth measures augmented by measure</w:t>
      </w:r>
      <w:r w:rsidR="005B3E7C" w:rsidRPr="00F552F0">
        <w:rPr>
          <w:color w:val="000000"/>
          <w:sz w:val="22"/>
          <w:szCs w:val="22"/>
        </w:rPr>
        <w:t>s</w:t>
      </w:r>
      <w:r w:rsidR="00CC770A" w:rsidRPr="00F552F0">
        <w:rPr>
          <w:color w:val="000000"/>
          <w:sz w:val="22"/>
          <w:szCs w:val="22"/>
        </w:rPr>
        <w:t xml:space="preserve"> of equality indexes. </w:t>
      </w:r>
    </w:p>
    <w:p w:rsidR="004C3644" w:rsidRPr="00F552F0" w:rsidRDefault="004C3644">
      <w:pPr>
        <w:autoSpaceDE w:val="0"/>
        <w:autoSpaceDN w:val="0"/>
        <w:adjustRightInd w:val="0"/>
        <w:spacing w:line="440" w:lineRule="exact"/>
        <w:jc w:val="both"/>
        <w:rPr>
          <w:color w:val="000000"/>
        </w:rPr>
      </w:pPr>
    </w:p>
    <w:p w:rsidR="00416AB0" w:rsidRPr="00F552F0" w:rsidRDefault="003D5871" w:rsidP="00416AB0">
      <w:pPr>
        <w:autoSpaceDE w:val="0"/>
        <w:autoSpaceDN w:val="0"/>
        <w:adjustRightInd w:val="0"/>
        <w:spacing w:line="440" w:lineRule="exact"/>
        <w:jc w:val="both"/>
        <w:rPr>
          <w:i/>
          <w:color w:val="000000"/>
        </w:rPr>
      </w:pPr>
      <w:r w:rsidRPr="00F552F0">
        <w:rPr>
          <w:i/>
          <w:color w:val="000000"/>
        </w:rPr>
        <w:t>2.4.1.</w:t>
      </w:r>
      <w:r w:rsidRPr="00F552F0">
        <w:rPr>
          <w:i/>
          <w:color w:val="000000"/>
        </w:rPr>
        <w:tab/>
        <w:t>Econom</w:t>
      </w:r>
      <w:r w:rsidR="0076000B" w:rsidRPr="00F552F0">
        <w:rPr>
          <w:i/>
          <w:color w:val="000000"/>
        </w:rPr>
        <w:t>y</w:t>
      </w:r>
      <w:r w:rsidRPr="00F552F0">
        <w:rPr>
          <w:i/>
          <w:color w:val="000000"/>
        </w:rPr>
        <w:t xml:space="preserve"> growth</w:t>
      </w:r>
    </w:p>
    <w:p w:rsidR="00E21501" w:rsidRPr="00F552F0" w:rsidRDefault="004C3644">
      <w:pPr>
        <w:autoSpaceDE w:val="0"/>
        <w:autoSpaceDN w:val="0"/>
        <w:adjustRightInd w:val="0"/>
        <w:spacing w:line="440" w:lineRule="exact"/>
        <w:ind w:firstLine="720"/>
        <w:jc w:val="both"/>
        <w:rPr>
          <w:b/>
          <w:color w:val="000000"/>
        </w:rPr>
      </w:pPr>
      <w:r w:rsidRPr="00F552F0">
        <w:rPr>
          <w:color w:val="000000"/>
          <w:sz w:val="22"/>
          <w:szCs w:val="22"/>
        </w:rPr>
        <w:t>Our first set of performance measures capture</w:t>
      </w:r>
      <w:r w:rsidR="00E00D0A" w:rsidRPr="00F552F0">
        <w:rPr>
          <w:color w:val="000000"/>
          <w:sz w:val="22"/>
          <w:szCs w:val="22"/>
        </w:rPr>
        <w:t>s</w:t>
      </w:r>
      <w:r w:rsidRPr="00F552F0">
        <w:rPr>
          <w:color w:val="000000"/>
          <w:sz w:val="22"/>
          <w:szCs w:val="22"/>
        </w:rPr>
        <w:t xml:space="preserve"> the pace of economic growth</w:t>
      </w:r>
      <w:r w:rsidR="00ED036F" w:rsidRPr="00F552F0">
        <w:rPr>
          <w:color w:val="000000"/>
          <w:sz w:val="22"/>
          <w:szCs w:val="22"/>
        </w:rPr>
        <w:t xml:space="preserve">. </w:t>
      </w:r>
      <w:r w:rsidR="00CB3CF2" w:rsidRPr="00F552F0">
        <w:rPr>
          <w:color w:val="000000"/>
          <w:sz w:val="22"/>
          <w:szCs w:val="22"/>
        </w:rPr>
        <w:t>As in</w:t>
      </w:r>
      <w:r w:rsidR="00D93535" w:rsidRPr="00F552F0">
        <w:rPr>
          <w:color w:val="000000"/>
          <w:sz w:val="22"/>
          <w:szCs w:val="22"/>
        </w:rPr>
        <w:t xml:space="preserve"> Beck </w:t>
      </w:r>
      <w:r w:rsidR="003D5871" w:rsidRPr="00F552F0">
        <w:rPr>
          <w:color w:val="000000"/>
          <w:sz w:val="22"/>
          <w:szCs w:val="22"/>
        </w:rPr>
        <w:t>et al.</w:t>
      </w:r>
      <w:r w:rsidR="00D93535" w:rsidRPr="00F552F0">
        <w:rPr>
          <w:color w:val="000000"/>
          <w:sz w:val="22"/>
          <w:szCs w:val="22"/>
        </w:rPr>
        <w:t xml:space="preserve"> (2000), we use </w:t>
      </w:r>
      <w:r w:rsidR="00685BC6" w:rsidRPr="00F552F0">
        <w:rPr>
          <w:color w:val="000000"/>
          <w:sz w:val="22"/>
          <w:szCs w:val="22"/>
        </w:rPr>
        <w:t>Penn World Tables</w:t>
      </w:r>
      <w:r w:rsidR="00D93535" w:rsidRPr="00F552F0">
        <w:rPr>
          <w:color w:val="000000"/>
          <w:sz w:val="22"/>
          <w:szCs w:val="22"/>
        </w:rPr>
        <w:t xml:space="preserve"> data</w:t>
      </w:r>
      <w:r w:rsidR="00FD3B74" w:rsidRPr="00F552F0">
        <w:rPr>
          <w:color w:val="000000"/>
          <w:sz w:val="22"/>
          <w:szCs w:val="22"/>
        </w:rPr>
        <w:t xml:space="preserve"> (</w:t>
      </w:r>
      <w:r w:rsidR="00C16AF6" w:rsidRPr="00F552F0">
        <w:rPr>
          <w:color w:val="000000"/>
          <w:sz w:val="22"/>
          <w:szCs w:val="22"/>
        </w:rPr>
        <w:t>1993</w:t>
      </w:r>
      <w:r w:rsidR="00B002C1" w:rsidRPr="00F552F0">
        <w:rPr>
          <w:color w:val="000000"/>
          <w:sz w:val="22"/>
          <w:szCs w:val="22"/>
        </w:rPr>
        <w:t>–</w:t>
      </w:r>
      <w:r w:rsidR="00C16AF6" w:rsidRPr="00F552F0">
        <w:rPr>
          <w:color w:val="000000"/>
          <w:sz w:val="22"/>
          <w:szCs w:val="22"/>
        </w:rPr>
        <w:t>2004</w:t>
      </w:r>
      <w:r w:rsidR="00FD3B74" w:rsidRPr="00F552F0">
        <w:rPr>
          <w:color w:val="000000"/>
          <w:sz w:val="22"/>
          <w:szCs w:val="22"/>
        </w:rPr>
        <w:t>)</w:t>
      </w:r>
      <w:r w:rsidR="00D93535" w:rsidRPr="00F552F0">
        <w:rPr>
          <w:color w:val="000000"/>
          <w:sz w:val="22"/>
          <w:szCs w:val="22"/>
        </w:rPr>
        <w:t>, which</w:t>
      </w:r>
      <w:r w:rsidR="00115B63" w:rsidRPr="00F552F0">
        <w:rPr>
          <w:color w:val="000000"/>
          <w:sz w:val="22"/>
          <w:szCs w:val="22"/>
        </w:rPr>
        <w:t xml:space="preserve"> </w:t>
      </w:r>
      <w:r w:rsidR="00685BC6" w:rsidRPr="00F552F0">
        <w:rPr>
          <w:color w:val="000000"/>
          <w:sz w:val="22"/>
          <w:szCs w:val="22"/>
        </w:rPr>
        <w:t xml:space="preserve">allow us to decompose income growth </w:t>
      </w:r>
      <w:r w:rsidR="003870D5" w:rsidRPr="00F552F0">
        <w:rPr>
          <w:color w:val="000000"/>
          <w:sz w:val="22"/>
          <w:szCs w:val="22"/>
        </w:rPr>
        <w:t>in</w:t>
      </w:r>
      <w:r w:rsidR="00685BC6" w:rsidRPr="00F552F0">
        <w:rPr>
          <w:color w:val="000000"/>
          <w:sz w:val="22"/>
          <w:szCs w:val="22"/>
        </w:rPr>
        <w:t>to</w:t>
      </w:r>
      <w:r w:rsidR="003870D5" w:rsidRPr="00F552F0">
        <w:rPr>
          <w:color w:val="000000"/>
          <w:sz w:val="22"/>
          <w:szCs w:val="22"/>
        </w:rPr>
        <w:t xml:space="preserve"> </w:t>
      </w:r>
      <w:r w:rsidR="000E1C8C" w:rsidRPr="00F552F0">
        <w:rPr>
          <w:color w:val="000000"/>
          <w:sz w:val="22"/>
          <w:szCs w:val="22"/>
        </w:rPr>
        <w:t>productivity</w:t>
      </w:r>
      <w:r w:rsidR="003870D5" w:rsidRPr="00F552F0">
        <w:rPr>
          <w:color w:val="000000"/>
          <w:sz w:val="22"/>
          <w:szCs w:val="22"/>
        </w:rPr>
        <w:t xml:space="preserve"> </w:t>
      </w:r>
      <w:r w:rsidR="000E1C8C" w:rsidRPr="00F552F0">
        <w:rPr>
          <w:color w:val="000000"/>
          <w:sz w:val="22"/>
          <w:szCs w:val="22"/>
        </w:rPr>
        <w:t>growth and</w:t>
      </w:r>
      <w:r w:rsidR="00685BC6" w:rsidRPr="00F552F0">
        <w:rPr>
          <w:color w:val="000000"/>
          <w:sz w:val="22"/>
          <w:szCs w:val="22"/>
        </w:rPr>
        <w:t xml:space="preserve"> capital accumulation</w:t>
      </w:r>
      <w:r w:rsidR="00115B63" w:rsidRPr="00F552F0">
        <w:rPr>
          <w:color w:val="000000"/>
          <w:sz w:val="22"/>
          <w:szCs w:val="22"/>
        </w:rPr>
        <w:t xml:space="preserve"> growth</w:t>
      </w:r>
      <w:r w:rsidR="000E1C8C" w:rsidRPr="00F552F0">
        <w:rPr>
          <w:color w:val="000000"/>
          <w:sz w:val="22"/>
          <w:szCs w:val="22"/>
        </w:rPr>
        <w:t>.</w:t>
      </w:r>
      <w:r w:rsidR="003870D5" w:rsidRPr="00F552F0">
        <w:rPr>
          <w:color w:val="000000"/>
          <w:sz w:val="22"/>
          <w:szCs w:val="22"/>
        </w:rPr>
        <w:t xml:space="preserve"> </w:t>
      </w:r>
    </w:p>
    <w:p w:rsidR="003870D5" w:rsidRPr="00F552F0" w:rsidRDefault="00E44606">
      <w:pPr>
        <w:autoSpaceDE w:val="0"/>
        <w:autoSpaceDN w:val="0"/>
        <w:adjustRightInd w:val="0"/>
        <w:spacing w:line="440" w:lineRule="exact"/>
        <w:ind w:firstLine="720"/>
        <w:jc w:val="both"/>
        <w:rPr>
          <w:color w:val="000000"/>
          <w:sz w:val="22"/>
          <w:szCs w:val="22"/>
        </w:rPr>
      </w:pPr>
      <w:bookmarkStart w:id="5" w:name="OLE_LINK27"/>
      <w:bookmarkStart w:id="6" w:name="OLE_LINK28"/>
      <w:r w:rsidRPr="00F552F0">
        <w:rPr>
          <w:i/>
          <w:color w:val="000000"/>
          <w:sz w:val="22"/>
          <w:szCs w:val="22"/>
        </w:rPr>
        <w:t xml:space="preserve">Income </w:t>
      </w:r>
      <w:bookmarkEnd w:id="5"/>
      <w:bookmarkEnd w:id="6"/>
      <w:r w:rsidR="003870D5" w:rsidRPr="00F552F0">
        <w:rPr>
          <w:i/>
          <w:color w:val="000000"/>
          <w:sz w:val="22"/>
          <w:szCs w:val="22"/>
        </w:rPr>
        <w:t xml:space="preserve">growth </w:t>
      </w:r>
      <w:r w:rsidR="004C3644" w:rsidRPr="00F552F0">
        <w:rPr>
          <w:color w:val="000000"/>
          <w:sz w:val="22"/>
          <w:szCs w:val="22"/>
        </w:rPr>
        <w:t>is</w:t>
      </w:r>
      <w:r w:rsidR="00D93535" w:rsidRPr="00F552F0">
        <w:rPr>
          <w:color w:val="000000"/>
          <w:sz w:val="22"/>
          <w:szCs w:val="22"/>
        </w:rPr>
        <w:t xml:space="preserve"> </w:t>
      </w:r>
      <w:r w:rsidR="004C3644" w:rsidRPr="00F552F0">
        <w:rPr>
          <w:color w:val="000000"/>
          <w:sz w:val="22"/>
          <w:szCs w:val="22"/>
        </w:rPr>
        <w:t xml:space="preserve">the arithmetic mean of </w:t>
      </w:r>
      <w:r w:rsidR="00CB3CF2" w:rsidRPr="00F552F0">
        <w:rPr>
          <w:color w:val="000000"/>
          <w:sz w:val="22"/>
          <w:szCs w:val="22"/>
        </w:rPr>
        <w:t xml:space="preserve">year-to-year </w:t>
      </w:r>
      <w:r w:rsidR="004C3644" w:rsidRPr="00F552F0">
        <w:rPr>
          <w:color w:val="000000"/>
          <w:sz w:val="22"/>
          <w:szCs w:val="22"/>
        </w:rPr>
        <w:t>log differences in pe</w:t>
      </w:r>
      <w:r w:rsidR="00CC770A" w:rsidRPr="00F552F0">
        <w:rPr>
          <w:color w:val="000000"/>
          <w:sz w:val="22"/>
          <w:szCs w:val="22"/>
        </w:rPr>
        <w:t xml:space="preserve">r capita GDP for each country. </w:t>
      </w:r>
      <w:r w:rsidR="004C3644" w:rsidRPr="00F552F0">
        <w:rPr>
          <w:color w:val="000000"/>
          <w:sz w:val="22"/>
          <w:szCs w:val="22"/>
        </w:rPr>
        <w:t xml:space="preserve">This is obtained by </w:t>
      </w:r>
      <w:proofErr w:type="gramStart"/>
      <w:r w:rsidR="004C3644" w:rsidRPr="00F552F0">
        <w:rPr>
          <w:color w:val="000000"/>
          <w:sz w:val="22"/>
          <w:szCs w:val="22"/>
        </w:rPr>
        <w:t>regressing</w:t>
      </w:r>
      <w:proofErr w:type="gramEnd"/>
      <w:r w:rsidR="004C3644" w:rsidRPr="00F552F0">
        <w:rPr>
          <w:color w:val="000000"/>
          <w:sz w:val="22"/>
          <w:szCs w:val="22"/>
        </w:rPr>
        <w:t xml:space="preserve"> </w:t>
      </w:r>
      <w:r w:rsidR="003870D5" w:rsidRPr="00F552F0">
        <w:rPr>
          <w:color w:val="000000"/>
          <w:sz w:val="22"/>
          <w:szCs w:val="22"/>
        </w:rPr>
        <w:t xml:space="preserve">each </w:t>
      </w:r>
      <w:r w:rsidR="004C3644" w:rsidRPr="00F552F0">
        <w:rPr>
          <w:color w:val="000000"/>
          <w:sz w:val="22"/>
          <w:szCs w:val="22"/>
        </w:rPr>
        <w:t xml:space="preserve">country’s log real per capita GDP on a constant and a time trend, and taking the time trend as its </w:t>
      </w:r>
      <w:r w:rsidRPr="00F552F0">
        <w:rPr>
          <w:color w:val="000000"/>
          <w:sz w:val="22"/>
          <w:szCs w:val="22"/>
        </w:rPr>
        <w:t>income</w:t>
      </w:r>
      <w:r w:rsidR="004C3644" w:rsidRPr="00F552F0">
        <w:rPr>
          <w:color w:val="000000"/>
          <w:sz w:val="22"/>
          <w:szCs w:val="22"/>
        </w:rPr>
        <w:t xml:space="preserve"> growth rate.</w:t>
      </w:r>
      <w:r w:rsidR="00CC770A" w:rsidRPr="00F552F0">
        <w:rPr>
          <w:color w:val="000000"/>
          <w:sz w:val="22"/>
          <w:szCs w:val="22"/>
        </w:rPr>
        <w:t xml:space="preserve">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i/>
          <w:color w:val="000000"/>
          <w:sz w:val="22"/>
          <w:szCs w:val="22"/>
        </w:rPr>
        <w:lastRenderedPageBreak/>
        <w:t>TFP growth</w:t>
      </w:r>
      <w:r w:rsidRPr="00F552F0">
        <w:rPr>
          <w:color w:val="000000"/>
          <w:sz w:val="22"/>
          <w:szCs w:val="22"/>
        </w:rPr>
        <w:t xml:space="preserve"> is the economy’s total factor productivity (TFP) growth rate: the growth rate in the value of the outputs it can generate from in</w:t>
      </w:r>
      <w:r w:rsidR="00CC770A" w:rsidRPr="00F552F0">
        <w:rPr>
          <w:color w:val="000000"/>
          <w:sz w:val="22"/>
          <w:szCs w:val="22"/>
        </w:rPr>
        <w:t xml:space="preserve">puts of a fixed value. </w:t>
      </w:r>
      <w:r w:rsidRPr="00F552F0">
        <w:rPr>
          <w:color w:val="000000"/>
          <w:sz w:val="22"/>
          <w:szCs w:val="22"/>
        </w:rPr>
        <w:t>To estimate this, we assume output in each economy obeys the aggregate production function</w:t>
      </w:r>
      <w:r w:rsidR="00B002C1" w:rsidRPr="00F552F0">
        <w:rPr>
          <w:color w:val="000000"/>
          <w:sz w:val="22"/>
          <w:szCs w:val="22"/>
        </w:rPr>
        <w:t>,</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5C610D">
      <w:pPr>
        <w:autoSpaceDE w:val="0"/>
        <w:autoSpaceDN w:val="0"/>
        <w:adjustRightInd w:val="0"/>
        <w:spacing w:line="440" w:lineRule="exact"/>
        <w:jc w:val="both"/>
        <w:rPr>
          <w:color w:val="000000"/>
          <w:sz w:val="22"/>
          <w:szCs w:val="22"/>
        </w:rPr>
      </w:pPr>
      <w:r w:rsidRPr="00F552F0">
        <w:rPr>
          <w:color w:val="000000"/>
          <w:position w:val="-12"/>
          <w:sz w:val="22"/>
          <w:szCs w:val="22"/>
        </w:rPr>
        <w:object w:dxaOrig="8960" w:dyaOrig="380">
          <v:shape id="_x0000_i1029" type="#_x0000_t75" style="width:450pt;height:18.7pt" o:ole="">
            <v:imagedata r:id="rId18" o:title=""/>
          </v:shape>
          <o:OLEObject Type="Embed" ProgID="DSEquations" ShapeID="_x0000_i1029" DrawAspect="Content" ObjectID="_1428737177" r:id="rId19"/>
        </w:object>
      </w:r>
      <w:r w:rsidR="004C3644" w:rsidRPr="00F552F0">
        <w:rPr>
          <w:color w:val="000000"/>
          <w:sz w:val="22"/>
          <w:szCs w:val="22"/>
        </w:rPr>
        <w:t xml:space="preserve"> </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jc w:val="both"/>
        <w:rPr>
          <w:color w:val="000000"/>
          <w:sz w:val="22"/>
          <w:szCs w:val="22"/>
        </w:rPr>
      </w:pPr>
      <w:proofErr w:type="gramStart"/>
      <w:r w:rsidRPr="00F552F0">
        <w:rPr>
          <w:color w:val="000000"/>
          <w:sz w:val="22"/>
          <w:szCs w:val="22"/>
        </w:rPr>
        <w:t>with</w:t>
      </w:r>
      <w:proofErr w:type="gramEnd"/>
      <w:r w:rsidRPr="00F552F0">
        <w:rPr>
          <w:color w:val="000000"/>
          <w:sz w:val="22"/>
          <w:szCs w:val="22"/>
        </w:rPr>
        <w:t xml:space="preserve"> </w:t>
      </w:r>
      <w:proofErr w:type="spellStart"/>
      <w:r w:rsidRPr="00F552F0">
        <w:rPr>
          <w:i/>
          <w:color w:val="000000"/>
          <w:sz w:val="22"/>
          <w:szCs w:val="22"/>
        </w:rPr>
        <w:t>Y</w:t>
      </w:r>
      <w:r w:rsidRPr="00F552F0">
        <w:rPr>
          <w:i/>
          <w:color w:val="000000"/>
          <w:sz w:val="22"/>
          <w:szCs w:val="22"/>
          <w:vertAlign w:val="subscript"/>
        </w:rPr>
        <w:t>t</w:t>
      </w:r>
      <w:proofErr w:type="spellEnd"/>
      <w:r w:rsidRPr="00F552F0">
        <w:rPr>
          <w:color w:val="000000"/>
          <w:sz w:val="22"/>
          <w:szCs w:val="22"/>
        </w:rPr>
        <w:t xml:space="preserve">, </w:t>
      </w:r>
      <w:proofErr w:type="spellStart"/>
      <w:r w:rsidRPr="00F552F0">
        <w:rPr>
          <w:i/>
          <w:color w:val="000000"/>
          <w:sz w:val="22"/>
          <w:szCs w:val="22"/>
        </w:rPr>
        <w:t>K</w:t>
      </w:r>
      <w:r w:rsidRPr="00F552F0">
        <w:rPr>
          <w:i/>
          <w:color w:val="000000"/>
          <w:sz w:val="22"/>
          <w:szCs w:val="22"/>
          <w:vertAlign w:val="subscript"/>
        </w:rPr>
        <w:t>t</w:t>
      </w:r>
      <w:proofErr w:type="spellEnd"/>
      <w:r w:rsidRPr="00F552F0">
        <w:rPr>
          <w:color w:val="000000"/>
          <w:sz w:val="22"/>
          <w:szCs w:val="22"/>
        </w:rPr>
        <w:t xml:space="preserve">, and </w:t>
      </w:r>
      <w:r w:rsidRPr="00F552F0">
        <w:rPr>
          <w:i/>
          <w:color w:val="000000"/>
          <w:sz w:val="22"/>
          <w:szCs w:val="22"/>
        </w:rPr>
        <w:t>L</w:t>
      </w:r>
      <w:r w:rsidRPr="00F552F0">
        <w:rPr>
          <w:i/>
          <w:color w:val="000000"/>
          <w:sz w:val="22"/>
          <w:szCs w:val="22"/>
          <w:vertAlign w:val="subscript"/>
        </w:rPr>
        <w:t>t</w:t>
      </w:r>
      <w:r w:rsidRPr="00F552F0">
        <w:rPr>
          <w:color w:val="000000"/>
          <w:sz w:val="22"/>
          <w:szCs w:val="22"/>
        </w:rPr>
        <w:t xml:space="preserve"> </w:t>
      </w:r>
      <w:r w:rsidR="00416AB0" w:rsidRPr="00F552F0">
        <w:rPr>
          <w:color w:val="000000"/>
          <w:sz w:val="22"/>
          <w:szCs w:val="22"/>
        </w:rPr>
        <w:t xml:space="preserve">designating </w:t>
      </w:r>
      <w:r w:rsidRPr="00F552F0">
        <w:rPr>
          <w:color w:val="000000"/>
          <w:sz w:val="22"/>
          <w:szCs w:val="22"/>
        </w:rPr>
        <w:t>its GDP, capital stock, and labor force, respectively</w:t>
      </w:r>
      <w:r w:rsidR="00CB3CF2" w:rsidRPr="00F552F0">
        <w:rPr>
          <w:color w:val="000000"/>
          <w:sz w:val="22"/>
          <w:szCs w:val="22"/>
        </w:rPr>
        <w:t>,</w:t>
      </w:r>
      <w:r w:rsidRPr="00F552F0">
        <w:rPr>
          <w:color w:val="000000"/>
          <w:sz w:val="22"/>
          <w:szCs w:val="22"/>
        </w:rPr>
        <w:t xml:space="preserve"> at time </w:t>
      </w:r>
      <w:r w:rsidRPr="00F552F0">
        <w:rPr>
          <w:i/>
          <w:color w:val="000000"/>
          <w:sz w:val="22"/>
          <w:szCs w:val="22"/>
        </w:rPr>
        <w:t>t</w:t>
      </w:r>
      <w:r w:rsidRPr="00F552F0">
        <w:rPr>
          <w:color w:val="000000"/>
          <w:sz w:val="22"/>
          <w:szCs w:val="22"/>
        </w:rPr>
        <w:t xml:space="preserve">; and with the capital share, </w:t>
      </w:r>
      <w:r w:rsidR="00BF6193" w:rsidRPr="00F552F0">
        <w:rPr>
          <w:i/>
          <w:color w:val="000000"/>
          <w:sz w:val="22"/>
          <w:szCs w:val="22"/>
        </w:rPr>
        <w:t>α</w:t>
      </w:r>
      <w:r w:rsidRPr="00F552F0">
        <w:rPr>
          <w:color w:val="000000"/>
          <w:sz w:val="22"/>
          <w:szCs w:val="22"/>
        </w:rPr>
        <w:t>, assumed to be 30% for all countries</w:t>
      </w:r>
      <w:r w:rsidR="000629A4" w:rsidRPr="00F552F0">
        <w:rPr>
          <w:color w:val="000000"/>
          <w:sz w:val="22"/>
          <w:szCs w:val="22"/>
        </w:rPr>
        <w:t xml:space="preserve"> (Beck </w:t>
      </w:r>
      <w:r w:rsidR="000629A4" w:rsidRPr="00F552F0">
        <w:rPr>
          <w:i/>
          <w:color w:val="000000"/>
          <w:sz w:val="22"/>
          <w:szCs w:val="22"/>
        </w:rPr>
        <w:t>et al</w:t>
      </w:r>
      <w:r w:rsidR="000629A4" w:rsidRPr="00F552F0">
        <w:rPr>
          <w:color w:val="000000"/>
          <w:sz w:val="22"/>
          <w:szCs w:val="22"/>
        </w:rPr>
        <w:t>.</w:t>
      </w:r>
      <w:r w:rsidR="002C144B" w:rsidRPr="00F552F0">
        <w:rPr>
          <w:color w:val="000000"/>
          <w:sz w:val="22"/>
          <w:szCs w:val="22"/>
        </w:rPr>
        <w:t>,</w:t>
      </w:r>
      <w:r w:rsidR="000629A4" w:rsidRPr="00F552F0">
        <w:rPr>
          <w:color w:val="000000"/>
          <w:sz w:val="22"/>
          <w:szCs w:val="22"/>
        </w:rPr>
        <w:t xml:space="preserve"> 2000)</w:t>
      </w:r>
      <w:r w:rsidRPr="00F552F0">
        <w:rPr>
          <w:color w:val="000000"/>
          <w:sz w:val="22"/>
          <w:szCs w:val="22"/>
        </w:rPr>
        <w:t xml:space="preserve">. </w:t>
      </w:r>
      <w:r w:rsidR="00ED036F" w:rsidRPr="00F552F0">
        <w:rPr>
          <w:color w:val="000000"/>
          <w:sz w:val="22"/>
          <w:szCs w:val="22"/>
        </w:rPr>
        <w:t>U</w:t>
      </w:r>
      <w:r w:rsidRPr="00F552F0">
        <w:rPr>
          <w:color w:val="000000"/>
          <w:sz w:val="22"/>
          <w:szCs w:val="22"/>
        </w:rPr>
        <w:t xml:space="preserve">sing logarithms of first differences in time, we estimate the rate of change in </w:t>
      </w:r>
      <w:r w:rsidRPr="00F552F0">
        <w:rPr>
          <w:i/>
          <w:color w:val="000000"/>
          <w:sz w:val="22"/>
          <w:szCs w:val="22"/>
        </w:rPr>
        <w:t>A</w:t>
      </w:r>
      <w:r w:rsidRPr="00F552F0">
        <w:rPr>
          <w:color w:val="000000"/>
          <w:sz w:val="22"/>
          <w:szCs w:val="22"/>
        </w:rPr>
        <w:t xml:space="preserve"> for each country and interpret this as its TFP growth rate.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i/>
          <w:color w:val="000000"/>
          <w:sz w:val="22"/>
          <w:szCs w:val="22"/>
        </w:rPr>
        <w:t>Capital accumulation</w:t>
      </w:r>
      <w:r w:rsidR="004523CF" w:rsidRPr="00F552F0">
        <w:rPr>
          <w:color w:val="000000"/>
          <w:sz w:val="22"/>
          <w:szCs w:val="22"/>
        </w:rPr>
        <w:t xml:space="preserve"> </w:t>
      </w:r>
      <w:r w:rsidRPr="00F552F0">
        <w:rPr>
          <w:color w:val="000000"/>
          <w:sz w:val="22"/>
          <w:szCs w:val="22"/>
        </w:rPr>
        <w:t>is the rate at which the economy’s aggregate stock of capi</w:t>
      </w:r>
      <w:r w:rsidR="00CC770A" w:rsidRPr="00F552F0">
        <w:rPr>
          <w:color w:val="000000"/>
          <w:sz w:val="22"/>
          <w:szCs w:val="22"/>
        </w:rPr>
        <w:t xml:space="preserve">tal assets grows through time. </w:t>
      </w:r>
      <w:r w:rsidRPr="00F552F0">
        <w:rPr>
          <w:color w:val="000000"/>
          <w:sz w:val="22"/>
          <w:szCs w:val="22"/>
        </w:rPr>
        <w:t xml:space="preserve">To estimate this, we assume </w:t>
      </w:r>
      <w:proofErr w:type="spellStart"/>
      <w:r w:rsidRPr="00F552F0">
        <w:rPr>
          <w:color w:val="000000"/>
          <w:sz w:val="22"/>
          <w:szCs w:val="22"/>
        </w:rPr>
        <w:t>its</w:t>
      </w:r>
      <w:proofErr w:type="spellEnd"/>
      <w:r w:rsidRPr="00F552F0">
        <w:rPr>
          <w:color w:val="000000"/>
          <w:sz w:val="22"/>
          <w:szCs w:val="22"/>
        </w:rPr>
        <w:t xml:space="preserve"> real capital stock at time </w:t>
      </w:r>
      <w:r w:rsidRPr="00F552F0">
        <w:rPr>
          <w:i/>
          <w:color w:val="000000"/>
          <w:sz w:val="22"/>
          <w:szCs w:val="22"/>
        </w:rPr>
        <w:t>t</w:t>
      </w:r>
      <w:r w:rsidRPr="00F552F0">
        <w:rPr>
          <w:color w:val="000000"/>
          <w:sz w:val="22"/>
          <w:szCs w:val="22"/>
        </w:rPr>
        <w:t xml:space="preserve">, denoted </w:t>
      </w:r>
      <w:r w:rsidRPr="00F552F0">
        <w:rPr>
          <w:i/>
          <w:color w:val="000000"/>
          <w:sz w:val="22"/>
          <w:szCs w:val="22"/>
        </w:rPr>
        <w:t>K</w:t>
      </w:r>
      <w:r w:rsidRPr="00F552F0">
        <w:rPr>
          <w:i/>
          <w:color w:val="000000"/>
          <w:sz w:val="22"/>
          <w:szCs w:val="22"/>
          <w:vertAlign w:val="subscript"/>
        </w:rPr>
        <w:t>t</w:t>
      </w:r>
      <w:r w:rsidRPr="00F552F0">
        <w:rPr>
          <w:color w:val="000000"/>
          <w:sz w:val="22"/>
          <w:szCs w:val="22"/>
        </w:rPr>
        <w:t>, is its previous year’s capital stock</w:t>
      </w:r>
      <w:r w:rsidR="00416AB0" w:rsidRPr="00F552F0">
        <w:rPr>
          <w:color w:val="000000"/>
          <w:sz w:val="22"/>
          <w:szCs w:val="22"/>
        </w:rPr>
        <w:t xml:space="preserve"> adjusted</w:t>
      </w:r>
      <w:r w:rsidRPr="00F552F0">
        <w:rPr>
          <w:color w:val="000000"/>
          <w:sz w:val="22"/>
          <w:szCs w:val="22"/>
        </w:rPr>
        <w:t xml:space="preserve"> for depreciation</w:t>
      </w:r>
      <w:r w:rsidR="00FB3043" w:rsidRPr="00F552F0">
        <w:rPr>
          <w:color w:val="000000"/>
          <w:sz w:val="22"/>
          <w:szCs w:val="22"/>
        </w:rPr>
        <w:t xml:space="preserve"> </w:t>
      </w:r>
      <w:r w:rsidRPr="00F552F0">
        <w:rPr>
          <w:color w:val="000000"/>
          <w:sz w:val="22"/>
          <w:szCs w:val="22"/>
        </w:rPr>
        <w:t xml:space="preserve">at </w:t>
      </w:r>
      <w:r w:rsidR="00416AB0" w:rsidRPr="00F552F0">
        <w:rPr>
          <w:color w:val="000000"/>
          <w:sz w:val="22"/>
          <w:szCs w:val="22"/>
        </w:rPr>
        <w:t xml:space="preserve">a </w:t>
      </w:r>
      <w:r w:rsidRPr="00F552F0">
        <w:rPr>
          <w:color w:val="000000"/>
          <w:sz w:val="22"/>
          <w:szCs w:val="22"/>
        </w:rPr>
        <w:t xml:space="preserve">rate </w:t>
      </w:r>
      <w:r w:rsidRPr="00F552F0">
        <w:rPr>
          <w:i/>
          <w:color w:val="000000"/>
          <w:sz w:val="22"/>
          <w:szCs w:val="22"/>
        </w:rPr>
        <w:t>δ</w:t>
      </w:r>
      <w:r w:rsidR="00416AB0" w:rsidRPr="00F552F0">
        <w:rPr>
          <w:color w:val="000000"/>
          <w:sz w:val="22"/>
          <w:szCs w:val="22"/>
        </w:rPr>
        <w:t xml:space="preserve"> and for</w:t>
      </w:r>
      <w:r w:rsidRPr="00F552F0">
        <w:rPr>
          <w:color w:val="000000"/>
          <w:sz w:val="22"/>
          <w:szCs w:val="22"/>
        </w:rPr>
        <w:t xml:space="preserve"> new capital investment, </w:t>
      </w:r>
      <w:r w:rsidRPr="00F552F0">
        <w:rPr>
          <w:i/>
          <w:color w:val="000000"/>
          <w:sz w:val="22"/>
          <w:szCs w:val="22"/>
        </w:rPr>
        <w:t>I</w:t>
      </w:r>
      <w:r w:rsidRPr="00F552F0">
        <w:rPr>
          <w:i/>
          <w:color w:val="000000"/>
          <w:sz w:val="22"/>
          <w:szCs w:val="22"/>
          <w:vertAlign w:val="subscript"/>
        </w:rPr>
        <w:t>t</w:t>
      </w:r>
      <w:r w:rsidR="00CC770A" w:rsidRPr="00F552F0">
        <w:rPr>
          <w:color w:val="000000"/>
          <w:sz w:val="22"/>
          <w:szCs w:val="22"/>
        </w:rPr>
        <w:t xml:space="preserve">. </w:t>
      </w:r>
      <w:r w:rsidRPr="00F552F0">
        <w:rPr>
          <w:color w:val="000000"/>
          <w:sz w:val="22"/>
          <w:szCs w:val="22"/>
        </w:rPr>
        <w:t xml:space="preserve">That is, </w:t>
      </w:r>
    </w:p>
    <w:p w:rsidR="004C3644" w:rsidRPr="00F552F0" w:rsidRDefault="004C3644">
      <w:pPr>
        <w:autoSpaceDE w:val="0"/>
        <w:autoSpaceDN w:val="0"/>
        <w:adjustRightInd w:val="0"/>
        <w:spacing w:line="440" w:lineRule="exact"/>
        <w:jc w:val="both"/>
        <w:rPr>
          <w:color w:val="000000"/>
          <w:sz w:val="22"/>
          <w:szCs w:val="22"/>
        </w:rPr>
      </w:pPr>
      <w:r w:rsidRPr="00F552F0">
        <w:rPr>
          <w:color w:val="000000"/>
          <w:sz w:val="22"/>
          <w:szCs w:val="22"/>
        </w:rPr>
        <w:tab/>
        <w:t xml:space="preserve"> </w:t>
      </w:r>
      <w:r w:rsidR="005C610D" w:rsidRPr="00F552F0">
        <w:rPr>
          <w:color w:val="000000"/>
          <w:position w:val="-12"/>
          <w:sz w:val="22"/>
          <w:szCs w:val="22"/>
        </w:rPr>
        <w:object w:dxaOrig="8919" w:dyaOrig="360">
          <v:shape id="_x0000_i1030" type="#_x0000_t75" style="width:444.45pt;height:18pt" o:ole="">
            <v:imagedata r:id="rId20" o:title=""/>
          </v:shape>
          <o:OLEObject Type="Embed" ProgID="DSEquations" ShapeID="_x0000_i1030" DrawAspect="Content" ObjectID="_1428737178" r:id="rId21"/>
        </w:object>
      </w:r>
    </w:p>
    <w:p w:rsidR="004C3644" w:rsidRPr="00F552F0" w:rsidRDefault="004C3644">
      <w:pPr>
        <w:autoSpaceDE w:val="0"/>
        <w:autoSpaceDN w:val="0"/>
        <w:adjustRightInd w:val="0"/>
        <w:spacing w:line="440" w:lineRule="exact"/>
        <w:ind w:firstLine="720"/>
        <w:jc w:val="both"/>
        <w:rPr>
          <w:color w:val="000000"/>
          <w:sz w:val="22"/>
          <w:szCs w:val="22"/>
        </w:rPr>
      </w:pPr>
    </w:p>
    <w:p w:rsidR="001930C3" w:rsidRPr="00F552F0" w:rsidRDefault="004C3644" w:rsidP="001930C3">
      <w:pPr>
        <w:autoSpaceDE w:val="0"/>
        <w:autoSpaceDN w:val="0"/>
        <w:adjustRightInd w:val="0"/>
        <w:spacing w:line="440" w:lineRule="exact"/>
        <w:ind w:firstLine="720"/>
        <w:jc w:val="both"/>
        <w:rPr>
          <w:color w:val="000000"/>
          <w:sz w:val="22"/>
          <w:szCs w:val="22"/>
        </w:rPr>
      </w:pPr>
      <w:r w:rsidRPr="00F552F0">
        <w:rPr>
          <w:color w:val="000000"/>
          <w:sz w:val="22"/>
          <w:szCs w:val="22"/>
        </w:rPr>
        <w:t xml:space="preserve">We assume all capital to depreciate at </w:t>
      </w:r>
      <w:r w:rsidR="00B002C1" w:rsidRPr="00F552F0">
        <w:rPr>
          <w:color w:val="000000"/>
          <w:sz w:val="22"/>
          <w:szCs w:val="22"/>
        </w:rPr>
        <w:t>7%</w:t>
      </w:r>
      <w:r w:rsidRPr="00F552F0">
        <w:rPr>
          <w:color w:val="000000"/>
          <w:sz w:val="22"/>
          <w:szCs w:val="22"/>
        </w:rPr>
        <w:t xml:space="preserve"> per year, and assume 1964 capital stocks as starting points</w:t>
      </w:r>
      <w:r w:rsidR="000629A4" w:rsidRPr="00F552F0">
        <w:rPr>
          <w:color w:val="000000"/>
          <w:sz w:val="22"/>
          <w:szCs w:val="22"/>
        </w:rPr>
        <w:t xml:space="preserve"> (Beck </w:t>
      </w:r>
      <w:r w:rsidR="000629A4" w:rsidRPr="00F552F0">
        <w:rPr>
          <w:i/>
          <w:color w:val="000000"/>
          <w:sz w:val="22"/>
          <w:szCs w:val="22"/>
        </w:rPr>
        <w:t>et al.</w:t>
      </w:r>
      <w:r w:rsidR="002C144B" w:rsidRPr="00F552F0">
        <w:rPr>
          <w:i/>
          <w:color w:val="000000"/>
          <w:sz w:val="22"/>
          <w:szCs w:val="22"/>
        </w:rPr>
        <w:t>,</w:t>
      </w:r>
      <w:r w:rsidR="000629A4" w:rsidRPr="00F552F0">
        <w:rPr>
          <w:color w:val="000000"/>
          <w:sz w:val="22"/>
          <w:szCs w:val="22"/>
        </w:rPr>
        <w:t xml:space="preserve"> 2000)</w:t>
      </w:r>
      <w:r w:rsidR="008D7150" w:rsidRPr="00F552F0">
        <w:rPr>
          <w:color w:val="000000"/>
          <w:sz w:val="22"/>
          <w:szCs w:val="22"/>
        </w:rPr>
        <w:t xml:space="preserve">. We then apply </w:t>
      </w:r>
      <w:r w:rsidR="00B002C1" w:rsidRPr="00F552F0">
        <w:rPr>
          <w:color w:val="000000"/>
          <w:sz w:val="22"/>
          <w:szCs w:val="22"/>
        </w:rPr>
        <w:t>(</w:t>
      </w:r>
      <w:r w:rsidR="008D7150" w:rsidRPr="00F552F0">
        <w:rPr>
          <w:color w:val="000000"/>
          <w:sz w:val="22"/>
          <w:szCs w:val="22"/>
        </w:rPr>
        <w:t>5</w:t>
      </w:r>
      <w:r w:rsidR="00B002C1" w:rsidRPr="00F552F0">
        <w:rPr>
          <w:color w:val="000000"/>
          <w:sz w:val="22"/>
          <w:szCs w:val="22"/>
        </w:rPr>
        <w:t>)</w:t>
      </w:r>
      <w:r w:rsidRPr="00F552F0">
        <w:rPr>
          <w:color w:val="000000"/>
          <w:sz w:val="22"/>
          <w:szCs w:val="22"/>
        </w:rPr>
        <w:t xml:space="preserve"> </w:t>
      </w:r>
      <w:r w:rsidR="00416AB0" w:rsidRPr="00F552F0">
        <w:rPr>
          <w:color w:val="000000"/>
          <w:sz w:val="22"/>
          <w:szCs w:val="22"/>
        </w:rPr>
        <w:t>recursively</w:t>
      </w:r>
      <w:r w:rsidRPr="00F552F0">
        <w:rPr>
          <w:color w:val="000000"/>
          <w:sz w:val="22"/>
          <w:szCs w:val="22"/>
        </w:rPr>
        <w:t xml:space="preserve"> to generate subsequent years’ capital stocks moving forward</w:t>
      </w:r>
      <w:r w:rsidR="000629A4" w:rsidRPr="00F552F0">
        <w:rPr>
          <w:color w:val="000000"/>
          <w:sz w:val="22"/>
          <w:szCs w:val="22"/>
        </w:rPr>
        <w:t>.</w:t>
      </w:r>
      <w:r w:rsidRPr="00F552F0">
        <w:rPr>
          <w:color w:val="000000"/>
          <w:sz w:val="22"/>
          <w:szCs w:val="22"/>
        </w:rPr>
        <w:t xml:space="preserve"> </w:t>
      </w:r>
    </w:p>
    <w:p w:rsidR="003E451E" w:rsidRPr="00F552F0" w:rsidRDefault="003E451E" w:rsidP="00123DCE">
      <w:pPr>
        <w:autoSpaceDE w:val="0"/>
        <w:autoSpaceDN w:val="0"/>
        <w:adjustRightInd w:val="0"/>
        <w:spacing w:line="440" w:lineRule="exact"/>
        <w:jc w:val="both"/>
        <w:rPr>
          <w:color w:val="000000"/>
          <w:sz w:val="22"/>
          <w:szCs w:val="22"/>
        </w:rPr>
      </w:pPr>
    </w:p>
    <w:p w:rsidR="004C3644" w:rsidRPr="00F552F0" w:rsidRDefault="003D5871" w:rsidP="00123DCE">
      <w:pPr>
        <w:autoSpaceDE w:val="0"/>
        <w:autoSpaceDN w:val="0"/>
        <w:adjustRightInd w:val="0"/>
        <w:spacing w:line="440" w:lineRule="exact"/>
        <w:jc w:val="both"/>
        <w:rPr>
          <w:i/>
          <w:color w:val="000000"/>
        </w:rPr>
      </w:pPr>
      <w:r w:rsidRPr="00F552F0">
        <w:rPr>
          <w:i/>
          <w:color w:val="000000"/>
        </w:rPr>
        <w:t>2.4.2.</w:t>
      </w:r>
      <w:r w:rsidRPr="00F552F0">
        <w:rPr>
          <w:i/>
          <w:color w:val="000000"/>
        </w:rPr>
        <w:tab/>
        <w:t>Equality</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Rapid economic growth whose benefits accrue to tiny elite might be less socially desirable than slower growth whose fruits are more evenly distributed across the population. State</w:t>
      </w:r>
      <w:r w:rsidR="00B002C1" w:rsidRPr="00F552F0">
        <w:rPr>
          <w:color w:val="000000"/>
          <w:sz w:val="22"/>
          <w:szCs w:val="22"/>
        </w:rPr>
        <w:t>-</w:t>
      </w:r>
      <w:r w:rsidRPr="00F552F0">
        <w:rPr>
          <w:color w:val="000000"/>
          <w:sz w:val="22"/>
          <w:szCs w:val="22"/>
        </w:rPr>
        <w:t xml:space="preserve"> or family-controlled banks might distribute wealth more evenly than </w:t>
      </w:r>
      <w:r w:rsidR="00392DB6" w:rsidRPr="00F552F0">
        <w:rPr>
          <w:color w:val="000000"/>
          <w:sz w:val="22"/>
          <w:szCs w:val="22"/>
        </w:rPr>
        <w:t>widely held</w:t>
      </w:r>
      <w:r w:rsidRPr="00F552F0">
        <w:rPr>
          <w:color w:val="000000"/>
          <w:sz w:val="22"/>
          <w:szCs w:val="22"/>
        </w:rPr>
        <w:t xml:space="preserve"> banks if the bureaucrats or families place </w:t>
      </w:r>
      <w:r w:rsidR="00CC770A" w:rsidRPr="00F552F0">
        <w:rPr>
          <w:color w:val="000000"/>
          <w:sz w:val="22"/>
          <w:szCs w:val="22"/>
        </w:rPr>
        <w:t xml:space="preserve">social goals ahead of profits. </w:t>
      </w:r>
      <w:r w:rsidRPr="00F552F0">
        <w:rPr>
          <w:color w:val="000000"/>
          <w:sz w:val="22"/>
          <w:szCs w:val="22"/>
        </w:rPr>
        <w:t>Alternatively,</w:t>
      </w:r>
      <w:r w:rsidR="00524293" w:rsidRPr="00F552F0">
        <w:rPr>
          <w:color w:val="000000"/>
          <w:sz w:val="22"/>
          <w:szCs w:val="22"/>
        </w:rPr>
        <w:t xml:space="preserve"> either state</w:t>
      </w:r>
      <w:r w:rsidR="00B002C1" w:rsidRPr="00F552F0">
        <w:rPr>
          <w:color w:val="000000"/>
          <w:sz w:val="22"/>
          <w:szCs w:val="22"/>
        </w:rPr>
        <w:t>-</w:t>
      </w:r>
      <w:r w:rsidR="00524293" w:rsidRPr="00F552F0">
        <w:rPr>
          <w:color w:val="000000"/>
          <w:sz w:val="22"/>
          <w:szCs w:val="22"/>
        </w:rPr>
        <w:t xml:space="preserve"> or family</w:t>
      </w:r>
      <w:r w:rsidR="00C26254" w:rsidRPr="00F552F0">
        <w:rPr>
          <w:color w:val="000000"/>
          <w:sz w:val="22"/>
          <w:szCs w:val="22"/>
        </w:rPr>
        <w:t>-controlled</w:t>
      </w:r>
      <w:r w:rsidR="00524293" w:rsidRPr="00F552F0">
        <w:rPr>
          <w:color w:val="000000"/>
          <w:sz w:val="22"/>
          <w:szCs w:val="22"/>
        </w:rPr>
        <w:t xml:space="preserve"> banks </w:t>
      </w:r>
      <w:r w:rsidRPr="00F552F0">
        <w:rPr>
          <w:color w:val="000000"/>
          <w:sz w:val="22"/>
          <w:szCs w:val="22"/>
        </w:rPr>
        <w:t xml:space="preserve">might distribute wealth less evenly if </w:t>
      </w:r>
      <w:r w:rsidR="00524293" w:rsidRPr="00F552F0">
        <w:rPr>
          <w:color w:val="000000"/>
          <w:sz w:val="22"/>
          <w:szCs w:val="22"/>
        </w:rPr>
        <w:t>they</w:t>
      </w:r>
      <w:r w:rsidRPr="00F552F0">
        <w:rPr>
          <w:color w:val="000000"/>
          <w:sz w:val="22"/>
          <w:szCs w:val="22"/>
        </w:rPr>
        <w:t xml:space="preserve"> </w:t>
      </w:r>
      <w:r w:rsidR="00524293" w:rsidRPr="00F552F0">
        <w:rPr>
          <w:color w:val="000000"/>
          <w:sz w:val="22"/>
          <w:szCs w:val="22"/>
        </w:rPr>
        <w:t>favor</w:t>
      </w:r>
      <w:r w:rsidRPr="00F552F0">
        <w:rPr>
          <w:color w:val="000000"/>
          <w:sz w:val="22"/>
          <w:szCs w:val="22"/>
        </w:rPr>
        <w:t xml:space="preserve"> </w:t>
      </w:r>
      <w:r w:rsidR="00524293" w:rsidRPr="00F552F0">
        <w:rPr>
          <w:color w:val="000000"/>
          <w:sz w:val="22"/>
          <w:szCs w:val="22"/>
        </w:rPr>
        <w:t xml:space="preserve">firms controlled by </w:t>
      </w:r>
      <w:r w:rsidRPr="00F552F0">
        <w:rPr>
          <w:color w:val="000000"/>
          <w:sz w:val="22"/>
          <w:szCs w:val="22"/>
        </w:rPr>
        <w:t>cronies</w:t>
      </w:r>
      <w:r w:rsidR="00524293" w:rsidRPr="00F552F0">
        <w:rPr>
          <w:color w:val="000000"/>
          <w:sz w:val="22"/>
          <w:szCs w:val="22"/>
        </w:rPr>
        <w:t xml:space="preserve"> or relatives</w:t>
      </w:r>
      <w:r w:rsidRPr="00F552F0">
        <w:rPr>
          <w:color w:val="000000"/>
          <w:sz w:val="22"/>
          <w:szCs w:val="22"/>
        </w:rPr>
        <w:t xml:space="preserve">. </w:t>
      </w:r>
      <w:r w:rsidR="00883124" w:rsidRPr="00F552F0">
        <w:rPr>
          <w:color w:val="000000"/>
          <w:sz w:val="22"/>
          <w:szCs w:val="22"/>
        </w:rPr>
        <w:t>Elite capture of an economy’s banking systems might then con</w:t>
      </w:r>
      <w:r w:rsidR="00E97B3D" w:rsidRPr="00F552F0">
        <w:rPr>
          <w:color w:val="000000"/>
          <w:sz w:val="22"/>
          <w:szCs w:val="22"/>
        </w:rPr>
        <w:t xml:space="preserve">centrate wealth in the hands </w:t>
      </w:r>
      <w:proofErr w:type="gramStart"/>
      <w:r w:rsidR="00E97B3D" w:rsidRPr="00F552F0">
        <w:rPr>
          <w:color w:val="000000"/>
          <w:sz w:val="22"/>
          <w:szCs w:val="22"/>
        </w:rPr>
        <w:t xml:space="preserve">of </w:t>
      </w:r>
      <w:r w:rsidR="00883124" w:rsidRPr="00F552F0">
        <w:rPr>
          <w:color w:val="000000"/>
          <w:sz w:val="22"/>
          <w:szCs w:val="22"/>
        </w:rPr>
        <w:t>a</w:t>
      </w:r>
      <w:proofErr w:type="gramEnd"/>
      <w:r w:rsidR="00883124" w:rsidRPr="00F552F0">
        <w:rPr>
          <w:color w:val="000000"/>
          <w:sz w:val="22"/>
          <w:szCs w:val="22"/>
        </w:rPr>
        <w:t xml:space="preserve"> well-connected elite, skewing the economy’s income distribution.</w:t>
      </w:r>
      <w:r w:rsidR="001A03FF" w:rsidRPr="00F552F0">
        <w:rPr>
          <w:color w:val="000000"/>
          <w:sz w:val="22"/>
          <w:szCs w:val="22"/>
        </w:rPr>
        <w:t xml:space="preserve"> We therefore consider several measures of economic inequality.</w:t>
      </w:r>
      <w:r w:rsidR="00CC770A" w:rsidRPr="00F552F0">
        <w:rPr>
          <w:color w:val="000000"/>
          <w:sz w:val="22"/>
          <w:szCs w:val="22"/>
        </w:rPr>
        <w:t xml:space="preserve"> </w:t>
      </w:r>
    </w:p>
    <w:p w:rsidR="00AE5D28" w:rsidRPr="00F552F0" w:rsidRDefault="00847E93" w:rsidP="00AE5D28">
      <w:pPr>
        <w:autoSpaceDE w:val="0"/>
        <w:autoSpaceDN w:val="0"/>
        <w:adjustRightInd w:val="0"/>
        <w:spacing w:line="440" w:lineRule="exact"/>
        <w:jc w:val="both"/>
        <w:rPr>
          <w:sz w:val="22"/>
          <w:szCs w:val="22"/>
        </w:rPr>
      </w:pPr>
      <w:r w:rsidRPr="00F552F0">
        <w:rPr>
          <w:color w:val="000000"/>
          <w:sz w:val="22"/>
          <w:szCs w:val="22"/>
        </w:rPr>
        <w:lastRenderedPageBreak/>
        <w:tab/>
      </w:r>
      <w:r w:rsidR="00AE5D28" w:rsidRPr="00F552F0">
        <w:rPr>
          <w:color w:val="000000"/>
          <w:sz w:val="22"/>
          <w:szCs w:val="22"/>
        </w:rPr>
        <w:t xml:space="preserve">We gauge </w:t>
      </w:r>
      <w:r w:rsidR="00AE5D28" w:rsidRPr="00F552F0">
        <w:rPr>
          <w:i/>
          <w:color w:val="000000"/>
          <w:sz w:val="22"/>
          <w:szCs w:val="22"/>
        </w:rPr>
        <w:t>income inequality</w:t>
      </w:r>
      <w:r w:rsidR="00AE5D28" w:rsidRPr="00F552F0">
        <w:rPr>
          <w:color w:val="000000"/>
          <w:sz w:val="22"/>
          <w:szCs w:val="22"/>
        </w:rPr>
        <w:t xml:space="preserve"> by a country’s average </w:t>
      </w:r>
      <w:proofErr w:type="spellStart"/>
      <w:r w:rsidR="00AE5D28" w:rsidRPr="00F552F0">
        <w:rPr>
          <w:color w:val="000000"/>
          <w:sz w:val="22"/>
          <w:szCs w:val="22"/>
        </w:rPr>
        <w:t>Gini</w:t>
      </w:r>
      <w:proofErr w:type="spellEnd"/>
      <w:r w:rsidR="00AE5D28" w:rsidRPr="00F552F0">
        <w:rPr>
          <w:color w:val="000000"/>
          <w:sz w:val="22"/>
          <w:szCs w:val="22"/>
        </w:rPr>
        <w:t xml:space="preserve"> coefficient from 1993 through 2003.</w:t>
      </w:r>
      <w:r w:rsidR="00AE5D28" w:rsidRPr="00F552F0">
        <w:rPr>
          <w:rStyle w:val="FootnoteReference"/>
          <w:color w:val="000000"/>
          <w:sz w:val="22"/>
          <w:szCs w:val="22"/>
        </w:rPr>
        <w:footnoteReference w:id="4"/>
      </w:r>
      <w:r w:rsidR="00AE5D28" w:rsidRPr="00F552F0">
        <w:rPr>
          <w:color w:val="000000"/>
          <w:sz w:val="22"/>
          <w:szCs w:val="22"/>
        </w:rPr>
        <w:t xml:space="preserve"> Broad access to options for improving one’s life is arguably at least as socially important as equality of outcomes (</w:t>
      </w:r>
      <w:proofErr w:type="spellStart"/>
      <w:r w:rsidR="00AE5D28" w:rsidRPr="00F552F0">
        <w:rPr>
          <w:color w:val="000000"/>
          <w:sz w:val="22"/>
          <w:szCs w:val="22"/>
        </w:rPr>
        <w:t>Sen</w:t>
      </w:r>
      <w:proofErr w:type="spellEnd"/>
      <w:r w:rsidR="002C144B" w:rsidRPr="00F552F0">
        <w:rPr>
          <w:color w:val="000000"/>
          <w:sz w:val="22"/>
          <w:szCs w:val="22"/>
        </w:rPr>
        <w:t>,</w:t>
      </w:r>
      <w:r w:rsidR="00AE5D28" w:rsidRPr="00F552F0">
        <w:rPr>
          <w:color w:val="000000"/>
          <w:sz w:val="22"/>
          <w:szCs w:val="22"/>
        </w:rPr>
        <w:t xml:space="preserve"> 1992). We are especially interested in </w:t>
      </w:r>
      <w:r w:rsidR="00AE5D28" w:rsidRPr="00F552F0">
        <w:rPr>
          <w:i/>
          <w:color w:val="000000"/>
          <w:sz w:val="22"/>
          <w:szCs w:val="22"/>
        </w:rPr>
        <w:t>equality of opportunity</w:t>
      </w:r>
      <w:r w:rsidR="00AE5D28" w:rsidRPr="00F552F0">
        <w:rPr>
          <w:color w:val="000000"/>
          <w:sz w:val="22"/>
          <w:szCs w:val="22"/>
        </w:rPr>
        <w:t xml:space="preserve"> for small entrepreneurs, for which we consider</w:t>
      </w:r>
      <w:r w:rsidR="00AE5D28" w:rsidRPr="00F552F0">
        <w:rPr>
          <w:sz w:val="22"/>
          <w:szCs w:val="22"/>
        </w:rPr>
        <w:t xml:space="preserve"> two sets of proxies. </w:t>
      </w:r>
    </w:p>
    <w:p w:rsidR="00AE5D28" w:rsidRPr="00F552F0" w:rsidRDefault="00AE5D28" w:rsidP="00AE5D28">
      <w:pPr>
        <w:autoSpaceDE w:val="0"/>
        <w:autoSpaceDN w:val="0"/>
        <w:adjustRightInd w:val="0"/>
        <w:spacing w:line="440" w:lineRule="exact"/>
        <w:jc w:val="both"/>
        <w:rPr>
          <w:sz w:val="22"/>
          <w:szCs w:val="22"/>
        </w:rPr>
      </w:pPr>
      <w:r w:rsidRPr="00F552F0">
        <w:rPr>
          <w:sz w:val="22"/>
          <w:szCs w:val="22"/>
        </w:rPr>
        <w:tab/>
        <w:t xml:space="preserve">The first set gauges access to information, such as </w:t>
      </w:r>
      <w:r w:rsidRPr="00F552F0">
        <w:rPr>
          <w:i/>
          <w:sz w:val="22"/>
          <w:szCs w:val="22"/>
        </w:rPr>
        <w:t>personal computers</w:t>
      </w:r>
      <w:r w:rsidRPr="00F552F0">
        <w:rPr>
          <w:sz w:val="22"/>
          <w:szCs w:val="22"/>
        </w:rPr>
        <w:t xml:space="preserve"> per thousand population averaged from 1993 through 2003. Khanna (2008) and others argue that an information technology revolution in the 1990s fundamentally changed China, India, and other developing economies by letting their small entrepreneurs access information and markets previously unavailable to them.  </w:t>
      </w:r>
    </w:p>
    <w:p w:rsidR="00AE5D28" w:rsidRPr="00F552F0" w:rsidRDefault="00AE5D28" w:rsidP="00AE5D28">
      <w:pPr>
        <w:autoSpaceDE w:val="0"/>
        <w:autoSpaceDN w:val="0"/>
        <w:adjustRightInd w:val="0"/>
        <w:spacing w:line="440" w:lineRule="exact"/>
        <w:jc w:val="both"/>
        <w:rPr>
          <w:sz w:val="22"/>
          <w:szCs w:val="22"/>
        </w:rPr>
      </w:pPr>
      <w:r w:rsidRPr="00F552F0">
        <w:rPr>
          <w:sz w:val="22"/>
          <w:szCs w:val="22"/>
        </w:rPr>
        <w:tab/>
        <w:t>While the breadth of computer ownership is a defensible measure of this access</w:t>
      </w:r>
      <w:r w:rsidR="00B002C1" w:rsidRPr="00F552F0">
        <w:rPr>
          <w:sz w:val="22"/>
          <w:szCs w:val="22"/>
        </w:rPr>
        <w:t>,</w:t>
      </w:r>
      <w:r w:rsidRPr="00F552F0">
        <w:rPr>
          <w:sz w:val="22"/>
          <w:szCs w:val="22"/>
        </w:rPr>
        <w:t xml:space="preserve"> there are alternatives. We thus use </w:t>
      </w:r>
      <w:r w:rsidRPr="00F552F0">
        <w:rPr>
          <w:i/>
          <w:sz w:val="22"/>
          <w:szCs w:val="22"/>
        </w:rPr>
        <w:t>internet connections</w:t>
      </w:r>
      <w:r w:rsidRPr="00F552F0">
        <w:rPr>
          <w:sz w:val="22"/>
          <w:szCs w:val="22"/>
        </w:rPr>
        <w:t xml:space="preserve">, </w:t>
      </w:r>
      <w:r w:rsidRPr="00F552F0">
        <w:rPr>
          <w:i/>
          <w:sz w:val="22"/>
          <w:szCs w:val="22"/>
        </w:rPr>
        <w:t>telephone lines</w:t>
      </w:r>
      <w:r w:rsidR="00B002C1" w:rsidRPr="00F552F0">
        <w:rPr>
          <w:i/>
          <w:sz w:val="22"/>
          <w:szCs w:val="22"/>
        </w:rPr>
        <w:t>,</w:t>
      </w:r>
      <w:r w:rsidRPr="00F552F0">
        <w:rPr>
          <w:i/>
          <w:sz w:val="22"/>
          <w:szCs w:val="22"/>
        </w:rPr>
        <w:t xml:space="preserve"> and car ownership</w:t>
      </w:r>
      <w:r w:rsidRPr="00F552F0">
        <w:rPr>
          <w:sz w:val="22"/>
          <w:szCs w:val="22"/>
        </w:rPr>
        <w:t xml:space="preserve"> per capita as robustness checks. While we defend all these variables as proxies for equality of opportunity for small entrepreneurs, we recognize that they also reflect the size and wealth of a country’s “middle class</w:t>
      </w:r>
      <w:r w:rsidR="00B002C1" w:rsidRPr="00F552F0">
        <w:rPr>
          <w:sz w:val="22"/>
          <w:szCs w:val="22"/>
        </w:rPr>
        <w:t>,</w:t>
      </w:r>
      <w:r w:rsidRPr="00F552F0">
        <w:rPr>
          <w:sz w:val="22"/>
          <w:szCs w:val="22"/>
        </w:rPr>
        <w:t>” and thus</w:t>
      </w:r>
      <w:r w:rsidR="00B002C1" w:rsidRPr="00F552F0">
        <w:rPr>
          <w:sz w:val="22"/>
          <w:szCs w:val="22"/>
        </w:rPr>
        <w:t>,</w:t>
      </w:r>
      <w:r w:rsidRPr="00F552F0">
        <w:rPr>
          <w:sz w:val="22"/>
          <w:szCs w:val="22"/>
        </w:rPr>
        <w:t xml:space="preserve"> can be interpreted as measures of </w:t>
      </w:r>
      <w:r w:rsidRPr="00F552F0">
        <w:rPr>
          <w:i/>
          <w:sz w:val="22"/>
          <w:szCs w:val="22"/>
        </w:rPr>
        <w:t>consumption equality</w:t>
      </w:r>
      <w:r w:rsidRPr="00F552F0">
        <w:rPr>
          <w:sz w:val="22"/>
          <w:szCs w:val="22"/>
        </w:rPr>
        <w:t xml:space="preserve">, which is a plausible alternative to income inequality (Gordon </w:t>
      </w:r>
      <w:r w:rsidR="00E82874" w:rsidRPr="00F552F0">
        <w:rPr>
          <w:sz w:val="22"/>
          <w:szCs w:val="22"/>
        </w:rPr>
        <w:t>and</w:t>
      </w:r>
      <w:r w:rsidRPr="00F552F0">
        <w:rPr>
          <w:sz w:val="22"/>
          <w:szCs w:val="22"/>
        </w:rPr>
        <w:t xml:space="preserve"> Dew-Becker</w:t>
      </w:r>
      <w:r w:rsidR="002C144B" w:rsidRPr="00F552F0">
        <w:rPr>
          <w:sz w:val="22"/>
          <w:szCs w:val="22"/>
        </w:rPr>
        <w:t>,</w:t>
      </w:r>
      <w:r w:rsidRPr="00F552F0">
        <w:rPr>
          <w:sz w:val="22"/>
          <w:szCs w:val="22"/>
        </w:rPr>
        <w:t xml:space="preserve"> 2007). </w:t>
      </w:r>
    </w:p>
    <w:p w:rsidR="000A7815" w:rsidRPr="00F552F0" w:rsidRDefault="00AE5D28" w:rsidP="00AE5D28">
      <w:pPr>
        <w:autoSpaceDE w:val="0"/>
        <w:autoSpaceDN w:val="0"/>
        <w:adjustRightInd w:val="0"/>
        <w:spacing w:line="440" w:lineRule="exact"/>
        <w:jc w:val="both"/>
        <w:rPr>
          <w:color w:val="000000"/>
          <w:sz w:val="22"/>
          <w:szCs w:val="22"/>
        </w:rPr>
      </w:pPr>
      <w:r w:rsidRPr="00F552F0">
        <w:rPr>
          <w:b/>
          <w:color w:val="000000"/>
          <w:sz w:val="22"/>
          <w:szCs w:val="22"/>
        </w:rPr>
        <w:tab/>
      </w:r>
      <w:r w:rsidRPr="00F552F0">
        <w:rPr>
          <w:color w:val="000000"/>
          <w:sz w:val="22"/>
          <w:szCs w:val="22"/>
        </w:rPr>
        <w:t>Our second set of equality of opportunity measures gauges overt entry barriers blocking new business</w:t>
      </w:r>
      <w:r w:rsidR="00CB3CF2" w:rsidRPr="00F552F0">
        <w:rPr>
          <w:color w:val="000000"/>
          <w:sz w:val="22"/>
          <w:szCs w:val="22"/>
        </w:rPr>
        <w:t>es.</w:t>
      </w:r>
      <w:r w:rsidRPr="00F552F0">
        <w:rPr>
          <w:color w:val="000000"/>
          <w:sz w:val="22"/>
          <w:szCs w:val="22"/>
        </w:rPr>
        <w:t xml:space="preserve"> </w:t>
      </w:r>
      <w:r w:rsidR="00BB3C46" w:rsidRPr="00F552F0">
        <w:rPr>
          <w:color w:val="000000"/>
          <w:sz w:val="22"/>
          <w:szCs w:val="22"/>
        </w:rPr>
        <w:t xml:space="preserve">These variables are </w:t>
      </w:r>
      <w:r w:rsidR="000A7815" w:rsidRPr="00F552F0">
        <w:rPr>
          <w:color w:val="000000"/>
          <w:sz w:val="22"/>
          <w:szCs w:val="22"/>
        </w:rPr>
        <w:t xml:space="preserve">the number of bureaucratic </w:t>
      </w:r>
      <w:r w:rsidR="000A7815" w:rsidRPr="00F552F0">
        <w:rPr>
          <w:i/>
          <w:color w:val="000000"/>
          <w:sz w:val="22"/>
          <w:szCs w:val="22"/>
        </w:rPr>
        <w:t>procedures</w:t>
      </w:r>
      <w:r w:rsidR="000A7815" w:rsidRPr="00F552F0">
        <w:rPr>
          <w:color w:val="000000"/>
          <w:sz w:val="22"/>
          <w:szCs w:val="22"/>
        </w:rPr>
        <w:t xml:space="preserve"> a start-up must complete to operate legally, as well as the </w:t>
      </w:r>
      <w:r w:rsidR="000A7815" w:rsidRPr="00F552F0">
        <w:rPr>
          <w:i/>
          <w:color w:val="000000"/>
          <w:sz w:val="22"/>
          <w:szCs w:val="22"/>
        </w:rPr>
        <w:t>time</w:t>
      </w:r>
      <w:r w:rsidR="000A7815" w:rsidRPr="00F552F0">
        <w:rPr>
          <w:color w:val="000000"/>
          <w:sz w:val="22"/>
          <w:szCs w:val="22"/>
        </w:rPr>
        <w:t xml:space="preserve"> (in business days) and </w:t>
      </w:r>
      <w:r w:rsidR="000A7815" w:rsidRPr="00F552F0">
        <w:rPr>
          <w:i/>
          <w:color w:val="000000"/>
          <w:sz w:val="22"/>
          <w:szCs w:val="22"/>
        </w:rPr>
        <w:t>cost</w:t>
      </w:r>
      <w:r w:rsidR="000A7815" w:rsidRPr="00F552F0">
        <w:rPr>
          <w:color w:val="000000"/>
          <w:sz w:val="22"/>
          <w:szCs w:val="22"/>
        </w:rPr>
        <w:t xml:space="preserve"> (al</w:t>
      </w:r>
      <w:r w:rsidR="001F449F" w:rsidRPr="00F552F0">
        <w:rPr>
          <w:color w:val="000000"/>
          <w:sz w:val="22"/>
          <w:szCs w:val="22"/>
        </w:rPr>
        <w:t xml:space="preserve">l identifiable official costs) </w:t>
      </w:r>
      <w:r w:rsidR="000A7815" w:rsidRPr="00F552F0">
        <w:rPr>
          <w:color w:val="000000"/>
          <w:sz w:val="22"/>
          <w:szCs w:val="22"/>
        </w:rPr>
        <w:t xml:space="preserve">required to do this. Cost is expressed as a fraction of per capita GDP, and all three variables are for 1999 and from </w:t>
      </w:r>
      <w:proofErr w:type="spellStart"/>
      <w:r w:rsidR="000A7815" w:rsidRPr="00F552F0">
        <w:rPr>
          <w:color w:val="000000"/>
          <w:sz w:val="22"/>
          <w:szCs w:val="22"/>
        </w:rPr>
        <w:t>Djankov</w:t>
      </w:r>
      <w:proofErr w:type="spellEnd"/>
      <w:r w:rsidR="000A7815" w:rsidRPr="00F552F0">
        <w:rPr>
          <w:color w:val="000000"/>
          <w:sz w:val="22"/>
          <w:szCs w:val="22"/>
        </w:rPr>
        <w:t xml:space="preserve"> </w:t>
      </w:r>
      <w:r w:rsidR="003D5871" w:rsidRPr="00F552F0">
        <w:rPr>
          <w:color w:val="000000"/>
          <w:sz w:val="22"/>
          <w:szCs w:val="22"/>
        </w:rPr>
        <w:t>et al.</w:t>
      </w:r>
      <w:r w:rsidR="000A7815" w:rsidRPr="00F552F0">
        <w:rPr>
          <w:color w:val="000000"/>
          <w:sz w:val="22"/>
          <w:szCs w:val="22"/>
        </w:rPr>
        <w:t xml:space="preserve"> (2002). </w:t>
      </w:r>
    </w:p>
    <w:p w:rsidR="000A7815" w:rsidRPr="00F552F0" w:rsidRDefault="000A7815" w:rsidP="000A7815">
      <w:pPr>
        <w:autoSpaceDE w:val="0"/>
        <w:autoSpaceDN w:val="0"/>
        <w:adjustRightInd w:val="0"/>
        <w:spacing w:line="440" w:lineRule="exact"/>
        <w:jc w:val="both"/>
        <w:rPr>
          <w:sz w:val="22"/>
          <w:szCs w:val="22"/>
        </w:rPr>
      </w:pPr>
      <w:r w:rsidRPr="00F552F0">
        <w:rPr>
          <w:color w:val="000000"/>
          <w:sz w:val="22"/>
          <w:szCs w:val="22"/>
        </w:rPr>
        <w:tab/>
        <w:t xml:space="preserve">The owners of incumbent businesses are thought to erect entry barriers </w:t>
      </w:r>
      <w:r w:rsidRPr="00F552F0">
        <w:rPr>
          <w:sz w:val="22"/>
          <w:szCs w:val="22"/>
        </w:rPr>
        <w:t>that pro</w:t>
      </w:r>
      <w:r w:rsidR="00CC770A" w:rsidRPr="00F552F0">
        <w:rPr>
          <w:sz w:val="22"/>
          <w:szCs w:val="22"/>
        </w:rPr>
        <w:t>tect them from upstart rivals</w:t>
      </w:r>
      <w:r w:rsidR="000C3553" w:rsidRPr="00F552F0">
        <w:rPr>
          <w:sz w:val="22"/>
          <w:szCs w:val="22"/>
        </w:rPr>
        <w:t>,</w:t>
      </w:r>
      <w:r w:rsidR="00D72670" w:rsidRPr="00F552F0">
        <w:rPr>
          <w:sz w:val="22"/>
          <w:szCs w:val="22"/>
        </w:rPr>
        <w:t xml:space="preserve"> and </w:t>
      </w:r>
      <w:r w:rsidR="000C3553" w:rsidRPr="00F552F0">
        <w:rPr>
          <w:sz w:val="22"/>
          <w:szCs w:val="22"/>
        </w:rPr>
        <w:t>might</w:t>
      </w:r>
      <w:r w:rsidR="00D72670" w:rsidRPr="00F552F0">
        <w:rPr>
          <w:sz w:val="22"/>
          <w:szCs w:val="22"/>
        </w:rPr>
        <w:t xml:space="preserve"> control banks to </w:t>
      </w:r>
      <w:r w:rsidR="00BB3C46" w:rsidRPr="00F552F0">
        <w:rPr>
          <w:sz w:val="22"/>
          <w:szCs w:val="22"/>
        </w:rPr>
        <w:t>constrict financing to rivals</w:t>
      </w:r>
      <w:r w:rsidR="003B62A9" w:rsidRPr="00F552F0">
        <w:rPr>
          <w:sz w:val="22"/>
          <w:szCs w:val="22"/>
        </w:rPr>
        <w:t xml:space="preserve"> and</w:t>
      </w:r>
      <w:r w:rsidR="00D72670" w:rsidRPr="00F552F0">
        <w:rPr>
          <w:sz w:val="22"/>
          <w:szCs w:val="22"/>
        </w:rPr>
        <w:t xml:space="preserve"> </w:t>
      </w:r>
      <w:r w:rsidR="000C3553" w:rsidRPr="00F552F0">
        <w:rPr>
          <w:sz w:val="22"/>
          <w:szCs w:val="22"/>
        </w:rPr>
        <w:t>potential rivals</w:t>
      </w:r>
      <w:r w:rsidR="00BB3C46" w:rsidRPr="00F552F0">
        <w:rPr>
          <w:sz w:val="22"/>
          <w:szCs w:val="22"/>
        </w:rPr>
        <w:t xml:space="preserve">. </w:t>
      </w:r>
      <w:r w:rsidR="00D72670" w:rsidRPr="00F552F0">
        <w:rPr>
          <w:sz w:val="22"/>
          <w:szCs w:val="22"/>
        </w:rPr>
        <w:t xml:space="preserve">If </w:t>
      </w:r>
      <w:r w:rsidRPr="00F552F0">
        <w:rPr>
          <w:sz w:val="22"/>
          <w:szCs w:val="22"/>
        </w:rPr>
        <w:t xml:space="preserve">control over the banking system </w:t>
      </w:r>
      <w:r w:rsidR="00BB3C46" w:rsidRPr="00F552F0">
        <w:rPr>
          <w:sz w:val="22"/>
          <w:szCs w:val="22"/>
        </w:rPr>
        <w:t>complements other means of effecting</w:t>
      </w:r>
      <w:r w:rsidR="00D72670" w:rsidRPr="00F552F0">
        <w:rPr>
          <w:sz w:val="22"/>
          <w:szCs w:val="22"/>
        </w:rPr>
        <w:t xml:space="preserve"> economic entrenchment, </w:t>
      </w:r>
      <w:r w:rsidRPr="00F552F0">
        <w:rPr>
          <w:sz w:val="22"/>
          <w:szCs w:val="22"/>
        </w:rPr>
        <w:t xml:space="preserve">we </w:t>
      </w:r>
      <w:r w:rsidR="000C3553" w:rsidRPr="00F552F0">
        <w:rPr>
          <w:sz w:val="22"/>
          <w:szCs w:val="22"/>
        </w:rPr>
        <w:t xml:space="preserve">should </w:t>
      </w:r>
      <w:r w:rsidRPr="00F552F0">
        <w:rPr>
          <w:sz w:val="22"/>
          <w:szCs w:val="22"/>
        </w:rPr>
        <w:t xml:space="preserve">see </w:t>
      </w:r>
      <w:r w:rsidR="003870D5" w:rsidRPr="00F552F0">
        <w:rPr>
          <w:sz w:val="22"/>
          <w:szCs w:val="22"/>
        </w:rPr>
        <w:t xml:space="preserve">more </w:t>
      </w:r>
      <w:r w:rsidRPr="00F552F0">
        <w:rPr>
          <w:sz w:val="22"/>
          <w:szCs w:val="22"/>
        </w:rPr>
        <w:t>such hindrances where wealthy business e</w:t>
      </w:r>
      <w:r w:rsidR="00CC770A" w:rsidRPr="00F552F0">
        <w:rPr>
          <w:sz w:val="22"/>
          <w:szCs w:val="22"/>
        </w:rPr>
        <w:t>lites control banking systems.</w:t>
      </w:r>
      <w:r w:rsidR="006600B4" w:rsidRPr="00F552F0">
        <w:rPr>
          <w:sz w:val="22"/>
          <w:szCs w:val="22"/>
        </w:rPr>
        <w:t xml:space="preserve"> </w:t>
      </w:r>
      <w:r w:rsidR="000C3553" w:rsidRPr="00F552F0">
        <w:rPr>
          <w:sz w:val="22"/>
          <w:szCs w:val="22"/>
        </w:rPr>
        <w:t>However,</w:t>
      </w:r>
      <w:r w:rsidR="0022720D" w:rsidRPr="00F552F0">
        <w:rPr>
          <w:sz w:val="22"/>
          <w:szCs w:val="22"/>
        </w:rPr>
        <w:t xml:space="preserve"> we </w:t>
      </w:r>
      <w:r w:rsidRPr="00F552F0">
        <w:rPr>
          <w:sz w:val="22"/>
          <w:szCs w:val="22"/>
        </w:rPr>
        <w:t xml:space="preserve">might </w:t>
      </w:r>
      <w:r w:rsidR="000C3553" w:rsidRPr="00F552F0">
        <w:rPr>
          <w:sz w:val="22"/>
          <w:szCs w:val="22"/>
        </w:rPr>
        <w:t xml:space="preserve">also </w:t>
      </w:r>
      <w:r w:rsidRPr="00F552F0">
        <w:rPr>
          <w:sz w:val="22"/>
          <w:szCs w:val="22"/>
        </w:rPr>
        <w:t>see fewer such barriers if control of the banking system is sufficient to</w:t>
      </w:r>
      <w:r w:rsidR="003B69EF" w:rsidRPr="00F552F0">
        <w:rPr>
          <w:sz w:val="22"/>
          <w:szCs w:val="22"/>
        </w:rPr>
        <w:t xml:space="preserve"> </w:t>
      </w:r>
      <w:r w:rsidRPr="00F552F0">
        <w:rPr>
          <w:sz w:val="22"/>
          <w:szCs w:val="22"/>
        </w:rPr>
        <w:t xml:space="preserve">lock in the </w:t>
      </w:r>
      <w:r w:rsidR="003D5871" w:rsidRPr="00F552F0">
        <w:rPr>
          <w:sz w:val="22"/>
          <w:szCs w:val="22"/>
        </w:rPr>
        <w:t>status quo</w:t>
      </w:r>
      <w:r w:rsidRPr="00F552F0">
        <w:rPr>
          <w:sz w:val="22"/>
          <w:szCs w:val="22"/>
        </w:rPr>
        <w:t>, rendering other entry barr</w:t>
      </w:r>
      <w:r w:rsidR="00F20EBC" w:rsidRPr="00F552F0">
        <w:rPr>
          <w:sz w:val="22"/>
          <w:szCs w:val="22"/>
        </w:rPr>
        <w:t xml:space="preserve">iers superfluous. </w:t>
      </w:r>
      <w:r w:rsidRPr="00F552F0">
        <w:rPr>
          <w:sz w:val="22"/>
          <w:szCs w:val="22"/>
        </w:rPr>
        <w:t>Also, state control over banks may indicate general government activism, and a heavier overall regulatory burden, so this variable might also correlate with the procedures, time</w:t>
      </w:r>
      <w:r w:rsidR="00B002C1" w:rsidRPr="00F552F0">
        <w:rPr>
          <w:sz w:val="22"/>
          <w:szCs w:val="22"/>
        </w:rPr>
        <w:t>,</w:t>
      </w:r>
      <w:r w:rsidRPr="00F552F0">
        <w:rPr>
          <w:sz w:val="22"/>
          <w:szCs w:val="22"/>
        </w:rPr>
        <w:t xml:space="preserve"> and cost of establishing a new company. </w:t>
      </w:r>
    </w:p>
    <w:p w:rsidR="003870D5" w:rsidRPr="00F552F0" w:rsidRDefault="003870D5" w:rsidP="000A7815">
      <w:pPr>
        <w:autoSpaceDE w:val="0"/>
        <w:autoSpaceDN w:val="0"/>
        <w:adjustRightInd w:val="0"/>
        <w:spacing w:line="440" w:lineRule="exact"/>
        <w:jc w:val="both"/>
        <w:rPr>
          <w:color w:val="000000"/>
          <w:sz w:val="22"/>
          <w:szCs w:val="22"/>
        </w:rPr>
      </w:pPr>
    </w:p>
    <w:p w:rsidR="001E4697" w:rsidRPr="00F552F0" w:rsidRDefault="003D5871" w:rsidP="001E4697">
      <w:pPr>
        <w:widowControl w:val="0"/>
        <w:autoSpaceDE w:val="0"/>
        <w:autoSpaceDN w:val="0"/>
        <w:adjustRightInd w:val="0"/>
        <w:spacing w:line="440" w:lineRule="exact"/>
        <w:jc w:val="both"/>
        <w:rPr>
          <w:i/>
          <w:color w:val="000000"/>
          <w:sz w:val="28"/>
        </w:rPr>
      </w:pPr>
      <w:r w:rsidRPr="00F552F0">
        <w:rPr>
          <w:i/>
          <w:color w:val="000000"/>
          <w:sz w:val="28"/>
        </w:rPr>
        <w:t>2.5.</w:t>
      </w:r>
      <w:r w:rsidRPr="00F552F0">
        <w:rPr>
          <w:i/>
          <w:color w:val="000000"/>
          <w:sz w:val="28"/>
        </w:rPr>
        <w:tab/>
        <w:t xml:space="preserve">Controls </w:t>
      </w:r>
    </w:p>
    <w:p w:rsidR="00E21501" w:rsidRPr="00F552F0" w:rsidRDefault="004C3644">
      <w:pPr>
        <w:widowControl w:val="0"/>
        <w:autoSpaceDE w:val="0"/>
        <w:autoSpaceDN w:val="0"/>
        <w:adjustRightInd w:val="0"/>
        <w:spacing w:line="440" w:lineRule="exact"/>
        <w:ind w:firstLine="720"/>
        <w:jc w:val="both"/>
        <w:rPr>
          <w:color w:val="000000"/>
          <w:sz w:val="22"/>
          <w:szCs w:val="22"/>
        </w:rPr>
      </w:pPr>
      <w:r w:rsidRPr="00F552F0">
        <w:rPr>
          <w:color w:val="000000"/>
          <w:sz w:val="22"/>
          <w:szCs w:val="22"/>
        </w:rPr>
        <w:t xml:space="preserve">Our regressions use a collection of control variables to isolate the </w:t>
      </w:r>
      <w:r w:rsidR="00123DCE" w:rsidRPr="00F552F0">
        <w:rPr>
          <w:color w:val="000000"/>
          <w:sz w:val="22"/>
          <w:szCs w:val="22"/>
        </w:rPr>
        <w:t>relationship</w:t>
      </w:r>
      <w:r w:rsidRPr="00F552F0">
        <w:rPr>
          <w:color w:val="000000"/>
          <w:sz w:val="22"/>
          <w:szCs w:val="22"/>
        </w:rPr>
        <w:t xml:space="preserve"> of </w:t>
      </w:r>
      <w:r w:rsidR="006F6764" w:rsidRPr="00F552F0">
        <w:rPr>
          <w:color w:val="000000"/>
          <w:sz w:val="22"/>
          <w:szCs w:val="22"/>
        </w:rPr>
        <w:t xml:space="preserve">the </w:t>
      </w:r>
      <w:r w:rsidR="00123DCE" w:rsidRPr="00F552F0">
        <w:rPr>
          <w:color w:val="000000"/>
          <w:sz w:val="22"/>
          <w:szCs w:val="22"/>
        </w:rPr>
        <w:t>banking system control</w:t>
      </w:r>
      <w:r w:rsidRPr="00F552F0">
        <w:rPr>
          <w:color w:val="000000"/>
          <w:sz w:val="22"/>
          <w:szCs w:val="22"/>
        </w:rPr>
        <w:t xml:space="preserve"> </w:t>
      </w:r>
      <w:r w:rsidR="006F6764" w:rsidRPr="00F552F0">
        <w:rPr>
          <w:color w:val="000000"/>
          <w:sz w:val="22"/>
          <w:szCs w:val="22"/>
        </w:rPr>
        <w:t xml:space="preserve">measures described in </w:t>
      </w:r>
      <w:r w:rsidR="00B002C1" w:rsidRPr="00F552F0">
        <w:rPr>
          <w:color w:val="000000"/>
          <w:sz w:val="22"/>
          <w:szCs w:val="22"/>
        </w:rPr>
        <w:t>S</w:t>
      </w:r>
      <w:r w:rsidR="006F6764" w:rsidRPr="00F552F0">
        <w:rPr>
          <w:color w:val="000000"/>
          <w:sz w:val="22"/>
          <w:szCs w:val="22"/>
        </w:rPr>
        <w:t xml:space="preserve">ection 3.3 </w:t>
      </w:r>
      <w:r w:rsidR="00123DCE" w:rsidRPr="00F552F0">
        <w:rPr>
          <w:color w:val="000000"/>
          <w:sz w:val="22"/>
          <w:szCs w:val="22"/>
        </w:rPr>
        <w:t>to</w:t>
      </w:r>
      <w:r w:rsidRPr="00F552F0">
        <w:rPr>
          <w:color w:val="000000"/>
          <w:sz w:val="22"/>
          <w:szCs w:val="22"/>
        </w:rPr>
        <w:t xml:space="preserve"> the </w:t>
      </w:r>
      <w:r w:rsidR="006F6764" w:rsidRPr="00F552F0">
        <w:rPr>
          <w:color w:val="000000"/>
          <w:sz w:val="22"/>
          <w:szCs w:val="22"/>
        </w:rPr>
        <w:t xml:space="preserve">economy performance </w:t>
      </w:r>
      <w:r w:rsidRPr="00F552F0">
        <w:rPr>
          <w:color w:val="000000"/>
          <w:sz w:val="22"/>
          <w:szCs w:val="22"/>
        </w:rPr>
        <w:t xml:space="preserve">variables </w:t>
      </w:r>
      <w:r w:rsidR="006F6764" w:rsidRPr="00F552F0">
        <w:rPr>
          <w:color w:val="000000"/>
          <w:sz w:val="22"/>
          <w:szCs w:val="22"/>
        </w:rPr>
        <w:t xml:space="preserve">in </w:t>
      </w:r>
      <w:r w:rsidR="00B002C1" w:rsidRPr="00F552F0">
        <w:rPr>
          <w:color w:val="000000"/>
          <w:sz w:val="22"/>
          <w:szCs w:val="22"/>
        </w:rPr>
        <w:t>S</w:t>
      </w:r>
      <w:r w:rsidR="006F6764" w:rsidRPr="00F552F0">
        <w:rPr>
          <w:color w:val="000000"/>
          <w:sz w:val="22"/>
          <w:szCs w:val="22"/>
        </w:rPr>
        <w:t>ection 3.4</w:t>
      </w:r>
      <w:r w:rsidRPr="00F552F0">
        <w:rPr>
          <w:color w:val="000000"/>
          <w:sz w:val="22"/>
          <w:szCs w:val="22"/>
        </w:rPr>
        <w:t>. This section explains the purpose, construction, and sources of each</w:t>
      </w:r>
      <w:r w:rsidR="006F6764" w:rsidRPr="00F552F0">
        <w:rPr>
          <w:color w:val="000000"/>
          <w:sz w:val="22"/>
          <w:szCs w:val="22"/>
        </w:rPr>
        <w:t xml:space="preserve"> control</w:t>
      </w:r>
      <w:r w:rsidR="00BB3C46" w:rsidRPr="00F552F0">
        <w:rPr>
          <w:color w:val="000000"/>
          <w:sz w:val="22"/>
          <w:szCs w:val="22"/>
        </w:rPr>
        <w:t xml:space="preserve"> variable</w:t>
      </w:r>
      <w:r w:rsidR="00F20EBC" w:rsidRPr="00F552F0">
        <w:rPr>
          <w:color w:val="000000"/>
          <w:sz w:val="22"/>
          <w:szCs w:val="22"/>
        </w:rPr>
        <w:t xml:space="preserve">. </w:t>
      </w:r>
    </w:p>
    <w:p w:rsidR="006F6764" w:rsidRPr="00F552F0" w:rsidRDefault="004C3644">
      <w:pPr>
        <w:autoSpaceDE w:val="0"/>
        <w:autoSpaceDN w:val="0"/>
        <w:adjustRightInd w:val="0"/>
        <w:spacing w:line="440" w:lineRule="exact"/>
        <w:ind w:firstLine="720"/>
        <w:jc w:val="both"/>
        <w:rPr>
          <w:rFonts w:ascii="TimesNewRoman" w:hAnsi="TimesNewRoman" w:cs="TimesNewRoman"/>
          <w:sz w:val="22"/>
          <w:szCs w:val="22"/>
        </w:rPr>
      </w:pPr>
      <w:r w:rsidRPr="00F552F0">
        <w:rPr>
          <w:i/>
          <w:color w:val="000000"/>
          <w:sz w:val="22"/>
          <w:szCs w:val="22"/>
        </w:rPr>
        <w:t>Initial general development</w:t>
      </w:r>
      <w:r w:rsidRPr="00F552F0">
        <w:rPr>
          <w:color w:val="000000"/>
          <w:sz w:val="22"/>
          <w:szCs w:val="22"/>
        </w:rPr>
        <w:t xml:space="preserve">, gauged by </w:t>
      </w:r>
      <w:bookmarkStart w:id="7" w:name="OLE_LINK6"/>
      <w:bookmarkStart w:id="8" w:name="OLE_LINK11"/>
      <w:r w:rsidRPr="00F552F0">
        <w:rPr>
          <w:color w:val="000000"/>
          <w:sz w:val="22"/>
          <w:szCs w:val="22"/>
        </w:rPr>
        <w:t xml:space="preserve">the logarithm of the country’s </w:t>
      </w:r>
      <w:r w:rsidR="003D5871" w:rsidRPr="00F552F0">
        <w:rPr>
          <w:color w:val="000000"/>
          <w:sz w:val="22"/>
          <w:szCs w:val="22"/>
        </w:rPr>
        <w:t>per capita</w:t>
      </w:r>
      <w:r w:rsidRPr="00F552F0">
        <w:rPr>
          <w:color w:val="000000"/>
          <w:sz w:val="22"/>
          <w:szCs w:val="22"/>
        </w:rPr>
        <w:t xml:space="preserve"> GDP in 1992</w:t>
      </w:r>
      <w:bookmarkEnd w:id="7"/>
      <w:bookmarkEnd w:id="8"/>
      <w:r w:rsidRPr="00F552F0">
        <w:rPr>
          <w:color w:val="000000"/>
          <w:sz w:val="22"/>
          <w:szCs w:val="22"/>
        </w:rPr>
        <w:t>, appe</w:t>
      </w:r>
      <w:r w:rsidR="00F20EBC" w:rsidRPr="00F552F0">
        <w:rPr>
          <w:color w:val="000000"/>
          <w:sz w:val="22"/>
          <w:szCs w:val="22"/>
        </w:rPr>
        <w:t xml:space="preserve">ars in all of our regressions. </w:t>
      </w:r>
      <w:r w:rsidR="006F6764" w:rsidRPr="00F552F0">
        <w:rPr>
          <w:color w:val="000000"/>
          <w:sz w:val="22"/>
          <w:szCs w:val="22"/>
        </w:rPr>
        <w:t>In our growth regressions, initial general development controls for</w:t>
      </w:r>
      <w:r w:rsidR="005D2962" w:rsidRPr="00F552F0">
        <w:rPr>
          <w:color w:val="000000"/>
          <w:sz w:val="22"/>
          <w:szCs w:val="22"/>
        </w:rPr>
        <w:t xml:space="preserve"> the possibility</w:t>
      </w:r>
      <w:r w:rsidR="006F6764" w:rsidRPr="00F552F0">
        <w:rPr>
          <w:color w:val="000000"/>
          <w:sz w:val="22"/>
          <w:szCs w:val="22"/>
        </w:rPr>
        <w:t xml:space="preserve"> </w:t>
      </w:r>
      <w:r w:rsidR="005D2962" w:rsidRPr="00F552F0">
        <w:rPr>
          <w:color w:val="000000"/>
          <w:sz w:val="22"/>
          <w:szCs w:val="22"/>
        </w:rPr>
        <w:t>t</w:t>
      </w:r>
      <w:r w:rsidR="0022720D" w:rsidRPr="00F552F0">
        <w:rPr>
          <w:color w:val="000000"/>
          <w:sz w:val="22"/>
          <w:szCs w:val="22"/>
        </w:rPr>
        <w:t xml:space="preserve">hat </w:t>
      </w:r>
      <w:r w:rsidR="006F6764" w:rsidRPr="00F552F0">
        <w:rPr>
          <w:color w:val="000000"/>
          <w:sz w:val="22"/>
          <w:szCs w:val="22"/>
        </w:rPr>
        <w:t xml:space="preserve">countries already at high standards of living have less scope for very high growth rates than </w:t>
      </w:r>
      <w:r w:rsidR="00BB3C46" w:rsidRPr="00F552F0">
        <w:rPr>
          <w:color w:val="000000"/>
          <w:sz w:val="22"/>
          <w:szCs w:val="22"/>
        </w:rPr>
        <w:t xml:space="preserve">do </w:t>
      </w:r>
      <w:r w:rsidR="006F6764" w:rsidRPr="00F552F0">
        <w:rPr>
          <w:color w:val="000000"/>
          <w:sz w:val="22"/>
          <w:szCs w:val="22"/>
        </w:rPr>
        <w:t>poorer countries in the process of “catching up” (Solow</w:t>
      </w:r>
      <w:r w:rsidR="002C144B" w:rsidRPr="00F552F0">
        <w:rPr>
          <w:color w:val="000000"/>
          <w:sz w:val="22"/>
          <w:szCs w:val="22"/>
        </w:rPr>
        <w:t>,</w:t>
      </w:r>
      <w:r w:rsidR="00297A6C" w:rsidRPr="00F552F0">
        <w:rPr>
          <w:color w:val="000000"/>
          <w:sz w:val="22"/>
          <w:szCs w:val="22"/>
        </w:rPr>
        <w:t xml:space="preserve"> 19</w:t>
      </w:r>
      <w:r w:rsidR="006F6764" w:rsidRPr="00F552F0">
        <w:rPr>
          <w:color w:val="000000"/>
          <w:sz w:val="22"/>
          <w:szCs w:val="22"/>
        </w:rPr>
        <w:t xml:space="preserve">56; </w:t>
      </w:r>
      <w:proofErr w:type="spellStart"/>
      <w:r w:rsidR="006F6764" w:rsidRPr="00F552F0">
        <w:rPr>
          <w:color w:val="000000"/>
          <w:sz w:val="22"/>
          <w:szCs w:val="22"/>
        </w:rPr>
        <w:t>Mankiw</w:t>
      </w:r>
      <w:proofErr w:type="spellEnd"/>
      <w:r w:rsidR="006F6764" w:rsidRPr="00F552F0">
        <w:rPr>
          <w:color w:val="000000"/>
          <w:sz w:val="22"/>
          <w:szCs w:val="22"/>
        </w:rPr>
        <w:t xml:space="preserve"> </w:t>
      </w:r>
      <w:r w:rsidR="003D5871" w:rsidRPr="00F552F0">
        <w:rPr>
          <w:color w:val="000000"/>
          <w:sz w:val="22"/>
          <w:szCs w:val="22"/>
        </w:rPr>
        <w:t>et al.</w:t>
      </w:r>
      <w:r w:rsidR="002C144B" w:rsidRPr="00F552F0">
        <w:rPr>
          <w:i/>
          <w:color w:val="000000"/>
          <w:sz w:val="22"/>
          <w:szCs w:val="22"/>
        </w:rPr>
        <w:t>,</w:t>
      </w:r>
      <w:r w:rsidR="006F6764" w:rsidRPr="00F552F0">
        <w:rPr>
          <w:color w:val="000000"/>
          <w:sz w:val="22"/>
          <w:szCs w:val="22"/>
        </w:rPr>
        <w:t xml:space="preserve"> 1992). Because </w:t>
      </w:r>
      <w:proofErr w:type="spellStart"/>
      <w:r w:rsidR="006F6764" w:rsidRPr="00F552F0">
        <w:rPr>
          <w:color w:val="000000"/>
          <w:sz w:val="22"/>
          <w:szCs w:val="22"/>
        </w:rPr>
        <w:t>Barro</w:t>
      </w:r>
      <w:proofErr w:type="spellEnd"/>
      <w:r w:rsidR="006F6764" w:rsidRPr="00F552F0">
        <w:rPr>
          <w:color w:val="000000"/>
          <w:sz w:val="22"/>
          <w:szCs w:val="22"/>
        </w:rPr>
        <w:t xml:space="preserve"> (</w:t>
      </w:r>
      <w:r w:rsidR="00ED4E48" w:rsidRPr="00F552F0">
        <w:rPr>
          <w:color w:val="000000"/>
          <w:sz w:val="22"/>
          <w:szCs w:val="22"/>
        </w:rPr>
        <w:t>1997</w:t>
      </w:r>
      <w:r w:rsidR="006F6764" w:rsidRPr="00F552F0">
        <w:rPr>
          <w:color w:val="000000"/>
          <w:sz w:val="22"/>
          <w:szCs w:val="22"/>
        </w:rPr>
        <w:t>) argues for a nonlinear relationship between economic growth and initial GDP, we also control for the square of the logarithm of the cou</w:t>
      </w:r>
      <w:r w:rsidR="007C3E8D" w:rsidRPr="00F552F0">
        <w:rPr>
          <w:color w:val="000000"/>
          <w:sz w:val="22"/>
          <w:szCs w:val="22"/>
        </w:rPr>
        <w:t xml:space="preserve">ntry’s per capita GDP in 1992. </w:t>
      </w:r>
      <w:r w:rsidR="006F6764" w:rsidRPr="00F552F0">
        <w:rPr>
          <w:color w:val="000000"/>
          <w:sz w:val="22"/>
          <w:szCs w:val="22"/>
        </w:rPr>
        <w:t>More generally, i</w:t>
      </w:r>
      <w:r w:rsidRPr="00F552F0">
        <w:rPr>
          <w:color w:val="000000"/>
          <w:sz w:val="22"/>
          <w:szCs w:val="22"/>
        </w:rPr>
        <w:t xml:space="preserve">nitial </w:t>
      </w:r>
      <w:r w:rsidRPr="00F552F0">
        <w:rPr>
          <w:rFonts w:ascii="TimesNewRoman" w:hAnsi="TimesNewRoman" w:cs="TimesNewRoman"/>
          <w:sz w:val="22"/>
          <w:szCs w:val="22"/>
        </w:rPr>
        <w:t xml:space="preserve">economic development is </w:t>
      </w:r>
      <w:r w:rsidR="006F6764" w:rsidRPr="00F552F0">
        <w:rPr>
          <w:rFonts w:ascii="TimesNewRoman" w:hAnsi="TimesNewRoman" w:cs="TimesNewRoman"/>
          <w:sz w:val="22"/>
          <w:szCs w:val="22"/>
        </w:rPr>
        <w:t xml:space="preserve">also </w:t>
      </w:r>
      <w:r w:rsidRPr="00F552F0">
        <w:rPr>
          <w:rFonts w:ascii="TimesNewRoman" w:hAnsi="TimesNewRoman" w:cs="TimesNewRoman"/>
          <w:sz w:val="22"/>
          <w:szCs w:val="22"/>
        </w:rPr>
        <w:t>associated with higher quality institutions (North</w:t>
      </w:r>
      <w:r w:rsidR="00297A6C" w:rsidRPr="00F552F0">
        <w:rPr>
          <w:rFonts w:ascii="TimesNewRoman" w:hAnsi="TimesNewRoman" w:cs="TimesNewRoman"/>
          <w:sz w:val="22"/>
          <w:szCs w:val="22"/>
        </w:rPr>
        <w:t xml:space="preserve"> 19</w:t>
      </w:r>
      <w:r w:rsidRPr="00F552F0">
        <w:rPr>
          <w:rFonts w:ascii="TimesNewRoman" w:hAnsi="TimesNewRoman" w:cs="TimesNewRoman"/>
          <w:sz w:val="22"/>
          <w:szCs w:val="22"/>
        </w:rPr>
        <w:t>8</w:t>
      </w:r>
      <w:r w:rsidR="00E82BB7" w:rsidRPr="00F552F0">
        <w:rPr>
          <w:rFonts w:ascii="TimesNewRoman" w:hAnsi="TimesNewRoman" w:cs="TimesNewRoman"/>
          <w:sz w:val="22"/>
          <w:szCs w:val="22"/>
        </w:rPr>
        <w:t>9</w:t>
      </w:r>
      <w:r w:rsidRPr="00F552F0">
        <w:rPr>
          <w:rFonts w:ascii="TimesNewRoman" w:hAnsi="TimesNewRoman" w:cs="TimesNewRoman"/>
          <w:sz w:val="22"/>
          <w:szCs w:val="22"/>
        </w:rPr>
        <w:t xml:space="preserve">, La </w:t>
      </w:r>
      <w:proofErr w:type="spellStart"/>
      <w:r w:rsidRPr="00F552F0">
        <w:rPr>
          <w:rFonts w:ascii="TimesNewRoman" w:hAnsi="TimesNewRoman" w:cs="TimesNewRoman"/>
          <w:sz w:val="22"/>
          <w:szCs w:val="22"/>
        </w:rPr>
        <w:t>Porta</w:t>
      </w:r>
      <w:proofErr w:type="spellEnd"/>
      <w:r w:rsidRPr="00F552F0">
        <w:rPr>
          <w:rFonts w:ascii="TimesNewRoman" w:hAnsi="TimesNewRoman" w:cs="TimesNewRoman"/>
          <w:sz w:val="22"/>
          <w:szCs w:val="22"/>
        </w:rPr>
        <w:t xml:space="preserve"> </w:t>
      </w:r>
      <w:r w:rsidR="003D5871" w:rsidRPr="00F552F0">
        <w:rPr>
          <w:rFonts w:ascii="TimesNewRoman" w:hAnsi="TimesNewRoman" w:cs="TimesNewRoman"/>
          <w:sz w:val="22"/>
          <w:szCs w:val="22"/>
        </w:rPr>
        <w:t>et al.</w:t>
      </w:r>
      <w:proofErr w:type="gramStart"/>
      <w:r w:rsidR="002C144B" w:rsidRPr="00F552F0">
        <w:rPr>
          <w:rFonts w:ascii="TimesNewRoman" w:hAnsi="TimesNewRoman" w:cs="TimesNewRoman"/>
          <w:sz w:val="22"/>
          <w:szCs w:val="22"/>
        </w:rPr>
        <w:t>,</w:t>
      </w:r>
      <w:r w:rsidRPr="00F552F0">
        <w:rPr>
          <w:rFonts w:ascii="TimesNewRoman" w:hAnsi="TimesNewRoman" w:cs="TimesNewRoman"/>
          <w:sz w:val="22"/>
          <w:szCs w:val="22"/>
        </w:rPr>
        <w:t>1999</w:t>
      </w:r>
      <w:proofErr w:type="gramEnd"/>
      <w:r w:rsidRPr="00F552F0">
        <w:rPr>
          <w:rFonts w:ascii="TimesNewRoman" w:hAnsi="TimesNewRoman" w:cs="TimesNewRoman"/>
          <w:sz w:val="22"/>
          <w:szCs w:val="22"/>
        </w:rPr>
        <w:t xml:space="preserve">), which could limit the </w:t>
      </w:r>
      <w:r w:rsidR="006F6764" w:rsidRPr="00F552F0">
        <w:rPr>
          <w:rFonts w:ascii="TimesNewRoman" w:hAnsi="TimesNewRoman" w:cs="TimesNewRoman"/>
          <w:sz w:val="22"/>
          <w:szCs w:val="22"/>
        </w:rPr>
        <w:t xml:space="preserve">scope for </w:t>
      </w:r>
      <w:r w:rsidRPr="00F552F0">
        <w:rPr>
          <w:rFonts w:ascii="TimesNewRoman" w:hAnsi="TimesNewRoman" w:cs="TimesNewRoman"/>
          <w:sz w:val="22"/>
          <w:szCs w:val="22"/>
        </w:rPr>
        <w:t xml:space="preserve">capital </w:t>
      </w:r>
      <w:r w:rsidR="006F6764" w:rsidRPr="00F552F0">
        <w:rPr>
          <w:rFonts w:ascii="TimesNewRoman" w:hAnsi="TimesNewRoman" w:cs="TimesNewRoman"/>
          <w:sz w:val="22"/>
          <w:szCs w:val="22"/>
        </w:rPr>
        <w:t>mis</w:t>
      </w:r>
      <w:r w:rsidRPr="00F552F0">
        <w:rPr>
          <w:rFonts w:ascii="TimesNewRoman" w:hAnsi="TimesNewRoman" w:cs="TimesNewRoman"/>
          <w:sz w:val="22"/>
          <w:szCs w:val="22"/>
        </w:rPr>
        <w:t>allocation</w:t>
      </w:r>
      <w:r w:rsidR="006F6764" w:rsidRPr="00F552F0">
        <w:rPr>
          <w:rFonts w:ascii="TimesNewRoman" w:hAnsi="TimesNewRoman" w:cs="TimesNewRoman"/>
          <w:sz w:val="22"/>
          <w:szCs w:val="22"/>
        </w:rPr>
        <w:t xml:space="preserve"> by providing more effective checks on bank misgovernance</w:t>
      </w:r>
      <w:r w:rsidRPr="00F552F0">
        <w:rPr>
          <w:rFonts w:ascii="TimesNewRoman" w:hAnsi="TimesNewRoman" w:cs="TimesNewRoman"/>
          <w:sz w:val="22"/>
          <w:szCs w:val="22"/>
        </w:rPr>
        <w:t xml:space="preserve">. </w:t>
      </w:r>
    </w:p>
    <w:p w:rsidR="00E00D0A" w:rsidRPr="00F552F0" w:rsidRDefault="006F6764" w:rsidP="00717D54">
      <w:pPr>
        <w:autoSpaceDE w:val="0"/>
        <w:autoSpaceDN w:val="0"/>
        <w:adjustRightInd w:val="0"/>
        <w:spacing w:line="440" w:lineRule="exact"/>
        <w:ind w:firstLine="720"/>
        <w:jc w:val="both"/>
        <w:rPr>
          <w:color w:val="000000"/>
          <w:sz w:val="22"/>
          <w:szCs w:val="22"/>
        </w:rPr>
      </w:pPr>
      <w:r w:rsidRPr="00F552F0">
        <w:rPr>
          <w:color w:val="000000"/>
          <w:sz w:val="22"/>
          <w:szCs w:val="22"/>
        </w:rPr>
        <w:t>W</w:t>
      </w:r>
      <w:r w:rsidR="004C3644" w:rsidRPr="00F552F0">
        <w:rPr>
          <w:color w:val="000000"/>
          <w:sz w:val="22"/>
          <w:szCs w:val="22"/>
        </w:rPr>
        <w:t xml:space="preserve">e control for </w:t>
      </w:r>
      <w:r w:rsidRPr="00F552F0">
        <w:rPr>
          <w:color w:val="000000"/>
          <w:sz w:val="22"/>
          <w:szCs w:val="22"/>
        </w:rPr>
        <w:t>a</w:t>
      </w:r>
      <w:r w:rsidR="004C3644" w:rsidRPr="00F552F0">
        <w:rPr>
          <w:color w:val="000000"/>
          <w:sz w:val="22"/>
          <w:szCs w:val="22"/>
        </w:rPr>
        <w:t xml:space="preserve"> country's </w:t>
      </w:r>
      <w:r w:rsidRPr="00F552F0">
        <w:rPr>
          <w:color w:val="000000"/>
          <w:sz w:val="22"/>
          <w:szCs w:val="22"/>
        </w:rPr>
        <w:t xml:space="preserve">general financial development with measures of the sizes of its </w:t>
      </w:r>
      <w:r w:rsidR="004C3644" w:rsidRPr="00F552F0">
        <w:rPr>
          <w:color w:val="000000"/>
          <w:sz w:val="22"/>
          <w:szCs w:val="22"/>
        </w:rPr>
        <w:t>equity and credit markets relative to its GD</w:t>
      </w:r>
      <w:r w:rsidRPr="00F552F0">
        <w:rPr>
          <w:color w:val="000000"/>
          <w:sz w:val="22"/>
          <w:szCs w:val="22"/>
        </w:rPr>
        <w:t xml:space="preserve">P, following King </w:t>
      </w:r>
      <w:r w:rsidR="00E82874" w:rsidRPr="00F552F0">
        <w:rPr>
          <w:color w:val="000000"/>
          <w:sz w:val="22"/>
          <w:szCs w:val="22"/>
        </w:rPr>
        <w:t>and</w:t>
      </w:r>
      <w:r w:rsidRPr="00F552F0">
        <w:rPr>
          <w:color w:val="000000"/>
          <w:sz w:val="22"/>
          <w:szCs w:val="22"/>
        </w:rPr>
        <w:t xml:space="preserve"> Levine (1993</w:t>
      </w:r>
      <w:r w:rsidR="00556B11" w:rsidRPr="00F552F0">
        <w:rPr>
          <w:color w:val="000000"/>
          <w:sz w:val="22"/>
          <w:szCs w:val="22"/>
        </w:rPr>
        <w:t>a</w:t>
      </w:r>
      <w:r w:rsidRPr="00F552F0">
        <w:rPr>
          <w:color w:val="000000"/>
          <w:sz w:val="22"/>
          <w:szCs w:val="22"/>
        </w:rPr>
        <w:t xml:space="preserve">), La </w:t>
      </w:r>
      <w:proofErr w:type="spellStart"/>
      <w:r w:rsidRPr="00F552F0">
        <w:rPr>
          <w:color w:val="000000"/>
          <w:sz w:val="22"/>
          <w:szCs w:val="22"/>
        </w:rPr>
        <w:t>Porta</w:t>
      </w:r>
      <w:proofErr w:type="spellEnd"/>
      <w:r w:rsidRPr="00F552F0">
        <w:rPr>
          <w:color w:val="000000"/>
          <w:sz w:val="22"/>
          <w:szCs w:val="22"/>
        </w:rPr>
        <w:t xml:space="preserve"> </w:t>
      </w:r>
      <w:r w:rsidR="003D5871" w:rsidRPr="00F552F0">
        <w:rPr>
          <w:color w:val="000000"/>
          <w:sz w:val="22"/>
          <w:szCs w:val="22"/>
        </w:rPr>
        <w:t>et al.</w:t>
      </w:r>
      <w:r w:rsidRPr="00F552F0">
        <w:rPr>
          <w:color w:val="000000"/>
          <w:sz w:val="22"/>
          <w:szCs w:val="22"/>
        </w:rPr>
        <w:t xml:space="preserve"> (1997),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Pr="00F552F0">
        <w:rPr>
          <w:color w:val="000000"/>
          <w:sz w:val="22"/>
          <w:szCs w:val="22"/>
        </w:rPr>
        <w:t xml:space="preserve"> (1998), and </w:t>
      </w:r>
      <w:proofErr w:type="spellStart"/>
      <w:r w:rsidRPr="00F552F0">
        <w:rPr>
          <w:color w:val="000000"/>
          <w:sz w:val="22"/>
          <w:szCs w:val="22"/>
        </w:rPr>
        <w:t>Wurgler</w:t>
      </w:r>
      <w:proofErr w:type="spellEnd"/>
      <w:r w:rsidRPr="00F552F0">
        <w:rPr>
          <w:color w:val="000000"/>
          <w:sz w:val="22"/>
          <w:szCs w:val="22"/>
        </w:rPr>
        <w:t xml:space="preserve"> (2000)</w:t>
      </w:r>
      <w:r w:rsidR="004C3644" w:rsidRPr="00F552F0">
        <w:rPr>
          <w:color w:val="000000"/>
          <w:sz w:val="22"/>
          <w:szCs w:val="22"/>
        </w:rPr>
        <w:t xml:space="preserve">. </w:t>
      </w:r>
      <w:r w:rsidR="00027F58" w:rsidRPr="00F552F0">
        <w:rPr>
          <w:i/>
          <w:color w:val="000000"/>
          <w:sz w:val="22"/>
          <w:szCs w:val="22"/>
        </w:rPr>
        <w:t>Stock market size</w:t>
      </w:r>
      <w:r w:rsidR="00027F58" w:rsidRPr="00F552F0">
        <w:rPr>
          <w:color w:val="000000"/>
          <w:sz w:val="22"/>
          <w:szCs w:val="22"/>
        </w:rPr>
        <w:t xml:space="preserve"> is the country’s total stock market capitalization as a fraction of GDP, aver</w:t>
      </w:r>
      <w:r w:rsidR="00A711D3" w:rsidRPr="00F552F0">
        <w:rPr>
          <w:color w:val="000000"/>
          <w:sz w:val="22"/>
          <w:szCs w:val="22"/>
        </w:rPr>
        <w:t>aged across 1993 through 2003</w:t>
      </w:r>
      <w:r w:rsidR="00027F58" w:rsidRPr="00F552F0">
        <w:rPr>
          <w:color w:val="000000"/>
          <w:sz w:val="22"/>
          <w:szCs w:val="22"/>
        </w:rPr>
        <w:t xml:space="preserve"> to smoo</w:t>
      </w:r>
      <w:r w:rsidR="001F449F" w:rsidRPr="00F552F0">
        <w:rPr>
          <w:color w:val="000000"/>
          <w:sz w:val="22"/>
          <w:szCs w:val="22"/>
        </w:rPr>
        <w:t>th out any cyclical variations.</w:t>
      </w:r>
      <w:r w:rsidR="00027F58" w:rsidRPr="00F552F0">
        <w:rPr>
          <w:color w:val="000000"/>
          <w:sz w:val="22"/>
          <w:szCs w:val="22"/>
        </w:rPr>
        <w:t xml:space="preserve"> </w:t>
      </w:r>
      <w:r w:rsidR="004C3644" w:rsidRPr="00F552F0">
        <w:rPr>
          <w:i/>
          <w:color w:val="000000"/>
          <w:sz w:val="22"/>
          <w:szCs w:val="22"/>
        </w:rPr>
        <w:t>Banking system size</w:t>
      </w:r>
      <w:r w:rsidR="004C3644" w:rsidRPr="00F552F0">
        <w:rPr>
          <w:color w:val="000000"/>
          <w:sz w:val="22"/>
          <w:szCs w:val="22"/>
        </w:rPr>
        <w:t xml:space="preserve"> is the total bank credit outstanding as a fraction of GDP, </w:t>
      </w:r>
      <w:r w:rsidR="00A711D3" w:rsidRPr="00F552F0">
        <w:rPr>
          <w:color w:val="000000"/>
          <w:sz w:val="22"/>
          <w:szCs w:val="22"/>
        </w:rPr>
        <w:t xml:space="preserve">likewise </w:t>
      </w:r>
      <w:r w:rsidR="004C3644" w:rsidRPr="00F552F0">
        <w:rPr>
          <w:color w:val="000000"/>
          <w:sz w:val="22"/>
          <w:szCs w:val="22"/>
        </w:rPr>
        <w:t>aver</w:t>
      </w:r>
      <w:r w:rsidR="007C3E8D" w:rsidRPr="00F552F0">
        <w:rPr>
          <w:color w:val="000000"/>
          <w:sz w:val="22"/>
          <w:szCs w:val="22"/>
        </w:rPr>
        <w:t xml:space="preserve">aged across 1993 through 2003. </w:t>
      </w:r>
      <w:r w:rsidR="00027F58" w:rsidRPr="00F552F0">
        <w:rPr>
          <w:color w:val="000000"/>
          <w:sz w:val="22"/>
          <w:szCs w:val="22"/>
        </w:rPr>
        <w:t>We control for stock market size because stock markets provide alternatives to banks for firms seeking capital (Levine</w:t>
      </w:r>
      <w:r w:rsidR="002C144B" w:rsidRPr="00F552F0">
        <w:rPr>
          <w:color w:val="000000"/>
          <w:sz w:val="22"/>
          <w:szCs w:val="22"/>
        </w:rPr>
        <w:t>,</w:t>
      </w:r>
      <w:r w:rsidR="00297A6C" w:rsidRPr="00F552F0">
        <w:rPr>
          <w:color w:val="000000"/>
          <w:sz w:val="22"/>
          <w:szCs w:val="22"/>
        </w:rPr>
        <w:t xml:space="preserve"> 200</w:t>
      </w:r>
      <w:r w:rsidR="007C3E8D" w:rsidRPr="00F552F0">
        <w:rPr>
          <w:color w:val="000000"/>
          <w:sz w:val="22"/>
          <w:szCs w:val="22"/>
        </w:rPr>
        <w:t xml:space="preserve">2). </w:t>
      </w:r>
      <w:r w:rsidR="00027F58" w:rsidRPr="00F552F0">
        <w:rPr>
          <w:color w:val="000000"/>
          <w:sz w:val="22"/>
          <w:szCs w:val="22"/>
        </w:rPr>
        <w:t>Consequently, a country with a large efficient stock market might allocate capital efficiently regardless of what sort of banking system it has.</w:t>
      </w:r>
      <w:r w:rsidR="00717D54" w:rsidRPr="00F552F0">
        <w:rPr>
          <w:color w:val="000000"/>
          <w:sz w:val="22"/>
          <w:szCs w:val="22"/>
        </w:rPr>
        <w:t xml:space="preserve"> </w:t>
      </w:r>
    </w:p>
    <w:p w:rsidR="00717D54" w:rsidRPr="00F552F0" w:rsidRDefault="00332221" w:rsidP="00717D54">
      <w:pPr>
        <w:autoSpaceDE w:val="0"/>
        <w:autoSpaceDN w:val="0"/>
        <w:adjustRightInd w:val="0"/>
        <w:spacing w:line="440" w:lineRule="exact"/>
        <w:ind w:firstLine="720"/>
        <w:jc w:val="both"/>
        <w:rPr>
          <w:color w:val="000000"/>
          <w:sz w:val="22"/>
          <w:szCs w:val="22"/>
        </w:rPr>
      </w:pPr>
      <w:r w:rsidRPr="00F552F0">
        <w:rPr>
          <w:color w:val="000000"/>
          <w:sz w:val="22"/>
          <w:szCs w:val="22"/>
        </w:rPr>
        <w:t>Our</w:t>
      </w:r>
      <w:r w:rsidR="00717D54" w:rsidRPr="00F552F0">
        <w:rPr>
          <w:color w:val="000000"/>
          <w:sz w:val="22"/>
          <w:szCs w:val="22"/>
        </w:rPr>
        <w:t xml:space="preserve"> </w:t>
      </w:r>
      <w:r w:rsidRPr="00F552F0">
        <w:rPr>
          <w:color w:val="000000"/>
          <w:sz w:val="22"/>
          <w:szCs w:val="22"/>
        </w:rPr>
        <w:t xml:space="preserve">cross-country </w:t>
      </w:r>
      <w:r w:rsidR="00E00D0A" w:rsidRPr="00F552F0">
        <w:rPr>
          <w:color w:val="000000"/>
          <w:sz w:val="22"/>
          <w:szCs w:val="22"/>
        </w:rPr>
        <w:t>ind</w:t>
      </w:r>
      <w:r w:rsidRPr="00F552F0">
        <w:rPr>
          <w:color w:val="000000"/>
          <w:sz w:val="22"/>
          <w:szCs w:val="22"/>
        </w:rPr>
        <w:t xml:space="preserve">ustry-level regressions of value-added growth rates on </w:t>
      </w:r>
      <w:r w:rsidR="0003776B" w:rsidRPr="00F552F0">
        <w:rPr>
          <w:color w:val="000000"/>
          <w:sz w:val="22"/>
          <w:szCs w:val="22"/>
        </w:rPr>
        <w:t>interaction</w:t>
      </w:r>
      <w:r w:rsidRPr="00F552F0">
        <w:rPr>
          <w:color w:val="000000"/>
          <w:sz w:val="22"/>
          <w:szCs w:val="22"/>
        </w:rPr>
        <w:t>s</w:t>
      </w:r>
      <w:r w:rsidR="009813A7" w:rsidRPr="00F552F0">
        <w:rPr>
          <w:color w:val="000000"/>
          <w:sz w:val="22"/>
          <w:szCs w:val="22"/>
        </w:rPr>
        <w:t xml:space="preserve"> of bank control</w:t>
      </w:r>
      <w:r w:rsidR="0003776B" w:rsidRPr="00F552F0">
        <w:rPr>
          <w:color w:val="000000"/>
          <w:sz w:val="22"/>
          <w:szCs w:val="22"/>
        </w:rPr>
        <w:t xml:space="preserve"> with external</w:t>
      </w:r>
      <w:r w:rsidR="006D635D" w:rsidRPr="00F552F0">
        <w:rPr>
          <w:color w:val="000000"/>
          <w:sz w:val="22"/>
          <w:szCs w:val="22"/>
        </w:rPr>
        <w:t>-</w:t>
      </w:r>
      <w:r w:rsidRPr="00F552F0">
        <w:rPr>
          <w:color w:val="000000"/>
          <w:sz w:val="22"/>
          <w:szCs w:val="22"/>
        </w:rPr>
        <w:t xml:space="preserve">finance </w:t>
      </w:r>
      <w:r w:rsidR="0003776B" w:rsidRPr="00F552F0">
        <w:rPr>
          <w:color w:val="000000"/>
          <w:sz w:val="22"/>
          <w:szCs w:val="22"/>
        </w:rPr>
        <w:t>dependence</w:t>
      </w:r>
      <w:r w:rsidR="003221F5" w:rsidRPr="00F552F0">
        <w:rPr>
          <w:color w:val="000000"/>
          <w:sz w:val="22"/>
          <w:szCs w:val="22"/>
        </w:rPr>
        <w:t xml:space="preserve"> </w:t>
      </w:r>
      <w:r w:rsidR="00717D54" w:rsidRPr="00F552F0">
        <w:rPr>
          <w:color w:val="000000"/>
          <w:sz w:val="22"/>
          <w:szCs w:val="22"/>
        </w:rPr>
        <w:t xml:space="preserve">control for both industry and country </w:t>
      </w:r>
      <w:r w:rsidRPr="00F552F0">
        <w:rPr>
          <w:color w:val="000000"/>
          <w:sz w:val="22"/>
          <w:szCs w:val="22"/>
        </w:rPr>
        <w:t>fixed effects</w:t>
      </w:r>
      <w:r w:rsidR="00717D54" w:rsidRPr="00F552F0">
        <w:rPr>
          <w:color w:val="000000"/>
          <w:sz w:val="22"/>
          <w:szCs w:val="22"/>
        </w:rPr>
        <w:t xml:space="preserve">. Following </w:t>
      </w:r>
      <w:proofErr w:type="spellStart"/>
      <w:r w:rsidR="00717D54" w:rsidRPr="00F552F0">
        <w:rPr>
          <w:color w:val="000000"/>
          <w:sz w:val="22"/>
          <w:szCs w:val="22"/>
        </w:rPr>
        <w:t>Rajan</w:t>
      </w:r>
      <w:proofErr w:type="spellEnd"/>
      <w:r w:rsidR="00717D54" w:rsidRPr="00F552F0">
        <w:rPr>
          <w:color w:val="000000"/>
          <w:sz w:val="22"/>
          <w:szCs w:val="22"/>
        </w:rPr>
        <w:t xml:space="preserve"> and </w:t>
      </w:r>
      <w:proofErr w:type="spellStart"/>
      <w:r w:rsidR="00717D54" w:rsidRPr="00F552F0">
        <w:rPr>
          <w:color w:val="000000"/>
          <w:sz w:val="22"/>
          <w:szCs w:val="22"/>
        </w:rPr>
        <w:t>Zingales</w:t>
      </w:r>
      <w:proofErr w:type="spellEnd"/>
      <w:r w:rsidR="00717D54" w:rsidRPr="00F552F0">
        <w:rPr>
          <w:color w:val="000000"/>
          <w:sz w:val="22"/>
          <w:szCs w:val="22"/>
        </w:rPr>
        <w:t xml:space="preserve"> (1998)</w:t>
      </w:r>
      <w:r w:rsidRPr="00F552F0">
        <w:rPr>
          <w:color w:val="000000"/>
          <w:sz w:val="22"/>
          <w:szCs w:val="22"/>
        </w:rPr>
        <w:t>,</w:t>
      </w:r>
      <w:r w:rsidR="00717D54" w:rsidRPr="00F552F0">
        <w:rPr>
          <w:color w:val="000000"/>
          <w:sz w:val="22"/>
          <w:szCs w:val="22"/>
        </w:rPr>
        <w:t xml:space="preserve"> </w:t>
      </w:r>
      <w:r w:rsidRPr="00F552F0">
        <w:rPr>
          <w:color w:val="000000"/>
          <w:sz w:val="22"/>
          <w:szCs w:val="22"/>
        </w:rPr>
        <w:t>these regressions</w:t>
      </w:r>
      <w:r w:rsidR="00717D54" w:rsidRPr="00F552F0">
        <w:rPr>
          <w:color w:val="000000"/>
          <w:sz w:val="22"/>
          <w:szCs w:val="22"/>
        </w:rPr>
        <w:t xml:space="preserve"> also control for </w:t>
      </w:r>
      <w:r w:rsidR="00717D54" w:rsidRPr="00F552F0">
        <w:rPr>
          <w:i/>
          <w:color w:val="000000"/>
          <w:sz w:val="22"/>
          <w:szCs w:val="22"/>
        </w:rPr>
        <w:t>industry share</w:t>
      </w:r>
      <w:r w:rsidR="00717D54" w:rsidRPr="00F552F0">
        <w:rPr>
          <w:color w:val="000000"/>
          <w:sz w:val="22"/>
          <w:szCs w:val="22"/>
        </w:rPr>
        <w:t xml:space="preserve">, </w:t>
      </w:r>
      <w:r w:rsidRPr="00F552F0">
        <w:rPr>
          <w:color w:val="000000"/>
          <w:sz w:val="22"/>
          <w:szCs w:val="22"/>
        </w:rPr>
        <w:t>defined as the industry’s</w:t>
      </w:r>
      <w:r w:rsidR="00717D54" w:rsidRPr="00F552F0">
        <w:rPr>
          <w:color w:val="000000"/>
          <w:sz w:val="22"/>
          <w:szCs w:val="22"/>
        </w:rPr>
        <w:t xml:space="preserve"> </w:t>
      </w:r>
      <w:r w:rsidRPr="00F552F0">
        <w:rPr>
          <w:color w:val="000000"/>
          <w:sz w:val="22"/>
          <w:szCs w:val="22"/>
        </w:rPr>
        <w:t xml:space="preserve">share of its country’s </w:t>
      </w:r>
      <w:r w:rsidR="00717D54" w:rsidRPr="00F552F0">
        <w:rPr>
          <w:color w:val="000000"/>
          <w:sz w:val="22"/>
          <w:szCs w:val="22"/>
        </w:rPr>
        <w:t>value</w:t>
      </w:r>
      <w:r w:rsidRPr="00F552F0">
        <w:rPr>
          <w:color w:val="000000"/>
          <w:sz w:val="22"/>
          <w:szCs w:val="22"/>
        </w:rPr>
        <w:t>-</w:t>
      </w:r>
      <w:r w:rsidR="00717D54" w:rsidRPr="00F552F0">
        <w:rPr>
          <w:color w:val="000000"/>
          <w:sz w:val="22"/>
          <w:szCs w:val="22"/>
        </w:rPr>
        <w:t>added in 1992</w:t>
      </w:r>
      <w:r w:rsidRPr="00F552F0">
        <w:rPr>
          <w:color w:val="000000"/>
          <w:sz w:val="22"/>
          <w:szCs w:val="22"/>
        </w:rPr>
        <w:t>, because</w:t>
      </w:r>
      <w:r w:rsidR="00717D54" w:rsidRPr="00F552F0">
        <w:rPr>
          <w:color w:val="000000"/>
          <w:sz w:val="22"/>
          <w:szCs w:val="22"/>
        </w:rPr>
        <w:t xml:space="preserve"> larger </w:t>
      </w:r>
      <w:r w:rsidRPr="00F552F0">
        <w:rPr>
          <w:color w:val="000000"/>
          <w:sz w:val="22"/>
          <w:szCs w:val="22"/>
        </w:rPr>
        <w:t xml:space="preserve">industries are less able to sustain high growth rates, all else equal.  </w:t>
      </w:r>
    </w:p>
    <w:p w:rsidR="00883124" w:rsidRPr="00F552F0" w:rsidRDefault="00A711D3" w:rsidP="0088312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In </w:t>
      </w:r>
      <w:r w:rsidR="00717D54" w:rsidRPr="00F552F0">
        <w:rPr>
          <w:color w:val="000000"/>
          <w:sz w:val="22"/>
          <w:szCs w:val="22"/>
        </w:rPr>
        <w:t>country</w:t>
      </w:r>
      <w:r w:rsidR="007B4E8F" w:rsidRPr="00F552F0">
        <w:rPr>
          <w:color w:val="000000"/>
          <w:sz w:val="22"/>
          <w:szCs w:val="22"/>
        </w:rPr>
        <w:t>-level</w:t>
      </w:r>
      <w:r w:rsidR="00717D54" w:rsidRPr="00F552F0">
        <w:rPr>
          <w:color w:val="000000"/>
          <w:sz w:val="22"/>
          <w:szCs w:val="22"/>
        </w:rPr>
        <w:t xml:space="preserve"> </w:t>
      </w:r>
      <w:r w:rsidRPr="00F552F0">
        <w:rPr>
          <w:color w:val="000000"/>
          <w:sz w:val="22"/>
          <w:szCs w:val="22"/>
        </w:rPr>
        <w:t>growth regressions</w:t>
      </w:r>
      <w:r w:rsidR="00B002C1" w:rsidRPr="00F552F0">
        <w:rPr>
          <w:color w:val="000000"/>
          <w:sz w:val="22"/>
          <w:szCs w:val="22"/>
        </w:rPr>
        <w:t>,</w:t>
      </w:r>
      <w:r w:rsidRPr="00F552F0">
        <w:rPr>
          <w:color w:val="000000"/>
          <w:sz w:val="22"/>
          <w:szCs w:val="22"/>
        </w:rPr>
        <w:t xml:space="preserve"> we supplement</w:t>
      </w:r>
      <w:r w:rsidR="004C3644" w:rsidRPr="00F552F0">
        <w:rPr>
          <w:color w:val="000000"/>
          <w:sz w:val="22"/>
          <w:szCs w:val="22"/>
        </w:rPr>
        <w:t xml:space="preserve"> the above variables </w:t>
      </w:r>
      <w:r w:rsidRPr="00F552F0">
        <w:rPr>
          <w:color w:val="000000"/>
          <w:sz w:val="22"/>
          <w:szCs w:val="22"/>
        </w:rPr>
        <w:t>with additional</w:t>
      </w:r>
      <w:r w:rsidR="004C3644" w:rsidRPr="00F552F0">
        <w:rPr>
          <w:color w:val="000000"/>
          <w:sz w:val="22"/>
          <w:szCs w:val="22"/>
        </w:rPr>
        <w:t xml:space="preserve"> control</w:t>
      </w:r>
      <w:r w:rsidRPr="00F552F0">
        <w:rPr>
          <w:color w:val="000000"/>
          <w:sz w:val="22"/>
          <w:szCs w:val="22"/>
        </w:rPr>
        <w:t xml:space="preserve">s </w:t>
      </w:r>
      <w:r w:rsidR="004C3644" w:rsidRPr="00F552F0">
        <w:rPr>
          <w:color w:val="000000"/>
          <w:sz w:val="22"/>
          <w:szCs w:val="22"/>
        </w:rPr>
        <w:t xml:space="preserve">for </w:t>
      </w:r>
      <w:r w:rsidR="004C3644" w:rsidRPr="00F552F0">
        <w:rPr>
          <w:i/>
          <w:color w:val="000000"/>
          <w:sz w:val="22"/>
          <w:szCs w:val="22"/>
        </w:rPr>
        <w:t>human capital</w:t>
      </w:r>
      <w:r w:rsidR="0014284A" w:rsidRPr="00F552F0">
        <w:rPr>
          <w:i/>
          <w:color w:val="000000"/>
          <w:sz w:val="22"/>
          <w:szCs w:val="22"/>
        </w:rPr>
        <w:t xml:space="preserve"> </w:t>
      </w:r>
      <w:r w:rsidR="0014284A" w:rsidRPr="00F552F0">
        <w:rPr>
          <w:color w:val="000000"/>
          <w:sz w:val="22"/>
          <w:szCs w:val="22"/>
        </w:rPr>
        <w:t>(</w:t>
      </w:r>
      <w:proofErr w:type="spellStart"/>
      <w:r w:rsidR="0014284A" w:rsidRPr="00F552F0">
        <w:rPr>
          <w:color w:val="000000"/>
          <w:sz w:val="22"/>
          <w:szCs w:val="22"/>
        </w:rPr>
        <w:t>Barro</w:t>
      </w:r>
      <w:proofErr w:type="spellEnd"/>
      <w:r w:rsidR="00ED4E48" w:rsidRPr="00F552F0">
        <w:rPr>
          <w:color w:val="000000"/>
          <w:sz w:val="22"/>
          <w:szCs w:val="22"/>
        </w:rPr>
        <w:t xml:space="preserve"> </w:t>
      </w:r>
      <w:r w:rsidR="00E82874" w:rsidRPr="00F552F0">
        <w:rPr>
          <w:color w:val="000000"/>
          <w:sz w:val="22"/>
          <w:szCs w:val="22"/>
        </w:rPr>
        <w:t>and</w:t>
      </w:r>
      <w:r w:rsidR="00ED4E48" w:rsidRPr="00F552F0">
        <w:rPr>
          <w:color w:val="000000"/>
          <w:sz w:val="22"/>
          <w:szCs w:val="22"/>
        </w:rPr>
        <w:t xml:space="preserve"> Lee</w:t>
      </w:r>
      <w:r w:rsidR="002C144B" w:rsidRPr="00F552F0">
        <w:rPr>
          <w:color w:val="000000"/>
          <w:sz w:val="22"/>
          <w:szCs w:val="22"/>
        </w:rPr>
        <w:t>,</w:t>
      </w:r>
      <w:r w:rsidR="00297A6C" w:rsidRPr="00F552F0">
        <w:rPr>
          <w:color w:val="000000"/>
          <w:sz w:val="22"/>
          <w:szCs w:val="22"/>
        </w:rPr>
        <w:t xml:space="preserve"> 19</w:t>
      </w:r>
      <w:r w:rsidR="00ED4E48" w:rsidRPr="00F552F0">
        <w:rPr>
          <w:color w:val="000000"/>
          <w:sz w:val="22"/>
          <w:szCs w:val="22"/>
        </w:rPr>
        <w:t xml:space="preserve">96; </w:t>
      </w:r>
      <w:proofErr w:type="spellStart"/>
      <w:r w:rsidR="00ED4E48" w:rsidRPr="00F552F0">
        <w:rPr>
          <w:color w:val="000000"/>
          <w:sz w:val="22"/>
          <w:szCs w:val="22"/>
        </w:rPr>
        <w:t>Barro</w:t>
      </w:r>
      <w:proofErr w:type="spellEnd"/>
      <w:r w:rsidR="002C144B" w:rsidRPr="00F552F0">
        <w:rPr>
          <w:color w:val="000000"/>
          <w:sz w:val="22"/>
          <w:szCs w:val="22"/>
        </w:rPr>
        <w:t>,</w:t>
      </w:r>
      <w:r w:rsidR="00297A6C" w:rsidRPr="00F552F0">
        <w:rPr>
          <w:color w:val="000000"/>
          <w:sz w:val="22"/>
          <w:szCs w:val="22"/>
        </w:rPr>
        <w:t xml:space="preserve"> 200</w:t>
      </w:r>
      <w:r w:rsidR="0014284A" w:rsidRPr="00F552F0">
        <w:rPr>
          <w:color w:val="000000"/>
          <w:sz w:val="22"/>
          <w:szCs w:val="22"/>
        </w:rPr>
        <w:t>1)</w:t>
      </w:r>
      <w:r w:rsidR="0014284A" w:rsidRPr="00F552F0">
        <w:rPr>
          <w:i/>
          <w:color w:val="000000"/>
          <w:sz w:val="22"/>
          <w:szCs w:val="22"/>
        </w:rPr>
        <w:t xml:space="preserve">, </w:t>
      </w:r>
      <w:r w:rsidR="004C3644" w:rsidRPr="00F552F0">
        <w:rPr>
          <w:i/>
          <w:color w:val="000000"/>
          <w:sz w:val="22"/>
          <w:szCs w:val="22"/>
        </w:rPr>
        <w:t xml:space="preserve">trade openness </w:t>
      </w:r>
      <w:r w:rsidR="0014284A" w:rsidRPr="00F552F0">
        <w:rPr>
          <w:color w:val="000000"/>
          <w:sz w:val="22"/>
          <w:szCs w:val="22"/>
        </w:rPr>
        <w:t>(Krueger</w:t>
      </w:r>
      <w:r w:rsidR="002C144B" w:rsidRPr="00F552F0">
        <w:rPr>
          <w:color w:val="000000"/>
          <w:sz w:val="22"/>
          <w:szCs w:val="22"/>
        </w:rPr>
        <w:t>,</w:t>
      </w:r>
      <w:r w:rsidR="00297A6C" w:rsidRPr="00F552F0">
        <w:rPr>
          <w:color w:val="000000"/>
          <w:sz w:val="22"/>
          <w:szCs w:val="22"/>
        </w:rPr>
        <w:t xml:space="preserve"> 19</w:t>
      </w:r>
      <w:r w:rsidR="0014284A" w:rsidRPr="00F552F0">
        <w:rPr>
          <w:color w:val="000000"/>
          <w:sz w:val="22"/>
          <w:szCs w:val="22"/>
        </w:rPr>
        <w:t xml:space="preserve">98), </w:t>
      </w:r>
      <w:r w:rsidR="008308AA" w:rsidRPr="00F552F0">
        <w:rPr>
          <w:color w:val="000000"/>
          <w:sz w:val="22"/>
          <w:szCs w:val="22"/>
        </w:rPr>
        <w:t xml:space="preserve">and a </w:t>
      </w:r>
      <w:r w:rsidR="00B002C1" w:rsidRPr="00F552F0">
        <w:rPr>
          <w:i/>
          <w:color w:val="000000"/>
          <w:sz w:val="22"/>
          <w:szCs w:val="22"/>
        </w:rPr>
        <w:t>S</w:t>
      </w:r>
      <w:r w:rsidR="008308AA" w:rsidRPr="00F552F0">
        <w:rPr>
          <w:i/>
          <w:color w:val="000000"/>
          <w:sz w:val="22"/>
          <w:szCs w:val="22"/>
        </w:rPr>
        <w:t>ub-</w:t>
      </w:r>
      <w:r w:rsidR="008308AA" w:rsidRPr="00F552F0">
        <w:rPr>
          <w:i/>
          <w:color w:val="000000"/>
          <w:sz w:val="22"/>
          <w:szCs w:val="22"/>
        </w:rPr>
        <w:lastRenderedPageBreak/>
        <w:t>Saharan</w:t>
      </w:r>
      <w:r w:rsidR="004C3644" w:rsidRPr="00F552F0">
        <w:rPr>
          <w:i/>
          <w:color w:val="000000"/>
          <w:sz w:val="22"/>
          <w:szCs w:val="22"/>
        </w:rPr>
        <w:t xml:space="preserve"> African dummy</w:t>
      </w:r>
      <w:r w:rsidR="004C3644" w:rsidRPr="00F552F0">
        <w:rPr>
          <w:color w:val="000000"/>
          <w:sz w:val="22"/>
          <w:szCs w:val="22"/>
        </w:rPr>
        <w:t xml:space="preserve"> (</w:t>
      </w:r>
      <w:proofErr w:type="spellStart"/>
      <w:r w:rsidR="004C3644" w:rsidRPr="00F552F0">
        <w:rPr>
          <w:color w:val="000000"/>
          <w:sz w:val="22"/>
          <w:szCs w:val="22"/>
        </w:rPr>
        <w:t>Barro</w:t>
      </w:r>
      <w:proofErr w:type="spellEnd"/>
      <w:r w:rsidR="002C144B" w:rsidRPr="00F552F0">
        <w:rPr>
          <w:color w:val="000000"/>
          <w:sz w:val="22"/>
          <w:szCs w:val="22"/>
        </w:rPr>
        <w:t>,</w:t>
      </w:r>
      <w:r w:rsidR="00297A6C" w:rsidRPr="00F552F0">
        <w:rPr>
          <w:color w:val="000000"/>
          <w:sz w:val="22"/>
          <w:szCs w:val="22"/>
        </w:rPr>
        <w:t xml:space="preserve"> 19</w:t>
      </w:r>
      <w:r w:rsidR="004C3644" w:rsidRPr="00F552F0">
        <w:rPr>
          <w:color w:val="000000"/>
          <w:sz w:val="22"/>
          <w:szCs w:val="22"/>
        </w:rPr>
        <w:t xml:space="preserve">91), which are </w:t>
      </w:r>
      <w:r w:rsidRPr="00F552F0">
        <w:rPr>
          <w:color w:val="000000"/>
          <w:sz w:val="22"/>
          <w:szCs w:val="22"/>
        </w:rPr>
        <w:t xml:space="preserve">also </w:t>
      </w:r>
      <w:r w:rsidR="004C3644" w:rsidRPr="00F552F0">
        <w:rPr>
          <w:color w:val="000000"/>
          <w:sz w:val="22"/>
          <w:szCs w:val="22"/>
        </w:rPr>
        <w:t xml:space="preserve">shown to be </w:t>
      </w:r>
      <w:r w:rsidR="007C3E8D" w:rsidRPr="00F552F0">
        <w:rPr>
          <w:color w:val="000000"/>
          <w:sz w:val="22"/>
          <w:szCs w:val="22"/>
        </w:rPr>
        <w:t xml:space="preserve">important for economic growth. </w:t>
      </w:r>
      <w:r w:rsidR="004C3644" w:rsidRPr="00F552F0">
        <w:rPr>
          <w:color w:val="000000"/>
          <w:sz w:val="22"/>
          <w:szCs w:val="22"/>
        </w:rPr>
        <w:t xml:space="preserve">In our robustness tests, we also control for </w:t>
      </w:r>
      <w:bookmarkStart w:id="9" w:name="OLE_LINK8"/>
      <w:bookmarkStart w:id="10" w:name="OLE_LINK9"/>
      <w:r w:rsidR="004C3644" w:rsidRPr="00F552F0">
        <w:rPr>
          <w:i/>
          <w:color w:val="000000"/>
          <w:sz w:val="22"/>
          <w:szCs w:val="22"/>
        </w:rPr>
        <w:t>inflation</w:t>
      </w:r>
      <w:r w:rsidR="004C3644" w:rsidRPr="00F552F0">
        <w:rPr>
          <w:color w:val="000000"/>
          <w:sz w:val="22"/>
          <w:szCs w:val="22"/>
        </w:rPr>
        <w:t xml:space="preserve">, </w:t>
      </w:r>
      <w:r w:rsidR="004C3644" w:rsidRPr="00F552F0">
        <w:rPr>
          <w:i/>
          <w:color w:val="000000"/>
          <w:sz w:val="22"/>
          <w:szCs w:val="22"/>
        </w:rPr>
        <w:t>government</w:t>
      </w:r>
      <w:r w:rsidRPr="00F552F0">
        <w:rPr>
          <w:i/>
          <w:color w:val="000000"/>
          <w:sz w:val="22"/>
          <w:szCs w:val="22"/>
        </w:rPr>
        <w:t xml:space="preserve"> size</w:t>
      </w:r>
      <w:r w:rsidR="004C3644" w:rsidRPr="00F552F0">
        <w:rPr>
          <w:color w:val="000000"/>
          <w:sz w:val="22"/>
          <w:szCs w:val="22"/>
        </w:rPr>
        <w:t xml:space="preserve">, </w:t>
      </w:r>
      <w:r w:rsidR="004C3644" w:rsidRPr="00F552F0">
        <w:rPr>
          <w:i/>
          <w:color w:val="000000"/>
          <w:sz w:val="22"/>
          <w:szCs w:val="22"/>
        </w:rPr>
        <w:t>black market premium</w:t>
      </w:r>
      <w:r w:rsidR="004C3644" w:rsidRPr="00F552F0">
        <w:rPr>
          <w:color w:val="000000"/>
          <w:sz w:val="22"/>
          <w:szCs w:val="22"/>
        </w:rPr>
        <w:t xml:space="preserve">, </w:t>
      </w:r>
      <w:r w:rsidR="004C3644" w:rsidRPr="00F552F0">
        <w:rPr>
          <w:i/>
          <w:color w:val="000000"/>
          <w:sz w:val="22"/>
          <w:szCs w:val="22"/>
        </w:rPr>
        <w:t>average number of coups</w:t>
      </w:r>
      <w:r w:rsidR="004C3644" w:rsidRPr="00F552F0">
        <w:rPr>
          <w:color w:val="000000"/>
          <w:sz w:val="22"/>
          <w:szCs w:val="22"/>
        </w:rPr>
        <w:t xml:space="preserve">, </w:t>
      </w:r>
      <w:r w:rsidR="004C3644" w:rsidRPr="00F552F0">
        <w:rPr>
          <w:i/>
          <w:color w:val="000000"/>
          <w:sz w:val="22"/>
          <w:szCs w:val="22"/>
        </w:rPr>
        <w:t>average number of assassinations</w:t>
      </w:r>
      <w:bookmarkEnd w:id="9"/>
      <w:bookmarkEnd w:id="10"/>
      <w:r w:rsidRPr="00F552F0">
        <w:rPr>
          <w:color w:val="000000"/>
          <w:sz w:val="22"/>
          <w:szCs w:val="22"/>
        </w:rPr>
        <w:t>,</w:t>
      </w:r>
      <w:r w:rsidR="004C3644" w:rsidRPr="00F552F0">
        <w:rPr>
          <w:color w:val="000000"/>
          <w:sz w:val="22"/>
          <w:szCs w:val="22"/>
        </w:rPr>
        <w:t xml:space="preserve"> and </w:t>
      </w:r>
      <w:r w:rsidR="004C3644" w:rsidRPr="00F552F0">
        <w:rPr>
          <w:i/>
          <w:color w:val="000000"/>
          <w:sz w:val="22"/>
          <w:szCs w:val="22"/>
        </w:rPr>
        <w:t>ethnic diversity</w:t>
      </w:r>
      <w:r w:rsidR="00B002C1" w:rsidRPr="00F552F0">
        <w:rPr>
          <w:i/>
          <w:color w:val="000000"/>
          <w:sz w:val="22"/>
          <w:szCs w:val="22"/>
        </w:rPr>
        <w:t>,</w:t>
      </w:r>
      <w:r w:rsidR="00E06955" w:rsidRPr="00F552F0">
        <w:rPr>
          <w:i/>
          <w:color w:val="000000"/>
          <w:sz w:val="22"/>
          <w:szCs w:val="22"/>
        </w:rPr>
        <w:t xml:space="preserve"> </w:t>
      </w:r>
      <w:r w:rsidR="00E06955" w:rsidRPr="00F552F0">
        <w:rPr>
          <w:color w:val="000000"/>
          <w:sz w:val="22"/>
          <w:szCs w:val="22"/>
        </w:rPr>
        <w:t xml:space="preserve">individually and all </w:t>
      </w:r>
      <w:r w:rsidR="008308AA" w:rsidRPr="00F552F0">
        <w:rPr>
          <w:color w:val="000000"/>
          <w:sz w:val="22"/>
          <w:szCs w:val="22"/>
        </w:rPr>
        <w:t>together, as in</w:t>
      </w:r>
      <w:r w:rsidR="004C3644" w:rsidRPr="00F552F0">
        <w:rPr>
          <w:i/>
          <w:color w:val="000000"/>
          <w:sz w:val="22"/>
          <w:szCs w:val="22"/>
        </w:rPr>
        <w:t xml:space="preserve"> </w:t>
      </w:r>
      <w:r w:rsidR="004C3644" w:rsidRPr="00F552F0">
        <w:rPr>
          <w:color w:val="000000"/>
          <w:sz w:val="22"/>
          <w:szCs w:val="22"/>
        </w:rPr>
        <w:t xml:space="preserve">Beck </w:t>
      </w:r>
      <w:r w:rsidR="003D5871" w:rsidRPr="00F552F0">
        <w:rPr>
          <w:color w:val="000000"/>
          <w:sz w:val="22"/>
          <w:szCs w:val="22"/>
        </w:rPr>
        <w:t>et al.</w:t>
      </w:r>
      <w:r w:rsidR="004C3644" w:rsidRPr="00F552F0">
        <w:rPr>
          <w:color w:val="000000"/>
          <w:sz w:val="22"/>
          <w:szCs w:val="22"/>
        </w:rPr>
        <w:t xml:space="preserve"> (2000). </w:t>
      </w:r>
    </w:p>
    <w:p w:rsidR="00BB5D84" w:rsidRPr="00F552F0" w:rsidRDefault="00883124" w:rsidP="004002B7">
      <w:pPr>
        <w:keepNext/>
        <w:autoSpaceDE w:val="0"/>
        <w:autoSpaceDN w:val="0"/>
        <w:adjustRightInd w:val="0"/>
        <w:spacing w:line="440" w:lineRule="exact"/>
        <w:ind w:firstLine="720"/>
        <w:jc w:val="both"/>
        <w:rPr>
          <w:color w:val="000000"/>
          <w:sz w:val="22"/>
          <w:szCs w:val="22"/>
        </w:rPr>
      </w:pPr>
      <w:r w:rsidRPr="00F552F0">
        <w:rPr>
          <w:color w:val="000000"/>
          <w:sz w:val="22"/>
          <w:szCs w:val="22"/>
        </w:rPr>
        <w:t xml:space="preserve">To control for the extent to which economies entrust the governance of their big business sectors to business families, we take an oligarchy measure from </w:t>
      </w:r>
      <w:proofErr w:type="spellStart"/>
      <w:r w:rsidRPr="00F552F0">
        <w:rPr>
          <w:color w:val="000000"/>
          <w:sz w:val="22"/>
          <w:szCs w:val="22"/>
        </w:rPr>
        <w:t>Fogel</w:t>
      </w:r>
      <w:proofErr w:type="spellEnd"/>
      <w:r w:rsidRPr="00F552F0">
        <w:rPr>
          <w:color w:val="000000"/>
          <w:sz w:val="22"/>
          <w:szCs w:val="22"/>
        </w:rPr>
        <w:t xml:space="preserve"> (2006), who examines the economic and political impact of very large business empires controlled by families using an oli</w:t>
      </w:r>
      <w:r w:rsidR="004002B7" w:rsidRPr="00F552F0">
        <w:rPr>
          <w:color w:val="000000"/>
          <w:sz w:val="22"/>
          <w:szCs w:val="22"/>
        </w:rPr>
        <w:t>garchy index</w:t>
      </w:r>
      <w:r w:rsidR="00B002C1" w:rsidRPr="00F552F0">
        <w:rPr>
          <w:color w:val="000000"/>
          <w:sz w:val="22"/>
          <w:szCs w:val="22"/>
        </w:rPr>
        <w:t>.</w:t>
      </w:r>
      <w:r w:rsidRPr="00F552F0">
        <w:rPr>
          <w:color w:val="000000"/>
          <w:sz w:val="22"/>
          <w:szCs w:val="22"/>
        </w:rPr>
        <w:t xml:space="preserve"> First, she consolidates firms belonging to pyramidal business groups, through which one family can control many listed or unlisted firms. This lets her identify the largest ten domestically controlled non-government business empires.  This list includes both very large single businesses and business groups, ranked by total employee counts in 1996. Her oligarchy index for each country is the labor-force-weighted fraction of this list controlled by business families</w:t>
      </w:r>
      <w:r w:rsidR="00CE09A0" w:rsidRPr="00F552F0">
        <w:rPr>
          <w:color w:val="000000"/>
          <w:sz w:val="22"/>
          <w:szCs w:val="22"/>
        </w:rPr>
        <w:t>, defined as second generation or higher</w:t>
      </w:r>
      <w:r w:rsidR="00BB5D84" w:rsidRPr="00F552F0">
        <w:rPr>
          <w:color w:val="000000"/>
          <w:sz w:val="22"/>
          <w:szCs w:val="22"/>
        </w:rPr>
        <w:t xml:space="preserve">. </w:t>
      </w:r>
      <w:proofErr w:type="spellStart"/>
      <w:r w:rsidRPr="00F552F0">
        <w:rPr>
          <w:color w:val="000000"/>
          <w:sz w:val="22"/>
          <w:szCs w:val="22"/>
        </w:rPr>
        <w:t>Fogel</w:t>
      </w:r>
      <w:proofErr w:type="spellEnd"/>
      <w:r w:rsidRPr="00F552F0">
        <w:rPr>
          <w:color w:val="000000"/>
          <w:sz w:val="22"/>
          <w:szCs w:val="22"/>
        </w:rPr>
        <w:t xml:space="preserve"> acknowledges that this index may over or under estimate family control – for example, an economy may be dominated by many small family firms, but its largest few businesses might be widely held.  However, the measure is appropriate for our purpose because large family contro</w:t>
      </w:r>
      <w:r w:rsidR="000745B2" w:rsidRPr="00F552F0">
        <w:rPr>
          <w:color w:val="000000"/>
          <w:sz w:val="22"/>
          <w:szCs w:val="22"/>
        </w:rPr>
        <w:t>lled groups might have more</w:t>
      </w:r>
      <w:r w:rsidRPr="00F552F0">
        <w:rPr>
          <w:color w:val="000000"/>
          <w:sz w:val="22"/>
          <w:szCs w:val="22"/>
        </w:rPr>
        <w:t xml:space="preserve"> influence</w:t>
      </w:r>
      <w:r w:rsidR="000745B2" w:rsidRPr="00F552F0">
        <w:rPr>
          <w:color w:val="000000"/>
          <w:sz w:val="22"/>
          <w:szCs w:val="22"/>
        </w:rPr>
        <w:t xml:space="preserve"> on</w:t>
      </w:r>
      <w:r w:rsidRPr="00F552F0">
        <w:rPr>
          <w:color w:val="000000"/>
          <w:sz w:val="22"/>
          <w:szCs w:val="22"/>
        </w:rPr>
        <w:t xml:space="preserve"> capital allocation at the economy level.</w:t>
      </w:r>
    </w:p>
    <w:p w:rsidR="001E4697" w:rsidRPr="00F552F0" w:rsidRDefault="001E4697" w:rsidP="001E4697">
      <w:pPr>
        <w:keepNext/>
        <w:autoSpaceDE w:val="0"/>
        <w:autoSpaceDN w:val="0"/>
        <w:adjustRightInd w:val="0"/>
        <w:spacing w:line="440" w:lineRule="exact"/>
        <w:jc w:val="both"/>
        <w:rPr>
          <w:color w:val="000000"/>
          <w:sz w:val="22"/>
        </w:rPr>
      </w:pPr>
    </w:p>
    <w:p w:rsidR="004C3644" w:rsidRPr="00F552F0" w:rsidRDefault="003D5871">
      <w:pPr>
        <w:keepNext/>
        <w:autoSpaceDE w:val="0"/>
        <w:autoSpaceDN w:val="0"/>
        <w:adjustRightInd w:val="0"/>
        <w:spacing w:line="440" w:lineRule="exact"/>
        <w:jc w:val="both"/>
        <w:rPr>
          <w:i/>
          <w:color w:val="000000"/>
          <w:sz w:val="28"/>
        </w:rPr>
      </w:pPr>
      <w:r w:rsidRPr="00F552F0">
        <w:rPr>
          <w:i/>
          <w:color w:val="000000"/>
          <w:sz w:val="28"/>
        </w:rPr>
        <w:t>2.6.</w:t>
      </w:r>
      <w:r w:rsidRPr="00F552F0">
        <w:rPr>
          <w:i/>
          <w:color w:val="000000"/>
          <w:sz w:val="28"/>
        </w:rPr>
        <w:tab/>
        <w:t>Persistence issues</w:t>
      </w:r>
    </w:p>
    <w:p w:rsidR="00E21501" w:rsidRPr="00F552F0" w:rsidRDefault="004C3644">
      <w:pPr>
        <w:spacing w:line="440" w:lineRule="exact"/>
        <w:ind w:firstLine="720"/>
        <w:jc w:val="both"/>
        <w:rPr>
          <w:sz w:val="22"/>
          <w:szCs w:val="22"/>
        </w:rPr>
      </w:pPr>
      <w:r w:rsidRPr="00F552F0">
        <w:rPr>
          <w:sz w:val="22"/>
          <w:szCs w:val="22"/>
        </w:rPr>
        <w:t xml:space="preserve">During </w:t>
      </w:r>
      <w:r w:rsidR="00A711D3" w:rsidRPr="00F552F0">
        <w:rPr>
          <w:sz w:val="22"/>
          <w:szCs w:val="22"/>
        </w:rPr>
        <w:t>crises</w:t>
      </w:r>
      <w:r w:rsidRPr="00F552F0">
        <w:rPr>
          <w:sz w:val="22"/>
          <w:szCs w:val="22"/>
        </w:rPr>
        <w:t xml:space="preserve">, banks </w:t>
      </w:r>
      <w:r w:rsidR="00A711D3" w:rsidRPr="00F552F0">
        <w:rPr>
          <w:sz w:val="22"/>
          <w:szCs w:val="22"/>
        </w:rPr>
        <w:t>may be</w:t>
      </w:r>
      <w:r w:rsidRPr="00F552F0">
        <w:rPr>
          <w:sz w:val="22"/>
          <w:szCs w:val="22"/>
        </w:rPr>
        <w:t xml:space="preserve"> nationalized and then</w:t>
      </w:r>
      <w:r w:rsidR="0014284A" w:rsidRPr="00F552F0">
        <w:rPr>
          <w:sz w:val="22"/>
          <w:szCs w:val="22"/>
        </w:rPr>
        <w:t xml:space="preserve"> quickly</w:t>
      </w:r>
      <w:r w:rsidRPr="00F552F0">
        <w:rPr>
          <w:sz w:val="22"/>
          <w:szCs w:val="22"/>
        </w:rPr>
        <w:t xml:space="preserve"> </w:t>
      </w:r>
      <w:r w:rsidR="00BB5D84" w:rsidRPr="00F552F0">
        <w:rPr>
          <w:sz w:val="22"/>
          <w:szCs w:val="22"/>
        </w:rPr>
        <w:t>re</w:t>
      </w:r>
      <w:r w:rsidRPr="00F552F0">
        <w:rPr>
          <w:sz w:val="22"/>
          <w:szCs w:val="22"/>
        </w:rPr>
        <w:t>privatized</w:t>
      </w:r>
      <w:r w:rsidR="0014284A" w:rsidRPr="00F552F0">
        <w:rPr>
          <w:sz w:val="22"/>
          <w:szCs w:val="22"/>
        </w:rPr>
        <w:t>, making bank control data from a period without major crises preferable for our purposes</w:t>
      </w:r>
      <w:r w:rsidRPr="00F552F0">
        <w:rPr>
          <w:sz w:val="22"/>
          <w:szCs w:val="22"/>
        </w:rPr>
        <w:t>.</w:t>
      </w:r>
      <w:r w:rsidR="00364C39" w:rsidRPr="00F552F0">
        <w:rPr>
          <w:sz w:val="22"/>
          <w:szCs w:val="22"/>
        </w:rPr>
        <w:t xml:space="preserve"> </w:t>
      </w:r>
      <w:r w:rsidR="00083A7D" w:rsidRPr="00F552F0">
        <w:rPr>
          <w:sz w:val="22"/>
          <w:szCs w:val="22"/>
        </w:rPr>
        <w:t xml:space="preserve">We </w:t>
      </w:r>
      <w:r w:rsidR="00A711D3" w:rsidRPr="00F552F0">
        <w:rPr>
          <w:sz w:val="22"/>
          <w:szCs w:val="22"/>
        </w:rPr>
        <w:t xml:space="preserve">therefore </w:t>
      </w:r>
      <w:r w:rsidR="00083A7D" w:rsidRPr="00F552F0">
        <w:rPr>
          <w:sz w:val="22"/>
          <w:szCs w:val="22"/>
        </w:rPr>
        <w:t xml:space="preserve">follow </w:t>
      </w:r>
      <w:proofErr w:type="spellStart"/>
      <w:r w:rsidR="00083A7D" w:rsidRPr="00F552F0">
        <w:rPr>
          <w:sz w:val="22"/>
          <w:szCs w:val="22"/>
        </w:rPr>
        <w:t>Caprio</w:t>
      </w:r>
      <w:proofErr w:type="spellEnd"/>
      <w:r w:rsidR="00083A7D" w:rsidRPr="00F552F0">
        <w:rPr>
          <w:sz w:val="22"/>
          <w:szCs w:val="22"/>
        </w:rPr>
        <w:t xml:space="preserve"> </w:t>
      </w:r>
      <w:r w:rsidR="003D5871" w:rsidRPr="00F552F0">
        <w:rPr>
          <w:sz w:val="22"/>
          <w:szCs w:val="22"/>
        </w:rPr>
        <w:t>et al.</w:t>
      </w:r>
      <w:r w:rsidR="00083A7D" w:rsidRPr="00F552F0">
        <w:rPr>
          <w:sz w:val="22"/>
          <w:szCs w:val="22"/>
        </w:rPr>
        <w:t xml:space="preserve"> (2007) and </w:t>
      </w:r>
      <w:proofErr w:type="spellStart"/>
      <w:r w:rsidR="00083A7D" w:rsidRPr="00F552F0">
        <w:rPr>
          <w:sz w:val="22"/>
          <w:szCs w:val="22"/>
        </w:rPr>
        <w:t>Laeven</w:t>
      </w:r>
      <w:proofErr w:type="spellEnd"/>
      <w:r w:rsidR="00083A7D" w:rsidRPr="00F552F0">
        <w:rPr>
          <w:sz w:val="22"/>
          <w:szCs w:val="22"/>
        </w:rPr>
        <w:t xml:space="preserve"> </w:t>
      </w:r>
      <w:r w:rsidR="00E82874" w:rsidRPr="00F552F0">
        <w:rPr>
          <w:sz w:val="22"/>
          <w:szCs w:val="22"/>
        </w:rPr>
        <w:t>and</w:t>
      </w:r>
      <w:r w:rsidR="00083A7D" w:rsidRPr="00F552F0">
        <w:rPr>
          <w:sz w:val="22"/>
          <w:szCs w:val="22"/>
        </w:rPr>
        <w:t xml:space="preserve"> Levin </w:t>
      </w:r>
      <w:r w:rsidR="005D2962" w:rsidRPr="00F552F0">
        <w:rPr>
          <w:sz w:val="22"/>
          <w:szCs w:val="22"/>
        </w:rPr>
        <w:t>(</w:t>
      </w:r>
      <w:r w:rsidR="00083A7D" w:rsidRPr="00F552F0">
        <w:rPr>
          <w:sz w:val="22"/>
          <w:szCs w:val="22"/>
        </w:rPr>
        <w:t>200</w:t>
      </w:r>
      <w:r w:rsidR="005B3DE2" w:rsidRPr="00F552F0">
        <w:rPr>
          <w:sz w:val="22"/>
          <w:szCs w:val="22"/>
        </w:rPr>
        <w:t>9</w:t>
      </w:r>
      <w:r w:rsidR="00083A7D" w:rsidRPr="00F552F0">
        <w:rPr>
          <w:sz w:val="22"/>
          <w:szCs w:val="22"/>
        </w:rPr>
        <w:t>) in using bank control data</w:t>
      </w:r>
      <w:r w:rsidR="00A711D3" w:rsidRPr="00F552F0">
        <w:rPr>
          <w:sz w:val="22"/>
          <w:szCs w:val="22"/>
        </w:rPr>
        <w:t xml:space="preserve"> from 2001</w:t>
      </w:r>
      <w:r w:rsidR="008A0749" w:rsidRPr="00F552F0">
        <w:rPr>
          <w:sz w:val="22"/>
          <w:szCs w:val="22"/>
        </w:rPr>
        <w:t>.</w:t>
      </w:r>
      <w:r w:rsidR="00364C39" w:rsidRPr="00F552F0">
        <w:rPr>
          <w:sz w:val="22"/>
          <w:szCs w:val="22"/>
        </w:rPr>
        <w:t xml:space="preserve"> </w:t>
      </w:r>
      <w:r w:rsidR="008A0749" w:rsidRPr="00F552F0">
        <w:rPr>
          <w:sz w:val="22"/>
          <w:szCs w:val="22"/>
        </w:rPr>
        <w:t>These</w:t>
      </w:r>
      <w:r w:rsidR="00083A7D" w:rsidRPr="00F552F0">
        <w:rPr>
          <w:sz w:val="22"/>
          <w:szCs w:val="22"/>
        </w:rPr>
        <w:t xml:space="preserve"> are the earliest available </w:t>
      </w:r>
      <w:r w:rsidR="00A711D3" w:rsidRPr="00F552F0">
        <w:rPr>
          <w:sz w:val="22"/>
          <w:szCs w:val="22"/>
        </w:rPr>
        <w:t xml:space="preserve">data </w:t>
      </w:r>
      <w:r w:rsidR="00083A7D" w:rsidRPr="00F552F0">
        <w:rPr>
          <w:sz w:val="22"/>
          <w:szCs w:val="22"/>
        </w:rPr>
        <w:t xml:space="preserve">with reasonably wide coverage after the </w:t>
      </w:r>
      <w:r w:rsidR="00A711D3" w:rsidRPr="00F552F0">
        <w:rPr>
          <w:sz w:val="22"/>
          <w:szCs w:val="22"/>
        </w:rPr>
        <w:t xml:space="preserve">1997 </w:t>
      </w:r>
      <w:r w:rsidR="00083A7D" w:rsidRPr="00F552F0">
        <w:rPr>
          <w:sz w:val="22"/>
          <w:szCs w:val="22"/>
        </w:rPr>
        <w:t xml:space="preserve">Asian </w:t>
      </w:r>
      <w:r w:rsidR="00B002C1" w:rsidRPr="00F552F0">
        <w:rPr>
          <w:sz w:val="22"/>
          <w:szCs w:val="22"/>
        </w:rPr>
        <w:t>c</w:t>
      </w:r>
      <w:r w:rsidR="00083A7D" w:rsidRPr="00F552F0">
        <w:rPr>
          <w:sz w:val="22"/>
          <w:szCs w:val="22"/>
        </w:rPr>
        <w:t xml:space="preserve">risis was resolved. </w:t>
      </w:r>
    </w:p>
    <w:p w:rsidR="001E60E6" w:rsidRPr="00F552F0" w:rsidRDefault="004C3644" w:rsidP="001E60E6">
      <w:pPr>
        <w:spacing w:line="440" w:lineRule="exact"/>
        <w:ind w:firstLine="720"/>
        <w:jc w:val="both"/>
        <w:rPr>
          <w:sz w:val="22"/>
          <w:szCs w:val="22"/>
        </w:rPr>
      </w:pPr>
      <w:r w:rsidRPr="00F552F0">
        <w:rPr>
          <w:sz w:val="22"/>
          <w:szCs w:val="22"/>
        </w:rPr>
        <w:t>However, our dependent variables are generally estimated using data windows ending in 2003</w:t>
      </w:r>
      <w:r w:rsidR="00E20FFA" w:rsidRPr="00F552F0">
        <w:rPr>
          <w:sz w:val="22"/>
          <w:szCs w:val="22"/>
        </w:rPr>
        <w:t xml:space="preserve"> </w:t>
      </w:r>
      <w:r w:rsidR="00F3403B" w:rsidRPr="00F552F0">
        <w:rPr>
          <w:sz w:val="22"/>
          <w:szCs w:val="22"/>
        </w:rPr>
        <w:t xml:space="preserve">or </w:t>
      </w:r>
      <w:r w:rsidR="007808BD" w:rsidRPr="00F552F0">
        <w:rPr>
          <w:sz w:val="22"/>
          <w:szCs w:val="22"/>
        </w:rPr>
        <w:t>2004</w:t>
      </w:r>
      <w:r w:rsidR="00E20FFA" w:rsidRPr="00F552F0">
        <w:rPr>
          <w:sz w:val="22"/>
          <w:szCs w:val="22"/>
        </w:rPr>
        <w:t xml:space="preserve"> because</w:t>
      </w:r>
      <w:r w:rsidR="00C16AF6" w:rsidRPr="00F552F0">
        <w:rPr>
          <w:sz w:val="22"/>
          <w:szCs w:val="22"/>
        </w:rPr>
        <w:t xml:space="preserve"> UNIDO data</w:t>
      </w:r>
      <w:r w:rsidR="00E20FFA" w:rsidRPr="00F552F0">
        <w:rPr>
          <w:sz w:val="22"/>
          <w:szCs w:val="22"/>
        </w:rPr>
        <w:t xml:space="preserve">, </w:t>
      </w:r>
      <w:r w:rsidR="00BB5D84" w:rsidRPr="00F552F0">
        <w:rPr>
          <w:sz w:val="22"/>
          <w:szCs w:val="22"/>
        </w:rPr>
        <w:t>up</w:t>
      </w:r>
      <w:r w:rsidR="00E20FFA" w:rsidRPr="00F552F0">
        <w:rPr>
          <w:sz w:val="22"/>
          <w:szCs w:val="22"/>
        </w:rPr>
        <w:t>on which our investment efficiency measures are based,</w:t>
      </w:r>
      <w:r w:rsidR="00C16AF6" w:rsidRPr="00F552F0">
        <w:rPr>
          <w:sz w:val="22"/>
          <w:szCs w:val="22"/>
        </w:rPr>
        <w:t xml:space="preserve"> exist only through 2003, and the Penn World Tables </w:t>
      </w:r>
      <w:r w:rsidR="00BB5D84" w:rsidRPr="00F552F0">
        <w:rPr>
          <w:sz w:val="22"/>
          <w:szCs w:val="22"/>
        </w:rPr>
        <w:t xml:space="preserve">data </w:t>
      </w:r>
      <w:r w:rsidR="00C16AF6" w:rsidRPr="00F552F0">
        <w:rPr>
          <w:sz w:val="22"/>
          <w:szCs w:val="22"/>
        </w:rPr>
        <w:t>end in 2004.</w:t>
      </w:r>
      <w:r w:rsidRPr="00F552F0">
        <w:rPr>
          <w:sz w:val="22"/>
          <w:szCs w:val="22"/>
        </w:rPr>
        <w:t xml:space="preserve"> This has two unfortunate consequences. First, we cannot run lead and lag causality tests between bank control and economy performance. Second, </w:t>
      </w:r>
      <w:r w:rsidR="008308AA" w:rsidRPr="00F552F0">
        <w:rPr>
          <w:sz w:val="22"/>
          <w:szCs w:val="22"/>
        </w:rPr>
        <w:t xml:space="preserve">our </w:t>
      </w:r>
      <w:r w:rsidRPr="00F552F0">
        <w:rPr>
          <w:sz w:val="22"/>
          <w:szCs w:val="22"/>
        </w:rPr>
        <w:t xml:space="preserve">bank </w:t>
      </w:r>
      <w:r w:rsidR="006129FD" w:rsidRPr="00F552F0">
        <w:rPr>
          <w:sz w:val="22"/>
          <w:szCs w:val="22"/>
        </w:rPr>
        <w:t>control structure</w:t>
      </w:r>
      <w:r w:rsidRPr="00F552F0">
        <w:rPr>
          <w:sz w:val="22"/>
          <w:szCs w:val="22"/>
        </w:rPr>
        <w:t xml:space="preserve"> data do not </w:t>
      </w:r>
      <w:proofErr w:type="gramStart"/>
      <w:r w:rsidR="009924DA" w:rsidRPr="00F552F0">
        <w:rPr>
          <w:sz w:val="22"/>
          <w:szCs w:val="22"/>
        </w:rPr>
        <w:t>precede</w:t>
      </w:r>
      <w:proofErr w:type="gramEnd"/>
      <w:r w:rsidR="009924DA" w:rsidRPr="00F552F0">
        <w:rPr>
          <w:sz w:val="22"/>
          <w:szCs w:val="22"/>
        </w:rPr>
        <w:t xml:space="preserve"> the</w:t>
      </w:r>
      <w:r w:rsidRPr="00F552F0">
        <w:rPr>
          <w:sz w:val="22"/>
          <w:szCs w:val="22"/>
        </w:rPr>
        <w:t xml:space="preserve"> period in which we observe economy</w:t>
      </w:r>
      <w:r w:rsidR="007B4E8F" w:rsidRPr="00F552F0">
        <w:rPr>
          <w:sz w:val="22"/>
          <w:szCs w:val="22"/>
        </w:rPr>
        <w:t>-level</w:t>
      </w:r>
      <w:r w:rsidRPr="00F552F0">
        <w:rPr>
          <w:sz w:val="22"/>
          <w:szCs w:val="22"/>
        </w:rPr>
        <w:t xml:space="preserve"> performance. This timing mismatch is important if the category of ultimate controlling shareholder changes frequently, but less so if bank</w:t>
      </w:r>
      <w:r w:rsidR="007C3E8D" w:rsidRPr="00F552F0">
        <w:rPr>
          <w:sz w:val="22"/>
          <w:szCs w:val="22"/>
        </w:rPr>
        <w:t xml:space="preserve"> control is highly persistent. </w:t>
      </w:r>
    </w:p>
    <w:p w:rsidR="004C3644" w:rsidRPr="00F552F0" w:rsidRDefault="004C3644" w:rsidP="00046F40">
      <w:pPr>
        <w:spacing w:line="440" w:lineRule="exact"/>
        <w:ind w:firstLine="720"/>
        <w:jc w:val="both"/>
        <w:rPr>
          <w:sz w:val="22"/>
          <w:szCs w:val="22"/>
        </w:rPr>
      </w:pPr>
      <w:r w:rsidRPr="00F552F0">
        <w:rPr>
          <w:sz w:val="22"/>
          <w:szCs w:val="22"/>
        </w:rPr>
        <w:lastRenderedPageBreak/>
        <w:t xml:space="preserve">To check this, we scan </w:t>
      </w:r>
      <w:proofErr w:type="spellStart"/>
      <w:r w:rsidR="003D5871" w:rsidRPr="00F552F0">
        <w:rPr>
          <w:sz w:val="22"/>
          <w:szCs w:val="22"/>
        </w:rPr>
        <w:t>Bankscope</w:t>
      </w:r>
      <w:proofErr w:type="spellEnd"/>
      <w:r w:rsidRPr="00F552F0">
        <w:rPr>
          <w:sz w:val="22"/>
          <w:szCs w:val="22"/>
        </w:rPr>
        <w:t xml:space="preserve"> data from 2001 through 2007 for bank control changes</w:t>
      </w:r>
      <w:r w:rsidR="007C3E8D" w:rsidRPr="00F552F0">
        <w:rPr>
          <w:sz w:val="22"/>
          <w:szCs w:val="22"/>
        </w:rPr>
        <w:t xml:space="preserve">. </w:t>
      </w:r>
      <w:r w:rsidRPr="00F552F0">
        <w:rPr>
          <w:sz w:val="22"/>
          <w:szCs w:val="22"/>
        </w:rPr>
        <w:t xml:space="preserve">Although banks’ </w:t>
      </w:r>
      <w:r w:rsidR="00097A02" w:rsidRPr="00F552F0">
        <w:rPr>
          <w:sz w:val="22"/>
          <w:szCs w:val="22"/>
        </w:rPr>
        <w:t xml:space="preserve">controlling </w:t>
      </w:r>
      <w:r w:rsidRPr="00F552F0">
        <w:rPr>
          <w:sz w:val="22"/>
          <w:szCs w:val="22"/>
        </w:rPr>
        <w:t xml:space="preserve">shareholders and the sizes of their </w:t>
      </w:r>
      <w:r w:rsidR="00D32CE5" w:rsidRPr="00F552F0">
        <w:rPr>
          <w:sz w:val="22"/>
          <w:szCs w:val="22"/>
        </w:rPr>
        <w:t>equity</w:t>
      </w:r>
      <w:r w:rsidRPr="00F552F0">
        <w:rPr>
          <w:sz w:val="22"/>
          <w:szCs w:val="22"/>
        </w:rPr>
        <w:t xml:space="preserve"> blocks both change during this period</w:t>
      </w:r>
      <w:r w:rsidR="0014284A" w:rsidRPr="00F552F0">
        <w:rPr>
          <w:sz w:val="22"/>
          <w:szCs w:val="22"/>
        </w:rPr>
        <w:t>, the</w:t>
      </w:r>
      <w:r w:rsidRPr="00F552F0">
        <w:rPr>
          <w:sz w:val="22"/>
          <w:szCs w:val="22"/>
        </w:rPr>
        <w:t xml:space="preserve"> </w:t>
      </w:r>
      <w:r w:rsidR="0014284A" w:rsidRPr="00F552F0">
        <w:rPr>
          <w:sz w:val="22"/>
          <w:szCs w:val="22"/>
        </w:rPr>
        <w:t>category of controlling</w:t>
      </w:r>
      <w:r w:rsidRPr="00F552F0">
        <w:rPr>
          <w:sz w:val="22"/>
          <w:szCs w:val="22"/>
        </w:rPr>
        <w:t xml:space="preserve"> shareholder rarely changes; family</w:t>
      </w:r>
      <w:r w:rsidR="00C26254" w:rsidRPr="00F552F0">
        <w:rPr>
          <w:sz w:val="22"/>
          <w:szCs w:val="22"/>
        </w:rPr>
        <w:t>-controlled</w:t>
      </w:r>
      <w:r w:rsidRPr="00F552F0">
        <w:rPr>
          <w:sz w:val="22"/>
          <w:szCs w:val="22"/>
        </w:rPr>
        <w:t xml:space="preserve"> banks tend to remain family</w:t>
      </w:r>
      <w:r w:rsidR="00C26254" w:rsidRPr="00F552F0">
        <w:rPr>
          <w:sz w:val="22"/>
          <w:szCs w:val="22"/>
        </w:rPr>
        <w:t>-controlled</w:t>
      </w:r>
      <w:r w:rsidRPr="00F552F0">
        <w:rPr>
          <w:sz w:val="22"/>
          <w:szCs w:val="22"/>
        </w:rPr>
        <w:t>, state-controlled banks tend to remain state</w:t>
      </w:r>
      <w:r w:rsidR="00C26254" w:rsidRPr="00F552F0">
        <w:rPr>
          <w:sz w:val="22"/>
          <w:szCs w:val="22"/>
        </w:rPr>
        <w:t>-controlled</w:t>
      </w:r>
      <w:r w:rsidRPr="00F552F0">
        <w:rPr>
          <w:sz w:val="22"/>
          <w:szCs w:val="22"/>
        </w:rPr>
        <w:t xml:space="preserve">, and </w:t>
      </w:r>
      <w:r w:rsidR="00392DB6" w:rsidRPr="00F552F0">
        <w:rPr>
          <w:sz w:val="22"/>
          <w:szCs w:val="22"/>
        </w:rPr>
        <w:t>widely held</w:t>
      </w:r>
      <w:r w:rsidRPr="00F552F0">
        <w:rPr>
          <w:sz w:val="22"/>
          <w:szCs w:val="22"/>
        </w:rPr>
        <w:t xml:space="preserve"> banks tend to remain </w:t>
      </w:r>
      <w:r w:rsidR="00392DB6" w:rsidRPr="00F552F0">
        <w:rPr>
          <w:sz w:val="22"/>
          <w:szCs w:val="22"/>
        </w:rPr>
        <w:t>widely held</w:t>
      </w:r>
      <w:r w:rsidRPr="00F552F0">
        <w:rPr>
          <w:sz w:val="22"/>
          <w:szCs w:val="22"/>
        </w:rPr>
        <w:t xml:space="preserve">. Indeed, </w:t>
      </w:r>
      <w:r w:rsidR="00D32CE5" w:rsidRPr="00F552F0">
        <w:rPr>
          <w:sz w:val="22"/>
          <w:szCs w:val="22"/>
        </w:rPr>
        <w:t>we</w:t>
      </w:r>
      <w:r w:rsidR="0014284A" w:rsidRPr="00F552F0">
        <w:rPr>
          <w:sz w:val="22"/>
          <w:szCs w:val="22"/>
        </w:rPr>
        <w:t xml:space="preserve"> </w:t>
      </w:r>
      <w:r w:rsidRPr="00F552F0">
        <w:rPr>
          <w:sz w:val="22"/>
          <w:szCs w:val="22"/>
        </w:rPr>
        <w:t>identify only 14 banks (4.3% of the total 324) switching category</w:t>
      </w:r>
      <w:r w:rsidR="00D32CE5" w:rsidRPr="00F552F0">
        <w:rPr>
          <w:sz w:val="22"/>
          <w:szCs w:val="22"/>
        </w:rPr>
        <w:t xml:space="preserve"> from 2001 to 2007</w:t>
      </w:r>
      <w:r w:rsidRPr="00F552F0">
        <w:rPr>
          <w:sz w:val="22"/>
          <w:szCs w:val="22"/>
        </w:rPr>
        <w:t>.</w:t>
      </w:r>
      <w:r w:rsidR="009D1517" w:rsidRPr="00F552F0">
        <w:rPr>
          <w:sz w:val="22"/>
          <w:szCs w:val="22"/>
        </w:rPr>
        <w:t xml:space="preserve"> Two family</w:t>
      </w:r>
      <w:r w:rsidR="00C26254" w:rsidRPr="00F552F0">
        <w:rPr>
          <w:sz w:val="22"/>
          <w:szCs w:val="22"/>
        </w:rPr>
        <w:t>-controlled</w:t>
      </w:r>
      <w:r w:rsidR="009D1517" w:rsidRPr="00F552F0">
        <w:rPr>
          <w:sz w:val="22"/>
          <w:szCs w:val="22"/>
        </w:rPr>
        <w:t xml:space="preserve"> banks become state</w:t>
      </w:r>
      <w:r w:rsidR="00C26254" w:rsidRPr="00F552F0">
        <w:rPr>
          <w:sz w:val="22"/>
          <w:szCs w:val="22"/>
        </w:rPr>
        <w:t>-controlled</w:t>
      </w:r>
      <w:r w:rsidR="009D1517" w:rsidRPr="00F552F0">
        <w:rPr>
          <w:sz w:val="22"/>
          <w:szCs w:val="22"/>
        </w:rPr>
        <w:t xml:space="preserve"> and four become widely held. Four state</w:t>
      </w:r>
      <w:r w:rsidR="00C26254" w:rsidRPr="00F552F0">
        <w:rPr>
          <w:sz w:val="22"/>
          <w:szCs w:val="22"/>
        </w:rPr>
        <w:t>-controlled</w:t>
      </w:r>
      <w:r w:rsidR="009D1517" w:rsidRPr="00F552F0">
        <w:rPr>
          <w:sz w:val="22"/>
          <w:szCs w:val="22"/>
        </w:rPr>
        <w:t xml:space="preserve"> banks become widely held. Two widely held banks become family</w:t>
      </w:r>
      <w:r w:rsidR="00C26254" w:rsidRPr="00F552F0">
        <w:rPr>
          <w:sz w:val="22"/>
          <w:szCs w:val="22"/>
        </w:rPr>
        <w:t>-controlled</w:t>
      </w:r>
      <w:r w:rsidR="009D1517" w:rsidRPr="00F552F0">
        <w:rPr>
          <w:sz w:val="22"/>
          <w:szCs w:val="22"/>
        </w:rPr>
        <w:t xml:space="preserve"> and two become state</w:t>
      </w:r>
      <w:r w:rsidR="00C26254" w:rsidRPr="00F552F0">
        <w:rPr>
          <w:sz w:val="22"/>
          <w:szCs w:val="22"/>
        </w:rPr>
        <w:t>-controlled</w:t>
      </w:r>
      <w:r w:rsidR="009D1517" w:rsidRPr="00F552F0">
        <w:rPr>
          <w:sz w:val="22"/>
          <w:szCs w:val="22"/>
        </w:rPr>
        <w:t xml:space="preserve">. </w:t>
      </w:r>
      <w:proofErr w:type="spellStart"/>
      <w:r w:rsidR="005B3DE2" w:rsidRPr="00F552F0">
        <w:rPr>
          <w:sz w:val="22"/>
          <w:szCs w:val="22"/>
        </w:rPr>
        <w:t>Laeven</w:t>
      </w:r>
      <w:proofErr w:type="spellEnd"/>
      <w:r w:rsidR="005B3DE2" w:rsidRPr="00F552F0">
        <w:rPr>
          <w:sz w:val="22"/>
          <w:szCs w:val="22"/>
        </w:rPr>
        <w:t xml:space="preserve"> </w:t>
      </w:r>
      <w:r w:rsidR="00E82874" w:rsidRPr="00F552F0">
        <w:rPr>
          <w:sz w:val="22"/>
          <w:szCs w:val="22"/>
        </w:rPr>
        <w:t>and</w:t>
      </w:r>
      <w:r w:rsidR="005B3DE2" w:rsidRPr="00F552F0">
        <w:rPr>
          <w:sz w:val="22"/>
          <w:szCs w:val="22"/>
        </w:rPr>
        <w:t xml:space="preserve"> Levine (2009) perform a similar exercise</w:t>
      </w:r>
      <w:r w:rsidR="00097A02" w:rsidRPr="00F552F0">
        <w:rPr>
          <w:sz w:val="22"/>
          <w:szCs w:val="22"/>
        </w:rPr>
        <w:t xml:space="preserve">, checking private banks for controlling shareholder changes from 2001 to 2005, </w:t>
      </w:r>
      <w:r w:rsidR="005B3DE2" w:rsidRPr="00F552F0">
        <w:rPr>
          <w:sz w:val="22"/>
          <w:szCs w:val="22"/>
        </w:rPr>
        <w:t>and reach the same conclusion</w:t>
      </w:r>
      <w:r w:rsidR="00097A02" w:rsidRPr="00F552F0">
        <w:rPr>
          <w:sz w:val="22"/>
          <w:szCs w:val="22"/>
        </w:rPr>
        <w:t>: banks’</w:t>
      </w:r>
      <w:r w:rsidR="006129FD" w:rsidRPr="00F552F0">
        <w:rPr>
          <w:sz w:val="22"/>
          <w:szCs w:val="22"/>
        </w:rPr>
        <w:t xml:space="preserve"> controlling shareholder</w:t>
      </w:r>
      <w:r w:rsidR="005B3DE2" w:rsidRPr="00F552F0">
        <w:rPr>
          <w:sz w:val="22"/>
          <w:szCs w:val="22"/>
        </w:rPr>
        <w:t xml:space="preserve"> </w:t>
      </w:r>
      <w:r w:rsidR="00A711D3" w:rsidRPr="00F552F0">
        <w:rPr>
          <w:sz w:val="22"/>
          <w:szCs w:val="22"/>
        </w:rPr>
        <w:t>categories</w:t>
      </w:r>
      <w:r w:rsidR="005B3DE2" w:rsidRPr="00F552F0">
        <w:rPr>
          <w:sz w:val="22"/>
          <w:szCs w:val="22"/>
        </w:rPr>
        <w:t xml:space="preserve"> </w:t>
      </w:r>
      <w:r w:rsidR="00097A02" w:rsidRPr="00F552F0">
        <w:rPr>
          <w:sz w:val="22"/>
          <w:szCs w:val="22"/>
        </w:rPr>
        <w:t xml:space="preserve">are </w:t>
      </w:r>
      <w:r w:rsidR="00046097" w:rsidRPr="00F552F0">
        <w:rPr>
          <w:sz w:val="22"/>
          <w:szCs w:val="22"/>
        </w:rPr>
        <w:t>very</w:t>
      </w:r>
      <w:r w:rsidR="005B3DE2" w:rsidRPr="00F552F0">
        <w:rPr>
          <w:sz w:val="22"/>
          <w:szCs w:val="22"/>
        </w:rPr>
        <w:t xml:space="preserve"> stable </w:t>
      </w:r>
      <w:r w:rsidR="000F7ECC" w:rsidRPr="00F552F0">
        <w:rPr>
          <w:sz w:val="22"/>
          <w:szCs w:val="22"/>
        </w:rPr>
        <w:t>through</w:t>
      </w:r>
      <w:r w:rsidR="005B3DE2" w:rsidRPr="00F552F0">
        <w:rPr>
          <w:sz w:val="22"/>
          <w:szCs w:val="22"/>
        </w:rPr>
        <w:t xml:space="preserve"> time. </w:t>
      </w:r>
    </w:p>
    <w:p w:rsidR="00BB6F89" w:rsidRPr="00F552F0" w:rsidRDefault="00BB6F89" w:rsidP="00046F40">
      <w:pPr>
        <w:spacing w:line="440" w:lineRule="exact"/>
        <w:ind w:firstLine="720"/>
        <w:jc w:val="both"/>
        <w:rPr>
          <w:sz w:val="22"/>
          <w:szCs w:val="22"/>
        </w:rPr>
      </w:pPr>
      <w:r w:rsidRPr="00F552F0">
        <w:rPr>
          <w:sz w:val="22"/>
          <w:szCs w:val="22"/>
        </w:rPr>
        <w:t xml:space="preserve">We are especially concerned about temporary bank nationalizations amid financial crises. For example, Sweden nationalized many of its major banks in 1992, but promptly privatized them again, and their controlling shareholder categories reverted to their pre-crisis values. One major financial crisis in our sample period is the 1997 Asian crisis. </w:t>
      </w:r>
      <w:proofErr w:type="spellStart"/>
      <w:r w:rsidRPr="00F552F0">
        <w:rPr>
          <w:sz w:val="22"/>
          <w:szCs w:val="22"/>
        </w:rPr>
        <w:t>Djankov</w:t>
      </w:r>
      <w:proofErr w:type="spellEnd"/>
      <w:r w:rsidRPr="00F552F0">
        <w:rPr>
          <w:sz w:val="22"/>
          <w:szCs w:val="22"/>
        </w:rPr>
        <w:t xml:space="preserve"> et al. (2005) analyze the resolution of financial distress after this crisis in the three most affected countries, Indonesia, South Korea</w:t>
      </w:r>
      <w:r w:rsidR="001578B3" w:rsidRPr="00F552F0">
        <w:rPr>
          <w:sz w:val="22"/>
          <w:szCs w:val="22"/>
        </w:rPr>
        <w:t>,</w:t>
      </w:r>
      <w:r w:rsidRPr="00F552F0">
        <w:rPr>
          <w:sz w:val="22"/>
          <w:szCs w:val="22"/>
        </w:rPr>
        <w:t xml:space="preserve"> and Thailand. In these, only one Indonesian bank in our sample is nationalized. Our investigation of other East Asian, Latin American, and East European countries’ banking systems also reveals no substantial changes in country-level controlling shareholder categories. </w:t>
      </w:r>
    </w:p>
    <w:p w:rsidR="004C3644" w:rsidRPr="00F552F0" w:rsidRDefault="00FF3682" w:rsidP="00FF3682">
      <w:pPr>
        <w:spacing w:line="440" w:lineRule="exact"/>
        <w:ind w:firstLine="720"/>
        <w:jc w:val="both"/>
        <w:rPr>
          <w:sz w:val="22"/>
          <w:szCs w:val="22"/>
        </w:rPr>
      </w:pPr>
      <w:r w:rsidRPr="00F552F0">
        <w:rPr>
          <w:sz w:val="22"/>
          <w:szCs w:val="22"/>
        </w:rPr>
        <w:t>An</w:t>
      </w:r>
      <w:r w:rsidR="00BB6F89" w:rsidRPr="00F552F0">
        <w:rPr>
          <w:sz w:val="22"/>
          <w:szCs w:val="22"/>
        </w:rPr>
        <w:t>other</w:t>
      </w:r>
      <w:r w:rsidRPr="00F552F0">
        <w:rPr>
          <w:sz w:val="22"/>
          <w:szCs w:val="22"/>
        </w:rPr>
        <w:t xml:space="preserve"> obvious </w:t>
      </w:r>
      <w:r w:rsidR="00BB6F89" w:rsidRPr="00F552F0">
        <w:rPr>
          <w:sz w:val="22"/>
          <w:szCs w:val="22"/>
        </w:rPr>
        <w:t>problem</w:t>
      </w:r>
      <w:r w:rsidRPr="00F552F0">
        <w:rPr>
          <w:sz w:val="22"/>
          <w:szCs w:val="22"/>
        </w:rPr>
        <w:t xml:space="preserve"> </w:t>
      </w:r>
      <w:r w:rsidR="00496C0B" w:rsidRPr="00F552F0">
        <w:rPr>
          <w:sz w:val="22"/>
          <w:szCs w:val="22"/>
        </w:rPr>
        <w:t>could be</w:t>
      </w:r>
      <w:r w:rsidR="009D1517" w:rsidRPr="00F552F0">
        <w:rPr>
          <w:sz w:val="22"/>
          <w:szCs w:val="22"/>
        </w:rPr>
        <w:t xml:space="preserve"> bank control </w:t>
      </w:r>
      <w:r w:rsidR="004C3644" w:rsidRPr="00F552F0">
        <w:rPr>
          <w:sz w:val="22"/>
          <w:szCs w:val="22"/>
        </w:rPr>
        <w:t>change</w:t>
      </w:r>
      <w:r w:rsidR="009D1517" w:rsidRPr="00F552F0">
        <w:rPr>
          <w:sz w:val="22"/>
          <w:szCs w:val="22"/>
        </w:rPr>
        <w:t>s</w:t>
      </w:r>
      <w:r w:rsidR="004C3644" w:rsidRPr="00F552F0">
        <w:rPr>
          <w:sz w:val="22"/>
          <w:szCs w:val="22"/>
        </w:rPr>
        <w:t xml:space="preserve"> </w:t>
      </w:r>
      <w:r w:rsidR="007C3E8D" w:rsidRPr="00F552F0">
        <w:rPr>
          <w:sz w:val="22"/>
          <w:szCs w:val="22"/>
        </w:rPr>
        <w:t xml:space="preserve">during privatization episodes. </w:t>
      </w:r>
      <w:r w:rsidR="009D1517" w:rsidRPr="00F552F0">
        <w:rPr>
          <w:sz w:val="22"/>
          <w:szCs w:val="22"/>
        </w:rPr>
        <w:t xml:space="preserve">We have data on 283 bank privatizations from </w:t>
      </w:r>
      <w:proofErr w:type="spellStart"/>
      <w:r w:rsidR="009D1517" w:rsidRPr="00F552F0">
        <w:rPr>
          <w:sz w:val="22"/>
          <w:szCs w:val="22"/>
        </w:rPr>
        <w:t>Megginson</w:t>
      </w:r>
      <w:proofErr w:type="spellEnd"/>
      <w:r w:rsidR="009D1517" w:rsidRPr="00F552F0">
        <w:rPr>
          <w:sz w:val="22"/>
          <w:szCs w:val="22"/>
        </w:rPr>
        <w:t xml:space="preserve"> (</w:t>
      </w:r>
      <w:r w:rsidR="009244BF" w:rsidRPr="00F552F0">
        <w:rPr>
          <w:sz w:val="22"/>
          <w:szCs w:val="22"/>
        </w:rPr>
        <w:t>2005</w:t>
      </w:r>
      <w:r w:rsidR="009D1517" w:rsidRPr="00F552F0">
        <w:rPr>
          <w:sz w:val="22"/>
          <w:szCs w:val="22"/>
        </w:rPr>
        <w:t>), and work backwards from 2001 to explore how these affect our data.</w:t>
      </w:r>
      <w:r w:rsidRPr="00F552F0">
        <w:rPr>
          <w:sz w:val="22"/>
          <w:szCs w:val="22"/>
        </w:rPr>
        <w:t xml:space="preserve"> For example, </w:t>
      </w:r>
      <w:smartTag w:uri="urn:schemas-microsoft-com:office:smarttags" w:element="place">
        <w:smartTag w:uri="urn:schemas-microsoft-com:office:smarttags" w:element="country-region">
          <w:r w:rsidRPr="00F552F0">
            <w:rPr>
              <w:sz w:val="22"/>
              <w:szCs w:val="22"/>
            </w:rPr>
            <w:t>Italy</w:t>
          </w:r>
        </w:smartTag>
      </w:smartTag>
      <w:r w:rsidRPr="00F552F0">
        <w:rPr>
          <w:sz w:val="22"/>
          <w:szCs w:val="22"/>
        </w:rPr>
        <w:t>’s</w:t>
      </w:r>
      <w:r w:rsidR="004C3644" w:rsidRPr="00F552F0">
        <w:rPr>
          <w:sz w:val="22"/>
          <w:szCs w:val="22"/>
        </w:rPr>
        <w:t xml:space="preserve"> </w:t>
      </w:r>
      <w:proofErr w:type="spellStart"/>
      <w:r w:rsidR="004C3644" w:rsidRPr="00F552F0">
        <w:rPr>
          <w:sz w:val="22"/>
          <w:szCs w:val="22"/>
        </w:rPr>
        <w:t>Banco</w:t>
      </w:r>
      <w:proofErr w:type="spellEnd"/>
      <w:r w:rsidR="004C3644" w:rsidRPr="00F552F0">
        <w:rPr>
          <w:sz w:val="22"/>
          <w:szCs w:val="22"/>
        </w:rPr>
        <w:t xml:space="preserve"> </w:t>
      </w:r>
      <w:proofErr w:type="spellStart"/>
      <w:r w:rsidR="004C3644" w:rsidRPr="00F552F0">
        <w:rPr>
          <w:sz w:val="22"/>
          <w:szCs w:val="22"/>
        </w:rPr>
        <w:t>Nazionale</w:t>
      </w:r>
      <w:proofErr w:type="spellEnd"/>
      <w:r w:rsidR="004C3644" w:rsidRPr="00F552F0">
        <w:rPr>
          <w:sz w:val="22"/>
          <w:szCs w:val="22"/>
        </w:rPr>
        <w:t xml:space="preserve"> del </w:t>
      </w:r>
      <w:proofErr w:type="spellStart"/>
      <w:r w:rsidR="004C3644" w:rsidRPr="00F552F0">
        <w:rPr>
          <w:sz w:val="22"/>
          <w:szCs w:val="22"/>
        </w:rPr>
        <w:t>Lavoro</w:t>
      </w:r>
      <w:proofErr w:type="spellEnd"/>
      <w:r w:rsidR="004C3644" w:rsidRPr="00F552F0">
        <w:rPr>
          <w:sz w:val="22"/>
          <w:szCs w:val="22"/>
        </w:rPr>
        <w:t xml:space="preserve"> </w:t>
      </w:r>
      <w:r w:rsidRPr="00F552F0">
        <w:rPr>
          <w:sz w:val="22"/>
          <w:szCs w:val="22"/>
        </w:rPr>
        <w:t xml:space="preserve">is labeled </w:t>
      </w:r>
      <w:r w:rsidR="00392DB6" w:rsidRPr="00F552F0">
        <w:rPr>
          <w:sz w:val="22"/>
          <w:szCs w:val="22"/>
        </w:rPr>
        <w:t>widely held</w:t>
      </w:r>
      <w:r w:rsidRPr="00F552F0">
        <w:rPr>
          <w:sz w:val="22"/>
          <w:szCs w:val="22"/>
        </w:rPr>
        <w:t xml:space="preserve"> in our data, but </w:t>
      </w:r>
      <w:r w:rsidR="004C3644" w:rsidRPr="00F552F0">
        <w:rPr>
          <w:sz w:val="22"/>
          <w:szCs w:val="22"/>
        </w:rPr>
        <w:t xml:space="preserve">was </w:t>
      </w:r>
      <w:r w:rsidRPr="00F552F0">
        <w:rPr>
          <w:sz w:val="22"/>
          <w:szCs w:val="22"/>
        </w:rPr>
        <w:t>state-controlled until November 1998.</w:t>
      </w:r>
      <w:r w:rsidR="009D1517" w:rsidRPr="00F552F0">
        <w:rPr>
          <w:sz w:val="22"/>
          <w:szCs w:val="22"/>
        </w:rPr>
        <w:t xml:space="preserve"> </w:t>
      </w:r>
      <w:r w:rsidRPr="00F552F0">
        <w:rPr>
          <w:sz w:val="22"/>
          <w:szCs w:val="22"/>
        </w:rPr>
        <w:t xml:space="preserve">This exercise </w:t>
      </w:r>
      <w:r w:rsidR="004C3644" w:rsidRPr="00F552F0">
        <w:rPr>
          <w:sz w:val="22"/>
          <w:szCs w:val="22"/>
        </w:rPr>
        <w:t>reveals 16 changes in bank control</w:t>
      </w:r>
      <w:r w:rsidRPr="00F552F0">
        <w:rPr>
          <w:sz w:val="22"/>
          <w:szCs w:val="22"/>
        </w:rPr>
        <w:t xml:space="preserve"> between 1993 and 2001</w:t>
      </w:r>
      <w:r w:rsidR="001D0833" w:rsidRPr="00F552F0">
        <w:rPr>
          <w:sz w:val="22"/>
          <w:szCs w:val="22"/>
        </w:rPr>
        <w:t xml:space="preserve"> in our sample</w:t>
      </w:r>
      <w:r w:rsidR="004C3644" w:rsidRPr="00F552F0">
        <w:rPr>
          <w:sz w:val="22"/>
          <w:szCs w:val="22"/>
        </w:rPr>
        <w:t xml:space="preserve">. </w:t>
      </w:r>
      <w:r w:rsidRPr="00F552F0">
        <w:rPr>
          <w:sz w:val="22"/>
          <w:szCs w:val="22"/>
        </w:rPr>
        <w:t xml:space="preserve">We return to this issue below by directly </w:t>
      </w:r>
      <w:r w:rsidR="00DA58F1" w:rsidRPr="00F552F0">
        <w:rPr>
          <w:sz w:val="22"/>
          <w:szCs w:val="22"/>
        </w:rPr>
        <w:t xml:space="preserve">controlling </w:t>
      </w:r>
      <w:r w:rsidRPr="00F552F0">
        <w:rPr>
          <w:sz w:val="22"/>
          <w:szCs w:val="22"/>
        </w:rPr>
        <w:t>for privatizations</w:t>
      </w:r>
      <w:r w:rsidR="00DA58F1" w:rsidRPr="00F552F0">
        <w:rPr>
          <w:sz w:val="22"/>
          <w:szCs w:val="22"/>
        </w:rPr>
        <w:t xml:space="preserve"> in </w:t>
      </w:r>
      <w:r w:rsidR="00E169B9" w:rsidRPr="00F552F0">
        <w:rPr>
          <w:sz w:val="22"/>
          <w:szCs w:val="22"/>
        </w:rPr>
        <w:t>re</w:t>
      </w:r>
      <w:r w:rsidR="00DA58F1" w:rsidRPr="00F552F0">
        <w:rPr>
          <w:sz w:val="22"/>
          <w:szCs w:val="22"/>
        </w:rPr>
        <w:t xml:space="preserve">calculating our </w:t>
      </w:r>
      <w:r w:rsidR="00E169B9" w:rsidRPr="00F552F0">
        <w:rPr>
          <w:sz w:val="22"/>
          <w:szCs w:val="22"/>
        </w:rPr>
        <w:t xml:space="preserve">bank </w:t>
      </w:r>
      <w:r w:rsidR="00DA58F1" w:rsidRPr="00F552F0">
        <w:rPr>
          <w:sz w:val="22"/>
          <w:szCs w:val="22"/>
        </w:rPr>
        <w:t xml:space="preserve">control </w:t>
      </w:r>
      <w:r w:rsidR="00E169B9" w:rsidRPr="00F552F0">
        <w:rPr>
          <w:sz w:val="22"/>
          <w:szCs w:val="22"/>
        </w:rPr>
        <w:t>measures.</w:t>
      </w:r>
      <w:r w:rsidR="007C3E8D" w:rsidRPr="00F552F0">
        <w:rPr>
          <w:sz w:val="22"/>
          <w:szCs w:val="22"/>
        </w:rPr>
        <w:t xml:space="preserve"> </w:t>
      </w:r>
    </w:p>
    <w:p w:rsidR="004C3644" w:rsidRPr="00F552F0" w:rsidRDefault="004C3644">
      <w:pPr>
        <w:spacing w:line="440" w:lineRule="exact"/>
        <w:ind w:firstLine="720"/>
        <w:jc w:val="both"/>
      </w:pPr>
      <w:r w:rsidRPr="00F552F0">
        <w:rPr>
          <w:sz w:val="22"/>
          <w:szCs w:val="22"/>
        </w:rPr>
        <w:t xml:space="preserve">These </w:t>
      </w:r>
      <w:r w:rsidR="00046F40" w:rsidRPr="00F552F0">
        <w:rPr>
          <w:sz w:val="22"/>
          <w:szCs w:val="22"/>
        </w:rPr>
        <w:t>exercises suggest that country-level banking system control is likely to be highly persistent</w:t>
      </w:r>
      <w:r w:rsidRPr="00F552F0">
        <w:rPr>
          <w:sz w:val="22"/>
          <w:szCs w:val="22"/>
        </w:rPr>
        <w:t xml:space="preserve">. </w:t>
      </w:r>
      <w:r w:rsidR="00046F40" w:rsidRPr="00F552F0">
        <w:rPr>
          <w:sz w:val="22"/>
          <w:szCs w:val="22"/>
        </w:rPr>
        <w:t xml:space="preserve">Although this validates our use of 2001 banking system control measures, </w:t>
      </w:r>
      <w:r w:rsidR="00501FE6" w:rsidRPr="00F552F0">
        <w:rPr>
          <w:sz w:val="22"/>
          <w:szCs w:val="22"/>
        </w:rPr>
        <w:t>this fact</w:t>
      </w:r>
      <w:r w:rsidR="00046F40" w:rsidRPr="00F552F0">
        <w:rPr>
          <w:sz w:val="22"/>
          <w:szCs w:val="22"/>
        </w:rPr>
        <w:t xml:space="preserve"> also </w:t>
      </w:r>
      <w:r w:rsidR="00501FE6" w:rsidRPr="00F552F0">
        <w:rPr>
          <w:sz w:val="22"/>
          <w:szCs w:val="22"/>
        </w:rPr>
        <w:t>means</w:t>
      </w:r>
      <w:r w:rsidR="00046F40" w:rsidRPr="00F552F0">
        <w:rPr>
          <w:sz w:val="22"/>
          <w:szCs w:val="22"/>
        </w:rPr>
        <w:t xml:space="preserve"> changes in banking syst</w:t>
      </w:r>
      <w:r w:rsidR="007C3E8D" w:rsidRPr="00F552F0">
        <w:rPr>
          <w:sz w:val="22"/>
          <w:szCs w:val="22"/>
        </w:rPr>
        <w:t xml:space="preserve">em control </w:t>
      </w:r>
      <w:r w:rsidR="00501FE6" w:rsidRPr="00F552F0">
        <w:rPr>
          <w:sz w:val="22"/>
          <w:szCs w:val="22"/>
        </w:rPr>
        <w:t xml:space="preserve">cannot be used </w:t>
      </w:r>
      <w:r w:rsidR="007C3E8D" w:rsidRPr="00F552F0">
        <w:rPr>
          <w:sz w:val="22"/>
          <w:szCs w:val="22"/>
        </w:rPr>
        <w:t xml:space="preserve">for identification. </w:t>
      </w:r>
      <w:r w:rsidRPr="00F552F0">
        <w:rPr>
          <w:sz w:val="22"/>
          <w:szCs w:val="22"/>
        </w:rPr>
        <w:t xml:space="preserve">We must therefore </w:t>
      </w:r>
      <w:r w:rsidR="00393762" w:rsidRPr="00F552F0">
        <w:rPr>
          <w:sz w:val="22"/>
          <w:szCs w:val="22"/>
        </w:rPr>
        <w:t xml:space="preserve">find other approaches to </w:t>
      </w:r>
      <w:r w:rsidR="00046F40" w:rsidRPr="00F552F0">
        <w:rPr>
          <w:sz w:val="22"/>
          <w:szCs w:val="22"/>
        </w:rPr>
        <w:t>contend with</w:t>
      </w:r>
      <w:r w:rsidRPr="00F552F0">
        <w:rPr>
          <w:sz w:val="22"/>
          <w:szCs w:val="22"/>
        </w:rPr>
        <w:t xml:space="preserve"> endogeneity problems, such a</w:t>
      </w:r>
      <w:r w:rsidR="009D1517" w:rsidRPr="00F552F0">
        <w:rPr>
          <w:sz w:val="22"/>
          <w:szCs w:val="22"/>
        </w:rPr>
        <w:t xml:space="preserve">s reverse causality or </w:t>
      </w:r>
      <w:r w:rsidRPr="00F552F0">
        <w:rPr>
          <w:sz w:val="22"/>
          <w:szCs w:val="22"/>
        </w:rPr>
        <w:t xml:space="preserve">latent factors affecting both control over </w:t>
      </w:r>
      <w:r w:rsidR="009D1517" w:rsidRPr="00F552F0">
        <w:rPr>
          <w:sz w:val="22"/>
          <w:szCs w:val="22"/>
        </w:rPr>
        <w:t xml:space="preserve">countries’ </w:t>
      </w:r>
      <w:r w:rsidRPr="00F552F0">
        <w:rPr>
          <w:sz w:val="22"/>
          <w:szCs w:val="22"/>
        </w:rPr>
        <w:t>banking sector</w:t>
      </w:r>
      <w:r w:rsidR="009D1517" w:rsidRPr="00F552F0">
        <w:rPr>
          <w:sz w:val="22"/>
          <w:szCs w:val="22"/>
        </w:rPr>
        <w:t>s</w:t>
      </w:r>
      <w:r w:rsidRPr="00F552F0">
        <w:rPr>
          <w:sz w:val="22"/>
          <w:szCs w:val="22"/>
        </w:rPr>
        <w:t xml:space="preserve"> </w:t>
      </w:r>
      <w:r w:rsidR="009D1517" w:rsidRPr="00F552F0">
        <w:rPr>
          <w:sz w:val="22"/>
          <w:szCs w:val="22"/>
        </w:rPr>
        <w:t>and their</w:t>
      </w:r>
      <w:r w:rsidRPr="00F552F0">
        <w:rPr>
          <w:sz w:val="22"/>
          <w:szCs w:val="22"/>
        </w:rPr>
        <w:t xml:space="preserve"> </w:t>
      </w:r>
      <w:r w:rsidR="009D1517" w:rsidRPr="00F552F0">
        <w:rPr>
          <w:sz w:val="22"/>
          <w:szCs w:val="22"/>
        </w:rPr>
        <w:t>economies’</w:t>
      </w:r>
      <w:r w:rsidR="007C3E8D" w:rsidRPr="00F552F0">
        <w:rPr>
          <w:sz w:val="22"/>
          <w:szCs w:val="22"/>
        </w:rPr>
        <w:t xml:space="preserve"> performance</w:t>
      </w:r>
      <w:r w:rsidR="00393762" w:rsidRPr="00F552F0">
        <w:rPr>
          <w:sz w:val="22"/>
          <w:szCs w:val="22"/>
        </w:rPr>
        <w:t xml:space="preserve">. </w:t>
      </w:r>
    </w:p>
    <w:p w:rsidR="00717D54" w:rsidRPr="00F552F0" w:rsidRDefault="00717D54">
      <w:pPr>
        <w:spacing w:line="440" w:lineRule="exact"/>
        <w:ind w:firstLine="720"/>
        <w:jc w:val="both"/>
      </w:pPr>
    </w:p>
    <w:p w:rsidR="004C3644" w:rsidRPr="00F552F0" w:rsidRDefault="003D5871">
      <w:pPr>
        <w:keepNext/>
        <w:autoSpaceDE w:val="0"/>
        <w:autoSpaceDN w:val="0"/>
        <w:adjustRightInd w:val="0"/>
        <w:spacing w:line="440" w:lineRule="exact"/>
        <w:jc w:val="both"/>
        <w:rPr>
          <w:i/>
          <w:color w:val="000000"/>
          <w:sz w:val="28"/>
        </w:rPr>
      </w:pPr>
      <w:r w:rsidRPr="00F552F0">
        <w:rPr>
          <w:i/>
          <w:color w:val="000000"/>
          <w:sz w:val="28"/>
        </w:rPr>
        <w:t>2.7.</w:t>
      </w:r>
      <w:r w:rsidRPr="00F552F0">
        <w:rPr>
          <w:i/>
          <w:color w:val="000000"/>
          <w:sz w:val="28"/>
        </w:rPr>
        <w:tab/>
        <w:t>Descriptive statistics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 3 summarizes the definitions and sources of all our main variables; and Table 2 present</w:t>
      </w:r>
      <w:r w:rsidR="00BB6F89" w:rsidRPr="00F552F0">
        <w:rPr>
          <w:color w:val="000000"/>
          <w:sz w:val="22"/>
          <w:szCs w:val="22"/>
        </w:rPr>
        <w:t>s</w:t>
      </w:r>
      <w:r w:rsidRPr="00F552F0">
        <w:rPr>
          <w:color w:val="000000"/>
          <w:sz w:val="22"/>
          <w:szCs w:val="22"/>
        </w:rPr>
        <w:t xml:space="preserve"> simple descriptive statistics for each. </w:t>
      </w:r>
    </w:p>
    <w:p w:rsidR="004C3644" w:rsidRPr="00F552F0" w:rsidRDefault="004C3644">
      <w:pPr>
        <w:autoSpaceDE w:val="0"/>
        <w:autoSpaceDN w:val="0"/>
        <w:adjustRightInd w:val="0"/>
        <w:spacing w:line="440" w:lineRule="exact"/>
        <w:ind w:firstLine="720"/>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w:t>
      </w:r>
      <w:r w:rsidR="000F7ECC" w:rsidRPr="00F552F0">
        <w:rPr>
          <w:color w:val="000000"/>
          <w:sz w:val="22"/>
          <w:szCs w:val="22"/>
        </w:rPr>
        <w:t>s 2 and</w:t>
      </w:r>
      <w:r w:rsidRPr="00F552F0">
        <w:rPr>
          <w:color w:val="000000"/>
          <w:sz w:val="22"/>
          <w:szCs w:val="22"/>
        </w:rPr>
        <w:t xml:space="preserve"> 3 about here]</w:t>
      </w:r>
    </w:p>
    <w:p w:rsidR="004C3644" w:rsidRPr="00F552F0" w:rsidRDefault="004C3644">
      <w:pPr>
        <w:autoSpaceDE w:val="0"/>
        <w:autoSpaceDN w:val="0"/>
        <w:adjustRightInd w:val="0"/>
        <w:spacing w:line="440" w:lineRule="exact"/>
        <w:ind w:firstLine="720"/>
        <w:jc w:val="both"/>
        <w:rPr>
          <w:color w:val="000000"/>
          <w:sz w:val="22"/>
          <w:szCs w:val="22"/>
        </w:rPr>
      </w:pPr>
    </w:p>
    <w:p w:rsidR="004C3644" w:rsidRPr="00F552F0" w:rsidRDefault="001D2881">
      <w:pPr>
        <w:keepNext/>
        <w:autoSpaceDE w:val="0"/>
        <w:autoSpaceDN w:val="0"/>
        <w:adjustRightInd w:val="0"/>
        <w:spacing w:line="440" w:lineRule="exact"/>
        <w:jc w:val="both"/>
        <w:rPr>
          <w:b/>
          <w:color w:val="000000"/>
          <w:sz w:val="32"/>
        </w:rPr>
      </w:pPr>
      <w:r w:rsidRPr="00F552F0">
        <w:rPr>
          <w:b/>
          <w:color w:val="000000"/>
          <w:sz w:val="32"/>
        </w:rPr>
        <w:t>3</w:t>
      </w:r>
      <w:r w:rsidR="00230BB4" w:rsidRPr="00F552F0">
        <w:rPr>
          <w:b/>
          <w:color w:val="000000"/>
          <w:sz w:val="32"/>
        </w:rPr>
        <w:t>.</w:t>
      </w:r>
      <w:r w:rsidR="00230BB4" w:rsidRPr="00F552F0">
        <w:rPr>
          <w:b/>
          <w:color w:val="000000"/>
          <w:sz w:val="32"/>
        </w:rPr>
        <w:tab/>
        <w:t>Empirical f</w:t>
      </w:r>
      <w:r w:rsidR="007C3E8D" w:rsidRPr="00F552F0">
        <w:rPr>
          <w:b/>
          <w:color w:val="000000"/>
          <w:sz w:val="32"/>
        </w:rPr>
        <w:t>indings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We examine the </w:t>
      </w:r>
      <w:r w:rsidR="008D78B2" w:rsidRPr="00F552F0">
        <w:rPr>
          <w:color w:val="000000"/>
          <w:sz w:val="22"/>
          <w:szCs w:val="22"/>
        </w:rPr>
        <w:t>correlations between our indexes</w:t>
      </w:r>
      <w:r w:rsidRPr="00F552F0">
        <w:rPr>
          <w:color w:val="000000"/>
          <w:sz w:val="22"/>
          <w:szCs w:val="22"/>
        </w:rPr>
        <w:t xml:space="preserve"> of bank control </w:t>
      </w:r>
      <w:r w:rsidR="006129FD" w:rsidRPr="00F552F0">
        <w:rPr>
          <w:color w:val="000000"/>
          <w:sz w:val="22"/>
          <w:szCs w:val="22"/>
        </w:rPr>
        <w:t xml:space="preserve">structure </w:t>
      </w:r>
      <w:r w:rsidRPr="00F552F0">
        <w:rPr>
          <w:color w:val="000000"/>
          <w:sz w:val="22"/>
          <w:szCs w:val="22"/>
        </w:rPr>
        <w:t>and various measures of economic performance</w:t>
      </w:r>
      <w:r w:rsidR="001578B3" w:rsidRPr="00F552F0">
        <w:rPr>
          <w:color w:val="000000"/>
          <w:sz w:val="22"/>
          <w:szCs w:val="22"/>
        </w:rPr>
        <w:t>—</w:t>
      </w:r>
      <w:r w:rsidRPr="00F552F0">
        <w:rPr>
          <w:color w:val="000000"/>
          <w:sz w:val="22"/>
          <w:szCs w:val="22"/>
        </w:rPr>
        <w:t>including banking system</w:t>
      </w:r>
      <w:r w:rsidR="00BB6F89" w:rsidRPr="00F552F0">
        <w:rPr>
          <w:color w:val="000000"/>
          <w:sz w:val="22"/>
          <w:szCs w:val="22"/>
        </w:rPr>
        <w:t xml:space="preserve"> efficiency</w:t>
      </w:r>
      <w:r w:rsidRPr="00F552F0">
        <w:rPr>
          <w:color w:val="000000"/>
          <w:sz w:val="22"/>
          <w:szCs w:val="22"/>
        </w:rPr>
        <w:t xml:space="preserve">, </w:t>
      </w:r>
      <w:r w:rsidR="00BB6F89" w:rsidRPr="00F552F0">
        <w:rPr>
          <w:color w:val="000000"/>
          <w:sz w:val="22"/>
          <w:szCs w:val="22"/>
        </w:rPr>
        <w:t>economic growth rates</w:t>
      </w:r>
      <w:r w:rsidRPr="00F552F0">
        <w:rPr>
          <w:color w:val="000000"/>
          <w:sz w:val="22"/>
          <w:szCs w:val="22"/>
        </w:rPr>
        <w:t>,</w:t>
      </w:r>
      <w:r w:rsidR="00BB6F89" w:rsidRPr="00F552F0">
        <w:rPr>
          <w:color w:val="000000"/>
          <w:sz w:val="22"/>
          <w:szCs w:val="22"/>
        </w:rPr>
        <w:t xml:space="preserve"> and macroeconomic</w:t>
      </w:r>
      <w:r w:rsidRPr="00F552F0">
        <w:rPr>
          <w:color w:val="000000"/>
          <w:sz w:val="22"/>
          <w:szCs w:val="22"/>
        </w:rPr>
        <w:t xml:space="preserve"> stability</w:t>
      </w:r>
      <w:r w:rsidR="001578B3" w:rsidRPr="00F552F0">
        <w:rPr>
          <w:color w:val="000000"/>
          <w:sz w:val="22"/>
          <w:szCs w:val="22"/>
        </w:rPr>
        <w:t>—</w:t>
      </w:r>
      <w:r w:rsidR="00BB6F89" w:rsidRPr="00F552F0">
        <w:rPr>
          <w:color w:val="000000"/>
          <w:sz w:val="22"/>
          <w:szCs w:val="22"/>
        </w:rPr>
        <w:t>as well as</w:t>
      </w:r>
      <w:r w:rsidRPr="00F552F0">
        <w:rPr>
          <w:color w:val="000000"/>
          <w:sz w:val="22"/>
          <w:szCs w:val="22"/>
        </w:rPr>
        <w:t xml:space="preserve"> </w:t>
      </w:r>
      <w:r w:rsidR="00BB6F89" w:rsidRPr="00F552F0">
        <w:rPr>
          <w:color w:val="000000"/>
          <w:sz w:val="22"/>
          <w:szCs w:val="22"/>
        </w:rPr>
        <w:t>factors</w:t>
      </w:r>
      <w:r w:rsidRPr="00F552F0">
        <w:rPr>
          <w:color w:val="000000"/>
          <w:sz w:val="22"/>
          <w:szCs w:val="22"/>
        </w:rPr>
        <w:t xml:space="preserve"> corr</w:t>
      </w:r>
      <w:r w:rsidR="007C3E8D" w:rsidRPr="00F552F0">
        <w:rPr>
          <w:color w:val="000000"/>
          <w:sz w:val="22"/>
          <w:szCs w:val="22"/>
        </w:rPr>
        <w:t xml:space="preserve">elated with crony capitalism. </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 4 about here]</w:t>
      </w:r>
    </w:p>
    <w:p w:rsidR="004C3644" w:rsidRPr="00F552F0" w:rsidRDefault="004C3644">
      <w:pPr>
        <w:autoSpaceDE w:val="0"/>
        <w:autoSpaceDN w:val="0"/>
        <w:adjustRightInd w:val="0"/>
        <w:spacing w:line="440" w:lineRule="exact"/>
        <w:jc w:val="both"/>
        <w:rPr>
          <w:b/>
          <w:color w:val="000000"/>
          <w:sz w:val="22"/>
          <w:szCs w:val="22"/>
        </w:rPr>
      </w:pPr>
    </w:p>
    <w:p w:rsidR="004C3644" w:rsidRPr="00F552F0" w:rsidRDefault="003D5871" w:rsidP="00E37227">
      <w:pPr>
        <w:keepNext/>
        <w:autoSpaceDE w:val="0"/>
        <w:autoSpaceDN w:val="0"/>
        <w:adjustRightInd w:val="0"/>
        <w:spacing w:line="440" w:lineRule="exact"/>
        <w:jc w:val="both"/>
        <w:rPr>
          <w:i/>
          <w:color w:val="000000"/>
          <w:sz w:val="28"/>
        </w:rPr>
      </w:pPr>
      <w:r w:rsidRPr="00F552F0">
        <w:rPr>
          <w:i/>
          <w:color w:val="000000"/>
          <w:sz w:val="28"/>
        </w:rPr>
        <w:t>3.1.</w:t>
      </w:r>
      <w:r w:rsidRPr="00F552F0">
        <w:rPr>
          <w:i/>
          <w:color w:val="000000"/>
          <w:sz w:val="28"/>
        </w:rPr>
        <w:tab/>
        <w:t>Simple correlations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Table 4 presents simple correlation coefficients of each </w:t>
      </w:r>
      <w:r w:rsidR="003221F5" w:rsidRPr="00F552F0">
        <w:rPr>
          <w:color w:val="000000"/>
          <w:sz w:val="22"/>
          <w:szCs w:val="22"/>
        </w:rPr>
        <w:t>country</w:t>
      </w:r>
      <w:r w:rsidR="007B4E8F" w:rsidRPr="00F552F0">
        <w:rPr>
          <w:color w:val="000000"/>
          <w:sz w:val="22"/>
          <w:szCs w:val="22"/>
        </w:rPr>
        <w:t>-level</w:t>
      </w:r>
      <w:r w:rsidR="003221F5" w:rsidRPr="00F552F0">
        <w:rPr>
          <w:color w:val="000000"/>
          <w:sz w:val="22"/>
          <w:szCs w:val="22"/>
        </w:rPr>
        <w:t xml:space="preserve"> </w:t>
      </w:r>
      <w:r w:rsidRPr="00F552F0">
        <w:rPr>
          <w:color w:val="000000"/>
          <w:sz w:val="22"/>
          <w:szCs w:val="22"/>
        </w:rPr>
        <w:t>main variable with all the others. Several pattern</w:t>
      </w:r>
      <w:r w:rsidR="00BB5D84" w:rsidRPr="00F552F0">
        <w:rPr>
          <w:color w:val="000000"/>
          <w:sz w:val="22"/>
          <w:szCs w:val="22"/>
        </w:rPr>
        <w:t xml:space="preserve">s emerge. First, the three </w:t>
      </w:r>
      <w:r w:rsidRPr="00F552F0">
        <w:rPr>
          <w:color w:val="000000"/>
          <w:sz w:val="22"/>
          <w:szCs w:val="22"/>
        </w:rPr>
        <w:t>bank control</w:t>
      </w:r>
      <w:r w:rsidR="006129FD" w:rsidRPr="00F552F0">
        <w:rPr>
          <w:color w:val="000000"/>
          <w:sz w:val="22"/>
          <w:szCs w:val="22"/>
        </w:rPr>
        <w:t xml:space="preserve"> structure</w:t>
      </w:r>
      <w:r w:rsidR="00BB5D84" w:rsidRPr="00F552F0">
        <w:rPr>
          <w:color w:val="000000"/>
          <w:sz w:val="22"/>
          <w:szCs w:val="22"/>
        </w:rPr>
        <w:t xml:space="preserve"> </w:t>
      </w:r>
      <w:r w:rsidRPr="00F552F0">
        <w:rPr>
          <w:color w:val="000000"/>
          <w:sz w:val="22"/>
          <w:szCs w:val="22"/>
        </w:rPr>
        <w:t>indexes sum to unity, so each should correlate negatively with the other two</w:t>
      </w:r>
      <w:r w:rsidR="008E0552" w:rsidRPr="00F552F0">
        <w:rPr>
          <w:color w:val="000000"/>
          <w:sz w:val="22"/>
          <w:szCs w:val="22"/>
        </w:rPr>
        <w:t xml:space="preserve"> </w:t>
      </w:r>
      <w:r w:rsidRPr="00F552F0">
        <w:rPr>
          <w:color w:val="000000"/>
          <w:sz w:val="22"/>
          <w:szCs w:val="22"/>
        </w:rPr>
        <w:t xml:space="preserve">purely as an algebraic artifact. </w:t>
      </w:r>
      <w:r w:rsidR="00A1014A" w:rsidRPr="00F552F0">
        <w:rPr>
          <w:color w:val="000000"/>
          <w:sz w:val="22"/>
          <w:szCs w:val="22"/>
        </w:rPr>
        <w:t>However, their relative magnitudes are informative nonetheless. F</w:t>
      </w:r>
      <w:r w:rsidRPr="00F552F0">
        <w:rPr>
          <w:color w:val="000000"/>
          <w:sz w:val="22"/>
          <w:szCs w:val="22"/>
        </w:rPr>
        <w:t xml:space="preserve">amily control </w:t>
      </w:r>
      <w:r w:rsidR="00A1014A" w:rsidRPr="00F552F0">
        <w:rPr>
          <w:color w:val="000000"/>
          <w:sz w:val="22"/>
          <w:szCs w:val="22"/>
        </w:rPr>
        <w:t>is</w:t>
      </w:r>
      <w:r w:rsidRPr="00F552F0">
        <w:rPr>
          <w:color w:val="000000"/>
          <w:sz w:val="22"/>
          <w:szCs w:val="22"/>
        </w:rPr>
        <w:t xml:space="preserve"> </w:t>
      </w:r>
      <w:r w:rsidR="00A1014A" w:rsidRPr="00F552F0">
        <w:rPr>
          <w:color w:val="000000"/>
          <w:sz w:val="22"/>
          <w:szCs w:val="22"/>
        </w:rPr>
        <w:t>not significantly negatively</w:t>
      </w:r>
      <w:r w:rsidRPr="00F552F0">
        <w:rPr>
          <w:color w:val="000000"/>
          <w:sz w:val="22"/>
          <w:szCs w:val="22"/>
        </w:rPr>
        <w:t xml:space="preserve"> </w:t>
      </w:r>
      <w:r w:rsidR="00A1014A" w:rsidRPr="00F552F0">
        <w:rPr>
          <w:color w:val="000000"/>
          <w:sz w:val="22"/>
          <w:szCs w:val="22"/>
        </w:rPr>
        <w:t>correlated with state control</w:t>
      </w:r>
      <w:r w:rsidRPr="00F552F0">
        <w:rPr>
          <w:color w:val="000000"/>
          <w:sz w:val="22"/>
          <w:szCs w:val="22"/>
        </w:rPr>
        <w:t xml:space="preserve">, </w:t>
      </w:r>
      <w:r w:rsidR="00A1014A" w:rsidRPr="00F552F0">
        <w:rPr>
          <w:color w:val="000000"/>
          <w:sz w:val="22"/>
          <w:szCs w:val="22"/>
        </w:rPr>
        <w:t>but</w:t>
      </w:r>
      <w:r w:rsidRPr="00F552F0">
        <w:rPr>
          <w:color w:val="000000"/>
          <w:sz w:val="22"/>
          <w:szCs w:val="22"/>
        </w:rPr>
        <w:t xml:space="preserve"> </w:t>
      </w:r>
      <w:r w:rsidR="00392DB6" w:rsidRPr="00F552F0">
        <w:rPr>
          <w:color w:val="000000"/>
          <w:sz w:val="22"/>
          <w:szCs w:val="22"/>
        </w:rPr>
        <w:t>widely held</w:t>
      </w:r>
      <w:r w:rsidRPr="00F552F0">
        <w:rPr>
          <w:color w:val="000000"/>
          <w:sz w:val="22"/>
          <w:szCs w:val="22"/>
        </w:rPr>
        <w:t xml:space="preserve"> bank</w:t>
      </w:r>
      <w:r w:rsidR="00A1014A" w:rsidRPr="00F552F0">
        <w:rPr>
          <w:color w:val="000000"/>
          <w:sz w:val="22"/>
          <w:szCs w:val="22"/>
        </w:rPr>
        <w:t>s are significantly (</w:t>
      </w:r>
      <w:r w:rsidR="00A1014A" w:rsidRPr="00F552F0">
        <w:rPr>
          <w:i/>
          <w:color w:val="000000"/>
          <w:sz w:val="22"/>
          <w:szCs w:val="22"/>
        </w:rPr>
        <w:t>p</w:t>
      </w:r>
      <w:r w:rsidR="00A1014A" w:rsidRPr="00F552F0">
        <w:rPr>
          <w:color w:val="000000"/>
          <w:sz w:val="22"/>
          <w:szCs w:val="22"/>
        </w:rPr>
        <w:t xml:space="preserve"> &lt; 0.01) rarer wherever either state or fami</w:t>
      </w:r>
      <w:r w:rsidR="007C3E8D" w:rsidRPr="00F552F0">
        <w:rPr>
          <w:color w:val="000000"/>
          <w:sz w:val="22"/>
          <w:szCs w:val="22"/>
        </w:rPr>
        <w:t xml:space="preserve">ly control is more prevalent. </w:t>
      </w:r>
      <w:r w:rsidRPr="00F552F0">
        <w:rPr>
          <w:color w:val="000000"/>
          <w:sz w:val="22"/>
          <w:szCs w:val="22"/>
        </w:rPr>
        <w:t>Thus, the primary difference</w:t>
      </w:r>
      <w:r w:rsidR="00A1014A" w:rsidRPr="00F552F0">
        <w:rPr>
          <w:color w:val="000000"/>
          <w:sz w:val="22"/>
          <w:szCs w:val="22"/>
        </w:rPr>
        <w:t xml:space="preserve"> across countries seems</w:t>
      </w:r>
      <w:r w:rsidRPr="00F552F0">
        <w:rPr>
          <w:color w:val="000000"/>
          <w:sz w:val="22"/>
          <w:szCs w:val="22"/>
        </w:rPr>
        <w:t xml:space="preserve"> to be </w:t>
      </w:r>
      <w:r w:rsidR="00392DB6" w:rsidRPr="00F552F0">
        <w:rPr>
          <w:color w:val="000000"/>
          <w:sz w:val="22"/>
          <w:szCs w:val="22"/>
        </w:rPr>
        <w:t>widely held</w:t>
      </w:r>
      <w:r w:rsidRPr="00F552F0">
        <w:rPr>
          <w:color w:val="000000"/>
          <w:sz w:val="22"/>
          <w:szCs w:val="22"/>
        </w:rPr>
        <w:t xml:space="preserve"> banks on the one hand versus state or family</w:t>
      </w:r>
      <w:r w:rsidR="00C26254" w:rsidRPr="00F552F0">
        <w:rPr>
          <w:color w:val="000000"/>
          <w:sz w:val="22"/>
          <w:szCs w:val="22"/>
        </w:rPr>
        <w:t>-controlled</w:t>
      </w:r>
      <w:r w:rsidRPr="00F552F0">
        <w:rPr>
          <w:color w:val="000000"/>
          <w:sz w:val="22"/>
          <w:szCs w:val="22"/>
        </w:rPr>
        <w:t xml:space="preserve"> banks on the other.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Second, capital allocation efficiency </w:t>
      </w:r>
      <w:r w:rsidR="00A1014A" w:rsidRPr="00F552F0">
        <w:rPr>
          <w:color w:val="000000"/>
          <w:sz w:val="22"/>
          <w:szCs w:val="22"/>
        </w:rPr>
        <w:t>correlates</w:t>
      </w:r>
      <w:r w:rsidRPr="00F552F0">
        <w:rPr>
          <w:color w:val="000000"/>
          <w:sz w:val="22"/>
          <w:szCs w:val="22"/>
        </w:rPr>
        <w:t xml:space="preserve"> negatively </w:t>
      </w:r>
      <w:r w:rsidR="00A1014A" w:rsidRPr="00F552F0">
        <w:rPr>
          <w:color w:val="000000"/>
          <w:sz w:val="22"/>
          <w:szCs w:val="22"/>
        </w:rPr>
        <w:t xml:space="preserve">and significantly </w:t>
      </w:r>
      <w:r w:rsidRPr="00F552F0">
        <w:rPr>
          <w:color w:val="000000"/>
          <w:sz w:val="22"/>
          <w:szCs w:val="22"/>
        </w:rPr>
        <w:t>with state-control of the banking system (1963</w:t>
      </w:r>
      <w:r w:rsidR="001578B3" w:rsidRPr="00F552F0">
        <w:rPr>
          <w:color w:val="000000"/>
          <w:sz w:val="22"/>
          <w:szCs w:val="22"/>
        </w:rPr>
        <w:t>–</w:t>
      </w:r>
      <w:r w:rsidRPr="00F552F0">
        <w:rPr>
          <w:color w:val="000000"/>
          <w:sz w:val="22"/>
          <w:szCs w:val="22"/>
        </w:rPr>
        <w:t xml:space="preserve">2003), </w:t>
      </w:r>
      <w:r w:rsidR="00A1014A" w:rsidRPr="00F552F0">
        <w:rPr>
          <w:color w:val="000000"/>
          <w:sz w:val="22"/>
          <w:szCs w:val="22"/>
        </w:rPr>
        <w:t>as in</w:t>
      </w:r>
      <w:r w:rsidRPr="00F552F0">
        <w:rPr>
          <w:color w:val="000000"/>
          <w:sz w:val="22"/>
          <w:szCs w:val="22"/>
        </w:rPr>
        <w:t xml:space="preserve"> </w:t>
      </w:r>
      <w:proofErr w:type="spellStart"/>
      <w:r w:rsidRPr="00F552F0">
        <w:rPr>
          <w:color w:val="000000"/>
          <w:sz w:val="22"/>
          <w:szCs w:val="22"/>
        </w:rPr>
        <w:t>Wurgler</w:t>
      </w:r>
      <w:proofErr w:type="spellEnd"/>
      <w:r w:rsidR="009D1517" w:rsidRPr="00F552F0">
        <w:rPr>
          <w:color w:val="000000"/>
          <w:sz w:val="22"/>
          <w:szCs w:val="22"/>
        </w:rPr>
        <w:t xml:space="preserve"> (2000).</w:t>
      </w:r>
      <w:r w:rsidRPr="00F552F0">
        <w:rPr>
          <w:color w:val="000000"/>
          <w:sz w:val="22"/>
          <w:szCs w:val="22"/>
        </w:rPr>
        <w:t xml:space="preserve"> However, efficient capital allocation is positively significantly correlated with </w:t>
      </w:r>
      <w:r w:rsidR="00392DB6" w:rsidRPr="00F552F0">
        <w:rPr>
          <w:color w:val="000000"/>
          <w:sz w:val="22"/>
          <w:szCs w:val="22"/>
        </w:rPr>
        <w:t>widely held</w:t>
      </w:r>
      <w:r w:rsidR="00A1014A" w:rsidRPr="00F552F0">
        <w:rPr>
          <w:color w:val="000000"/>
          <w:sz w:val="22"/>
          <w:szCs w:val="22"/>
        </w:rPr>
        <w:t xml:space="preserve"> </w:t>
      </w:r>
      <w:r w:rsidR="00BB6F89" w:rsidRPr="00F552F0">
        <w:rPr>
          <w:color w:val="000000"/>
          <w:sz w:val="22"/>
          <w:szCs w:val="22"/>
        </w:rPr>
        <w:t>banks and negatively</w:t>
      </w:r>
      <w:r w:rsidRPr="00F552F0">
        <w:rPr>
          <w:color w:val="000000"/>
          <w:sz w:val="22"/>
          <w:szCs w:val="22"/>
        </w:rPr>
        <w:t xml:space="preserve"> </w:t>
      </w:r>
      <w:r w:rsidR="00A1014A" w:rsidRPr="00F552F0">
        <w:rPr>
          <w:color w:val="000000"/>
          <w:sz w:val="22"/>
          <w:szCs w:val="22"/>
        </w:rPr>
        <w:t xml:space="preserve">and </w:t>
      </w:r>
      <w:r w:rsidRPr="00F552F0">
        <w:rPr>
          <w:color w:val="000000"/>
          <w:sz w:val="22"/>
          <w:szCs w:val="22"/>
        </w:rPr>
        <w:t>significantly</w:t>
      </w:r>
      <w:r w:rsidR="002D7F4E" w:rsidRPr="00F552F0">
        <w:rPr>
          <w:color w:val="000000"/>
          <w:sz w:val="22"/>
          <w:szCs w:val="22"/>
        </w:rPr>
        <w:t>,</w:t>
      </w:r>
      <w:r w:rsidRPr="00F552F0">
        <w:rPr>
          <w:color w:val="000000"/>
          <w:sz w:val="22"/>
          <w:szCs w:val="22"/>
        </w:rPr>
        <w:t xml:space="preserve"> </w:t>
      </w:r>
      <w:r w:rsidR="00A1014A" w:rsidRPr="00F552F0">
        <w:rPr>
          <w:color w:val="000000"/>
          <w:sz w:val="22"/>
          <w:szCs w:val="22"/>
        </w:rPr>
        <w:t xml:space="preserve">if measured </w:t>
      </w:r>
      <w:r w:rsidRPr="00F552F0">
        <w:rPr>
          <w:color w:val="000000"/>
          <w:sz w:val="22"/>
          <w:szCs w:val="22"/>
        </w:rPr>
        <w:t xml:space="preserve">between 1993 and 2003, </w:t>
      </w:r>
      <w:r w:rsidR="00BB6F89" w:rsidRPr="00F552F0">
        <w:rPr>
          <w:color w:val="000000"/>
          <w:sz w:val="22"/>
          <w:szCs w:val="22"/>
        </w:rPr>
        <w:t xml:space="preserve">correlated </w:t>
      </w:r>
      <w:r w:rsidRPr="00F552F0">
        <w:rPr>
          <w:color w:val="000000"/>
          <w:sz w:val="22"/>
          <w:szCs w:val="22"/>
        </w:rPr>
        <w:t xml:space="preserve">with </w:t>
      </w:r>
      <w:r w:rsidR="00A1014A" w:rsidRPr="00F552F0">
        <w:rPr>
          <w:color w:val="000000"/>
          <w:sz w:val="22"/>
          <w:szCs w:val="22"/>
        </w:rPr>
        <w:t xml:space="preserve">family-controlled banks.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Third, </w:t>
      </w:r>
      <w:r w:rsidR="00A1014A" w:rsidRPr="00F552F0">
        <w:rPr>
          <w:color w:val="000000"/>
          <w:sz w:val="22"/>
          <w:szCs w:val="22"/>
        </w:rPr>
        <w:t xml:space="preserve">more </w:t>
      </w:r>
      <w:r w:rsidR="00BB6F89" w:rsidRPr="00F552F0">
        <w:rPr>
          <w:color w:val="000000"/>
          <w:sz w:val="22"/>
          <w:szCs w:val="22"/>
        </w:rPr>
        <w:t xml:space="preserve">prevalent </w:t>
      </w:r>
      <w:r w:rsidRPr="00F552F0">
        <w:rPr>
          <w:color w:val="000000"/>
          <w:sz w:val="22"/>
          <w:szCs w:val="22"/>
        </w:rPr>
        <w:t>family-control o</w:t>
      </w:r>
      <w:r w:rsidR="00A1014A" w:rsidRPr="00F552F0">
        <w:rPr>
          <w:color w:val="000000"/>
          <w:sz w:val="22"/>
          <w:szCs w:val="22"/>
        </w:rPr>
        <w:t>ver</w:t>
      </w:r>
      <w:r w:rsidRPr="00F552F0">
        <w:rPr>
          <w:color w:val="000000"/>
          <w:sz w:val="22"/>
          <w:szCs w:val="22"/>
        </w:rPr>
        <w:t xml:space="preserve"> banks is associated with more </w:t>
      </w:r>
      <w:r w:rsidR="001578B3" w:rsidRPr="00F552F0">
        <w:rPr>
          <w:color w:val="000000"/>
          <w:sz w:val="22"/>
          <w:szCs w:val="22"/>
        </w:rPr>
        <w:t>nonperforming</w:t>
      </w:r>
      <w:r w:rsidRPr="00F552F0">
        <w:rPr>
          <w:color w:val="000000"/>
          <w:sz w:val="22"/>
          <w:szCs w:val="22"/>
        </w:rPr>
        <w:t xml:space="preserve"> loans, </w:t>
      </w:r>
      <w:r w:rsidR="00BB6F89" w:rsidRPr="00F552F0">
        <w:rPr>
          <w:color w:val="000000"/>
          <w:sz w:val="22"/>
          <w:szCs w:val="22"/>
        </w:rPr>
        <w:t>more</w:t>
      </w:r>
      <w:r w:rsidRPr="00F552F0">
        <w:rPr>
          <w:color w:val="000000"/>
          <w:sz w:val="22"/>
          <w:szCs w:val="22"/>
        </w:rPr>
        <w:t xml:space="preserve"> bank</w:t>
      </w:r>
      <w:r w:rsidR="00BB6F89" w:rsidRPr="00F552F0">
        <w:rPr>
          <w:color w:val="000000"/>
          <w:sz w:val="22"/>
          <w:szCs w:val="22"/>
        </w:rPr>
        <w:t>ing</w:t>
      </w:r>
      <w:r w:rsidRPr="00F552F0">
        <w:rPr>
          <w:color w:val="000000"/>
          <w:sz w:val="22"/>
          <w:szCs w:val="22"/>
        </w:rPr>
        <w:t xml:space="preserve"> crises, slower economic growth, slower capital accumulation</w:t>
      </w:r>
      <w:r w:rsidR="00BB6F89" w:rsidRPr="00F552F0">
        <w:rPr>
          <w:color w:val="000000"/>
          <w:sz w:val="22"/>
          <w:szCs w:val="22"/>
        </w:rPr>
        <w:t>,</w:t>
      </w:r>
      <w:r w:rsidRPr="00F552F0">
        <w:rPr>
          <w:color w:val="000000"/>
          <w:sz w:val="22"/>
          <w:szCs w:val="22"/>
        </w:rPr>
        <w:t xml:space="preserve"> and </w:t>
      </w:r>
      <w:r w:rsidR="00BB6F89" w:rsidRPr="00F552F0">
        <w:rPr>
          <w:color w:val="000000"/>
          <w:sz w:val="22"/>
          <w:szCs w:val="22"/>
        </w:rPr>
        <w:t>worse</w:t>
      </w:r>
      <w:r w:rsidRPr="00F552F0">
        <w:rPr>
          <w:color w:val="000000"/>
          <w:sz w:val="22"/>
          <w:szCs w:val="22"/>
        </w:rPr>
        <w:t xml:space="preserve"> macro</w:t>
      </w:r>
      <w:r w:rsidR="00BB6F89" w:rsidRPr="00F552F0">
        <w:rPr>
          <w:color w:val="000000"/>
          <w:sz w:val="22"/>
          <w:szCs w:val="22"/>
        </w:rPr>
        <w:t>economic</w:t>
      </w:r>
      <w:r w:rsidRPr="00F552F0">
        <w:rPr>
          <w:color w:val="000000"/>
          <w:sz w:val="22"/>
          <w:szCs w:val="22"/>
        </w:rPr>
        <w:t xml:space="preserve"> volatility</w:t>
      </w:r>
      <w:r w:rsidR="007C3E8D" w:rsidRPr="00F552F0">
        <w:rPr>
          <w:color w:val="000000"/>
          <w:sz w:val="22"/>
          <w:szCs w:val="22"/>
        </w:rPr>
        <w:t xml:space="preserve">. </w:t>
      </w:r>
      <w:r w:rsidR="00A1014A" w:rsidRPr="00F552F0">
        <w:rPr>
          <w:color w:val="000000"/>
          <w:sz w:val="22"/>
          <w:szCs w:val="22"/>
        </w:rPr>
        <w:t xml:space="preserve">In contrast, </w:t>
      </w:r>
      <w:r w:rsidR="002E18D5" w:rsidRPr="00F552F0">
        <w:rPr>
          <w:color w:val="000000"/>
          <w:sz w:val="22"/>
          <w:szCs w:val="22"/>
        </w:rPr>
        <w:t xml:space="preserve">a </w:t>
      </w:r>
      <w:r w:rsidR="00A1014A" w:rsidRPr="00F552F0">
        <w:rPr>
          <w:color w:val="000000"/>
          <w:sz w:val="22"/>
          <w:szCs w:val="22"/>
        </w:rPr>
        <w:t xml:space="preserve">more </w:t>
      </w:r>
      <w:r w:rsidR="00392DB6" w:rsidRPr="00F552F0">
        <w:rPr>
          <w:color w:val="000000"/>
          <w:sz w:val="22"/>
          <w:szCs w:val="22"/>
        </w:rPr>
        <w:t>widely held</w:t>
      </w:r>
      <w:r w:rsidRPr="00F552F0">
        <w:rPr>
          <w:color w:val="000000"/>
          <w:sz w:val="22"/>
          <w:szCs w:val="22"/>
        </w:rPr>
        <w:t xml:space="preserve"> bank</w:t>
      </w:r>
      <w:r w:rsidR="002E18D5" w:rsidRPr="00F552F0">
        <w:rPr>
          <w:color w:val="000000"/>
          <w:sz w:val="22"/>
          <w:szCs w:val="22"/>
        </w:rPr>
        <w:t>ing system</w:t>
      </w:r>
      <w:r w:rsidR="00A1014A" w:rsidRPr="00F552F0">
        <w:rPr>
          <w:color w:val="000000"/>
          <w:sz w:val="22"/>
          <w:szCs w:val="22"/>
        </w:rPr>
        <w:t xml:space="preserve"> correlates </w:t>
      </w:r>
      <w:r w:rsidRPr="00F552F0">
        <w:rPr>
          <w:color w:val="000000"/>
          <w:sz w:val="22"/>
          <w:szCs w:val="22"/>
        </w:rPr>
        <w:t xml:space="preserve">with </w:t>
      </w:r>
      <w:r w:rsidR="008D7150" w:rsidRPr="00F552F0">
        <w:rPr>
          <w:color w:val="000000"/>
          <w:sz w:val="22"/>
          <w:szCs w:val="22"/>
        </w:rPr>
        <w:t>lo</w:t>
      </w:r>
      <w:r w:rsidR="00A1014A" w:rsidRPr="00F552F0">
        <w:rPr>
          <w:color w:val="000000"/>
          <w:sz w:val="22"/>
          <w:szCs w:val="22"/>
        </w:rPr>
        <w:t>wer</w:t>
      </w:r>
      <w:r w:rsidRPr="00F552F0">
        <w:rPr>
          <w:color w:val="000000"/>
          <w:sz w:val="22"/>
          <w:szCs w:val="22"/>
        </w:rPr>
        <w:t xml:space="preserve"> </w:t>
      </w:r>
      <w:r w:rsidR="001578B3" w:rsidRPr="00F552F0">
        <w:rPr>
          <w:color w:val="000000"/>
          <w:sz w:val="22"/>
          <w:szCs w:val="22"/>
        </w:rPr>
        <w:t>nonperforming</w:t>
      </w:r>
      <w:r w:rsidRPr="00F552F0">
        <w:rPr>
          <w:color w:val="000000"/>
          <w:sz w:val="22"/>
          <w:szCs w:val="22"/>
        </w:rPr>
        <w:t xml:space="preserve"> loans, </w:t>
      </w:r>
      <w:r w:rsidR="00A1014A" w:rsidRPr="00F552F0">
        <w:rPr>
          <w:color w:val="000000"/>
          <w:sz w:val="22"/>
          <w:szCs w:val="22"/>
        </w:rPr>
        <w:lastRenderedPageBreak/>
        <w:t>fewer</w:t>
      </w:r>
      <w:r w:rsidRPr="00F552F0">
        <w:rPr>
          <w:color w:val="000000"/>
          <w:sz w:val="22"/>
          <w:szCs w:val="22"/>
        </w:rPr>
        <w:t xml:space="preserve"> bank</w:t>
      </w:r>
      <w:r w:rsidR="00BB6F89" w:rsidRPr="00F552F0">
        <w:rPr>
          <w:color w:val="000000"/>
          <w:sz w:val="22"/>
          <w:szCs w:val="22"/>
        </w:rPr>
        <w:t>ing</w:t>
      </w:r>
      <w:r w:rsidRPr="00F552F0">
        <w:rPr>
          <w:color w:val="000000"/>
          <w:sz w:val="22"/>
          <w:szCs w:val="22"/>
        </w:rPr>
        <w:t xml:space="preserve"> crises, faster capital accumulation</w:t>
      </w:r>
      <w:r w:rsidR="00A1014A" w:rsidRPr="00F552F0">
        <w:rPr>
          <w:color w:val="000000"/>
          <w:sz w:val="22"/>
          <w:szCs w:val="22"/>
        </w:rPr>
        <w:t>,</w:t>
      </w:r>
      <w:r w:rsidRPr="00F552F0">
        <w:rPr>
          <w:color w:val="000000"/>
          <w:sz w:val="22"/>
          <w:szCs w:val="22"/>
        </w:rPr>
        <w:t xml:space="preserve"> and </w:t>
      </w:r>
      <w:r w:rsidR="00BB6F89" w:rsidRPr="00F552F0">
        <w:rPr>
          <w:color w:val="000000"/>
          <w:sz w:val="22"/>
          <w:szCs w:val="22"/>
        </w:rPr>
        <w:t>less</w:t>
      </w:r>
      <w:r w:rsidRPr="00F552F0">
        <w:rPr>
          <w:color w:val="000000"/>
          <w:sz w:val="22"/>
          <w:szCs w:val="22"/>
        </w:rPr>
        <w:t xml:space="preserve"> macro</w:t>
      </w:r>
      <w:r w:rsidR="00BB6F89" w:rsidRPr="00F552F0">
        <w:rPr>
          <w:color w:val="000000"/>
          <w:sz w:val="22"/>
          <w:szCs w:val="22"/>
        </w:rPr>
        <w:t>economic</w:t>
      </w:r>
      <w:r w:rsidRPr="00F552F0">
        <w:rPr>
          <w:color w:val="000000"/>
          <w:sz w:val="22"/>
          <w:szCs w:val="22"/>
        </w:rPr>
        <w:t xml:space="preserve"> volatility. </w:t>
      </w:r>
      <w:r w:rsidR="002E18D5" w:rsidRPr="00F552F0">
        <w:rPr>
          <w:color w:val="000000"/>
          <w:sz w:val="22"/>
          <w:szCs w:val="22"/>
        </w:rPr>
        <w:t xml:space="preserve">A more </w:t>
      </w:r>
      <w:r w:rsidR="00BB6F89" w:rsidRPr="00F552F0">
        <w:rPr>
          <w:color w:val="000000"/>
          <w:sz w:val="22"/>
          <w:szCs w:val="22"/>
        </w:rPr>
        <w:t xml:space="preserve">thoroughly </w:t>
      </w:r>
      <w:r w:rsidRPr="00F552F0">
        <w:rPr>
          <w:color w:val="000000"/>
          <w:sz w:val="22"/>
          <w:szCs w:val="22"/>
        </w:rPr>
        <w:t>state</w:t>
      </w:r>
      <w:r w:rsidR="00C26254" w:rsidRPr="00F552F0">
        <w:rPr>
          <w:color w:val="000000"/>
          <w:sz w:val="22"/>
          <w:szCs w:val="22"/>
        </w:rPr>
        <w:t>-controlled</w:t>
      </w:r>
      <w:r w:rsidRPr="00F552F0">
        <w:rPr>
          <w:color w:val="000000"/>
          <w:sz w:val="22"/>
          <w:szCs w:val="22"/>
        </w:rPr>
        <w:t xml:space="preserve"> bank</w:t>
      </w:r>
      <w:r w:rsidR="002E18D5" w:rsidRPr="00F552F0">
        <w:rPr>
          <w:color w:val="000000"/>
          <w:sz w:val="22"/>
          <w:szCs w:val="22"/>
        </w:rPr>
        <w:t>ing system</w:t>
      </w:r>
      <w:r w:rsidRPr="00F552F0">
        <w:rPr>
          <w:color w:val="000000"/>
          <w:sz w:val="22"/>
          <w:szCs w:val="22"/>
        </w:rPr>
        <w:t xml:space="preserve"> </w:t>
      </w:r>
      <w:r w:rsidR="002E18D5" w:rsidRPr="00F552F0">
        <w:rPr>
          <w:color w:val="000000"/>
          <w:sz w:val="22"/>
          <w:szCs w:val="22"/>
        </w:rPr>
        <w:t xml:space="preserve">correlates </w:t>
      </w:r>
      <w:r w:rsidRPr="00F552F0">
        <w:rPr>
          <w:color w:val="000000"/>
          <w:sz w:val="22"/>
          <w:szCs w:val="22"/>
        </w:rPr>
        <w:t xml:space="preserve">only with more </w:t>
      </w:r>
      <w:r w:rsidR="001578B3" w:rsidRPr="00F552F0">
        <w:rPr>
          <w:color w:val="000000"/>
          <w:sz w:val="22"/>
          <w:szCs w:val="22"/>
        </w:rPr>
        <w:t>nonperforming</w:t>
      </w:r>
      <w:r w:rsidRPr="00F552F0">
        <w:rPr>
          <w:color w:val="000000"/>
          <w:sz w:val="22"/>
          <w:szCs w:val="22"/>
        </w:rPr>
        <w:t xml:space="preserve"> loans and</w:t>
      </w:r>
      <w:r w:rsidR="007C3E8D" w:rsidRPr="00F552F0">
        <w:rPr>
          <w:color w:val="000000"/>
          <w:sz w:val="22"/>
          <w:szCs w:val="22"/>
        </w:rPr>
        <w:t xml:space="preserve"> slower capital accumulation. </w:t>
      </w:r>
    </w:p>
    <w:p w:rsidR="004C3644" w:rsidRPr="00F552F0" w:rsidRDefault="004C3644">
      <w:pPr>
        <w:autoSpaceDE w:val="0"/>
        <w:autoSpaceDN w:val="0"/>
        <w:adjustRightInd w:val="0"/>
        <w:spacing w:line="440" w:lineRule="exact"/>
        <w:ind w:firstLine="720"/>
        <w:jc w:val="both"/>
        <w:rPr>
          <w:color w:val="000000"/>
          <w:sz w:val="22"/>
          <w:szCs w:val="22"/>
        </w:rPr>
      </w:pPr>
    </w:p>
    <w:p w:rsidR="004C3644" w:rsidRPr="00F552F0" w:rsidRDefault="003D5871">
      <w:pPr>
        <w:keepNext/>
        <w:autoSpaceDE w:val="0"/>
        <w:autoSpaceDN w:val="0"/>
        <w:adjustRightInd w:val="0"/>
        <w:spacing w:line="440" w:lineRule="exact"/>
        <w:jc w:val="both"/>
        <w:rPr>
          <w:i/>
          <w:color w:val="000000"/>
          <w:sz w:val="28"/>
        </w:rPr>
      </w:pPr>
      <w:r w:rsidRPr="00F552F0">
        <w:rPr>
          <w:i/>
          <w:color w:val="000000"/>
          <w:sz w:val="28"/>
        </w:rPr>
        <w:t>3.2.</w:t>
      </w:r>
      <w:r w:rsidRPr="00F552F0">
        <w:rPr>
          <w:i/>
          <w:color w:val="000000"/>
          <w:sz w:val="28"/>
        </w:rPr>
        <w:tab/>
        <w:t>Main regression results</w:t>
      </w:r>
    </w:p>
    <w:p w:rsidR="00E21501"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Fig</w:t>
      </w:r>
      <w:r w:rsidR="001578B3" w:rsidRPr="00F552F0">
        <w:rPr>
          <w:color w:val="000000"/>
          <w:sz w:val="22"/>
          <w:szCs w:val="22"/>
        </w:rPr>
        <w:t>.</w:t>
      </w:r>
      <w:r w:rsidRPr="00F552F0">
        <w:rPr>
          <w:color w:val="000000"/>
          <w:sz w:val="22"/>
          <w:szCs w:val="22"/>
        </w:rPr>
        <w:t xml:space="preserve"> 1 graphs capital allocation efficiency against the fraction</w:t>
      </w:r>
      <w:r w:rsidR="002E18D5" w:rsidRPr="00F552F0">
        <w:rPr>
          <w:color w:val="000000"/>
          <w:sz w:val="22"/>
          <w:szCs w:val="22"/>
        </w:rPr>
        <w:t>s</w:t>
      </w:r>
      <w:r w:rsidRPr="00F552F0">
        <w:rPr>
          <w:color w:val="000000"/>
          <w:sz w:val="22"/>
          <w:szCs w:val="22"/>
        </w:rPr>
        <w:t xml:space="preserve"> of banks </w:t>
      </w:r>
      <w:r w:rsidR="002E18D5" w:rsidRPr="00F552F0">
        <w:rPr>
          <w:color w:val="000000"/>
          <w:sz w:val="22"/>
          <w:szCs w:val="22"/>
        </w:rPr>
        <w:t xml:space="preserve">designated family-controlled, state-controlled, and </w:t>
      </w:r>
      <w:r w:rsidR="00392DB6" w:rsidRPr="00F552F0">
        <w:rPr>
          <w:color w:val="000000"/>
          <w:sz w:val="22"/>
          <w:szCs w:val="22"/>
        </w:rPr>
        <w:t>widely held</w:t>
      </w:r>
      <w:r w:rsidR="002E18D5" w:rsidRPr="00F552F0">
        <w:rPr>
          <w:color w:val="000000"/>
          <w:sz w:val="22"/>
          <w:szCs w:val="22"/>
        </w:rPr>
        <w:t xml:space="preserve">. </w:t>
      </w:r>
      <w:r w:rsidRPr="00F552F0">
        <w:rPr>
          <w:color w:val="000000"/>
          <w:sz w:val="22"/>
          <w:szCs w:val="22"/>
        </w:rPr>
        <w:t xml:space="preserve">The figure shows </w:t>
      </w:r>
      <w:r w:rsidR="002E18D5" w:rsidRPr="00F552F0">
        <w:rPr>
          <w:color w:val="000000"/>
          <w:sz w:val="22"/>
          <w:szCs w:val="22"/>
        </w:rPr>
        <w:t xml:space="preserve">clear general </w:t>
      </w:r>
      <w:r w:rsidR="00BB6F89" w:rsidRPr="00F552F0">
        <w:rPr>
          <w:color w:val="000000"/>
          <w:sz w:val="22"/>
          <w:szCs w:val="22"/>
        </w:rPr>
        <w:t>tendencies</w:t>
      </w:r>
      <w:r w:rsidR="002E18D5" w:rsidRPr="00F552F0">
        <w:rPr>
          <w:color w:val="000000"/>
          <w:sz w:val="22"/>
          <w:szCs w:val="22"/>
        </w:rPr>
        <w:t xml:space="preserve"> in the data</w:t>
      </w:r>
      <w:r w:rsidRPr="00F552F0">
        <w:rPr>
          <w:color w:val="000000"/>
          <w:sz w:val="22"/>
          <w:szCs w:val="22"/>
        </w:rPr>
        <w:t>, indicated by solid lines</w:t>
      </w:r>
      <w:r w:rsidR="002E18D5" w:rsidRPr="00F552F0">
        <w:rPr>
          <w:color w:val="000000"/>
          <w:sz w:val="22"/>
          <w:szCs w:val="22"/>
        </w:rPr>
        <w:t xml:space="preserve">; but </w:t>
      </w:r>
      <w:r w:rsidRPr="00F552F0">
        <w:rPr>
          <w:color w:val="000000"/>
          <w:sz w:val="22"/>
          <w:szCs w:val="22"/>
        </w:rPr>
        <w:t>surrounded by substanti</w:t>
      </w:r>
      <w:r w:rsidR="001F449F" w:rsidRPr="00F552F0">
        <w:rPr>
          <w:color w:val="000000"/>
          <w:sz w:val="22"/>
          <w:szCs w:val="22"/>
        </w:rPr>
        <w:t xml:space="preserve">al scatter. </w:t>
      </w:r>
      <w:r w:rsidRPr="00F552F0">
        <w:rPr>
          <w:color w:val="000000"/>
          <w:sz w:val="22"/>
          <w:szCs w:val="22"/>
        </w:rPr>
        <w:t>This suggests other variables at work in the backgrou</w:t>
      </w:r>
      <w:r w:rsidR="007C3E8D" w:rsidRPr="00F552F0">
        <w:rPr>
          <w:color w:val="000000"/>
          <w:sz w:val="22"/>
          <w:szCs w:val="22"/>
        </w:rPr>
        <w:t xml:space="preserve">nd. </w:t>
      </w:r>
      <w:r w:rsidRPr="00F552F0">
        <w:rPr>
          <w:color w:val="000000"/>
          <w:sz w:val="22"/>
          <w:szCs w:val="22"/>
        </w:rPr>
        <w:t>We therefore turn to more formal multivariate tests to cla</w:t>
      </w:r>
      <w:r w:rsidR="007C3E8D" w:rsidRPr="00F552F0">
        <w:rPr>
          <w:color w:val="000000"/>
          <w:sz w:val="22"/>
          <w:szCs w:val="22"/>
        </w:rPr>
        <w:t xml:space="preserve">rify the patterns in the data. </w:t>
      </w:r>
    </w:p>
    <w:p w:rsidR="00246E84" w:rsidRPr="00F552F0" w:rsidRDefault="00246E84" w:rsidP="00246E84">
      <w:pPr>
        <w:autoSpaceDE w:val="0"/>
        <w:autoSpaceDN w:val="0"/>
        <w:adjustRightInd w:val="0"/>
        <w:spacing w:line="440" w:lineRule="exact"/>
        <w:jc w:val="both"/>
        <w:rPr>
          <w:color w:val="000000"/>
          <w:sz w:val="22"/>
          <w:szCs w:val="22"/>
        </w:rPr>
      </w:pPr>
    </w:p>
    <w:p w:rsidR="00246E84" w:rsidRPr="00F552F0" w:rsidRDefault="00246E84" w:rsidP="00246E84">
      <w:pPr>
        <w:autoSpaceDE w:val="0"/>
        <w:autoSpaceDN w:val="0"/>
        <w:adjustRightInd w:val="0"/>
        <w:spacing w:line="440" w:lineRule="exact"/>
        <w:jc w:val="both"/>
        <w:rPr>
          <w:color w:val="000000"/>
          <w:sz w:val="22"/>
          <w:szCs w:val="22"/>
        </w:rPr>
      </w:pPr>
      <w:r w:rsidRPr="00F552F0">
        <w:rPr>
          <w:color w:val="000000"/>
          <w:sz w:val="22"/>
          <w:szCs w:val="22"/>
        </w:rPr>
        <w:t>[Figure 1 about here]</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3D5871" w:rsidP="0091605A">
      <w:pPr>
        <w:keepNext/>
        <w:autoSpaceDE w:val="0"/>
        <w:autoSpaceDN w:val="0"/>
        <w:adjustRightInd w:val="0"/>
        <w:spacing w:line="440" w:lineRule="exact"/>
        <w:jc w:val="both"/>
        <w:rPr>
          <w:i/>
          <w:color w:val="000000"/>
        </w:rPr>
      </w:pPr>
      <w:r w:rsidRPr="00F552F0">
        <w:rPr>
          <w:i/>
          <w:color w:val="000000"/>
        </w:rPr>
        <w:t>3.2.1.</w:t>
      </w:r>
      <w:r w:rsidRPr="00F552F0">
        <w:rPr>
          <w:i/>
          <w:color w:val="000000"/>
        </w:rPr>
        <w:tab/>
        <w:t>Financial system efficiency</w:t>
      </w:r>
    </w:p>
    <w:p w:rsidR="00E21501" w:rsidRPr="00F552F0" w:rsidRDefault="002E18D5">
      <w:pPr>
        <w:autoSpaceDE w:val="0"/>
        <w:autoSpaceDN w:val="0"/>
        <w:adjustRightInd w:val="0"/>
        <w:spacing w:line="440" w:lineRule="exact"/>
        <w:ind w:firstLine="720"/>
        <w:jc w:val="both"/>
        <w:rPr>
          <w:color w:val="000000"/>
          <w:sz w:val="22"/>
          <w:szCs w:val="22"/>
        </w:rPr>
      </w:pPr>
      <w:r w:rsidRPr="00F552F0">
        <w:rPr>
          <w:color w:val="000000"/>
          <w:sz w:val="22"/>
          <w:szCs w:val="22"/>
        </w:rPr>
        <w:t xml:space="preserve">Table 5 explores our first question: </w:t>
      </w:r>
      <w:r w:rsidR="009233C5" w:rsidRPr="00F552F0">
        <w:rPr>
          <w:color w:val="000000"/>
          <w:sz w:val="22"/>
          <w:szCs w:val="22"/>
        </w:rPr>
        <w:t>how</w:t>
      </w:r>
      <w:r w:rsidR="004C3644" w:rsidRPr="00F552F0">
        <w:rPr>
          <w:color w:val="000000"/>
          <w:sz w:val="22"/>
          <w:szCs w:val="22"/>
        </w:rPr>
        <w:t xml:space="preserve"> bank control </w:t>
      </w:r>
      <w:r w:rsidR="009233C5" w:rsidRPr="00F552F0">
        <w:rPr>
          <w:color w:val="000000"/>
          <w:sz w:val="22"/>
          <w:szCs w:val="22"/>
        </w:rPr>
        <w:t>might correlate</w:t>
      </w:r>
      <w:r w:rsidR="004C3644" w:rsidRPr="00F552F0">
        <w:rPr>
          <w:color w:val="000000"/>
          <w:sz w:val="22"/>
          <w:szCs w:val="22"/>
        </w:rPr>
        <w:t xml:space="preserve"> with capital allocation efficiency.</w:t>
      </w:r>
      <w:r w:rsidRPr="00F552F0">
        <w:rPr>
          <w:color w:val="000000"/>
          <w:sz w:val="22"/>
          <w:szCs w:val="22"/>
        </w:rPr>
        <w:t xml:space="preserve"> </w:t>
      </w:r>
      <w:r w:rsidR="008D7150" w:rsidRPr="00F552F0">
        <w:rPr>
          <w:color w:val="000000"/>
          <w:sz w:val="22"/>
          <w:szCs w:val="22"/>
        </w:rPr>
        <w:t>The first four row</w:t>
      </w:r>
      <w:r w:rsidR="008B6DAB" w:rsidRPr="00F552F0">
        <w:rPr>
          <w:color w:val="000000"/>
          <w:sz w:val="22"/>
          <w:szCs w:val="22"/>
        </w:rPr>
        <w:t>s show</w:t>
      </w:r>
      <w:r w:rsidR="004C3644" w:rsidRPr="00F552F0">
        <w:rPr>
          <w:color w:val="000000"/>
          <w:sz w:val="22"/>
          <w:szCs w:val="22"/>
        </w:rPr>
        <w:t xml:space="preserve"> </w:t>
      </w:r>
      <w:r w:rsidR="004C3644" w:rsidRPr="00F552F0">
        <w:rPr>
          <w:i/>
          <w:color w:val="000000"/>
          <w:sz w:val="22"/>
          <w:szCs w:val="22"/>
        </w:rPr>
        <w:t>capital allocation efficiency</w:t>
      </w:r>
      <w:r w:rsidR="004C3644" w:rsidRPr="00F552F0">
        <w:rPr>
          <w:color w:val="000000"/>
          <w:sz w:val="22"/>
          <w:szCs w:val="22"/>
        </w:rPr>
        <w:t xml:space="preserve">, measured as in </w:t>
      </w:r>
      <w:proofErr w:type="spellStart"/>
      <w:r w:rsidR="004C3644" w:rsidRPr="00F552F0">
        <w:rPr>
          <w:color w:val="000000"/>
          <w:sz w:val="22"/>
          <w:szCs w:val="22"/>
        </w:rPr>
        <w:t>Wurgler</w:t>
      </w:r>
      <w:proofErr w:type="spellEnd"/>
      <w:r w:rsidR="004C3644" w:rsidRPr="00F552F0">
        <w:rPr>
          <w:color w:val="000000"/>
          <w:sz w:val="22"/>
          <w:szCs w:val="22"/>
        </w:rPr>
        <w:t xml:space="preserve"> (2000) and </w:t>
      </w:r>
      <w:r w:rsidRPr="00F552F0">
        <w:rPr>
          <w:color w:val="000000"/>
          <w:sz w:val="22"/>
          <w:szCs w:val="22"/>
        </w:rPr>
        <w:t>across</w:t>
      </w:r>
      <w:r w:rsidR="004C3644" w:rsidRPr="00F552F0">
        <w:rPr>
          <w:color w:val="000000"/>
          <w:sz w:val="22"/>
          <w:szCs w:val="22"/>
        </w:rPr>
        <w:t xml:space="preserve"> either </w:t>
      </w:r>
      <w:r w:rsidRPr="00F552F0">
        <w:rPr>
          <w:color w:val="000000"/>
          <w:sz w:val="22"/>
          <w:szCs w:val="22"/>
        </w:rPr>
        <w:t>1993</w:t>
      </w:r>
      <w:r w:rsidR="001578B3" w:rsidRPr="00F552F0">
        <w:rPr>
          <w:color w:val="000000"/>
          <w:sz w:val="22"/>
          <w:szCs w:val="22"/>
        </w:rPr>
        <w:t>–</w:t>
      </w:r>
      <w:r w:rsidRPr="00F552F0">
        <w:rPr>
          <w:color w:val="000000"/>
          <w:sz w:val="22"/>
          <w:szCs w:val="22"/>
        </w:rPr>
        <w:t>2003</w:t>
      </w:r>
      <w:r w:rsidR="004C3644" w:rsidRPr="00F552F0">
        <w:rPr>
          <w:color w:val="000000"/>
          <w:sz w:val="22"/>
          <w:szCs w:val="22"/>
        </w:rPr>
        <w:t xml:space="preserve"> or </w:t>
      </w:r>
      <w:r w:rsidRPr="00F552F0">
        <w:rPr>
          <w:color w:val="000000"/>
          <w:sz w:val="22"/>
          <w:szCs w:val="22"/>
        </w:rPr>
        <w:t>1963</w:t>
      </w:r>
      <w:r w:rsidR="001578B3" w:rsidRPr="00F552F0">
        <w:rPr>
          <w:color w:val="000000"/>
          <w:sz w:val="22"/>
          <w:szCs w:val="22"/>
        </w:rPr>
        <w:t>–</w:t>
      </w:r>
      <w:r w:rsidRPr="00F552F0">
        <w:rPr>
          <w:color w:val="000000"/>
          <w:sz w:val="22"/>
          <w:szCs w:val="22"/>
        </w:rPr>
        <w:t>2003,</w:t>
      </w:r>
      <w:r w:rsidR="004C3644" w:rsidRPr="00F552F0">
        <w:rPr>
          <w:color w:val="000000"/>
          <w:sz w:val="22"/>
          <w:szCs w:val="22"/>
        </w:rPr>
        <w:t xml:space="preserve"> clearly correlated with </w:t>
      </w:r>
      <w:r w:rsidR="009233C5" w:rsidRPr="00F552F0">
        <w:rPr>
          <w:color w:val="000000"/>
          <w:sz w:val="22"/>
          <w:szCs w:val="22"/>
        </w:rPr>
        <w:t xml:space="preserve">who </w:t>
      </w:r>
      <w:r w:rsidR="004C3644" w:rsidRPr="00F552F0">
        <w:rPr>
          <w:color w:val="000000"/>
          <w:sz w:val="22"/>
          <w:szCs w:val="22"/>
        </w:rPr>
        <w:t>control</w:t>
      </w:r>
      <w:r w:rsidR="009233C5" w:rsidRPr="00F552F0">
        <w:rPr>
          <w:color w:val="000000"/>
          <w:sz w:val="22"/>
          <w:szCs w:val="22"/>
        </w:rPr>
        <w:t>s</w:t>
      </w:r>
      <w:r w:rsidR="004C3644" w:rsidRPr="00F552F0">
        <w:rPr>
          <w:color w:val="000000"/>
          <w:sz w:val="22"/>
          <w:szCs w:val="22"/>
        </w:rPr>
        <w:t xml:space="preserve"> </w:t>
      </w:r>
      <w:r w:rsidR="009233C5" w:rsidRPr="00F552F0">
        <w:rPr>
          <w:color w:val="000000"/>
          <w:sz w:val="22"/>
          <w:szCs w:val="22"/>
        </w:rPr>
        <w:t>the</w:t>
      </w:r>
      <w:r w:rsidR="004C3644" w:rsidRPr="00F552F0">
        <w:rPr>
          <w:color w:val="000000"/>
          <w:sz w:val="22"/>
          <w:szCs w:val="22"/>
        </w:rPr>
        <w:t xml:space="preserve"> bank</w:t>
      </w:r>
      <w:r w:rsidR="00BB6F89" w:rsidRPr="00F552F0">
        <w:rPr>
          <w:color w:val="000000"/>
          <w:sz w:val="22"/>
          <w:szCs w:val="22"/>
        </w:rPr>
        <w:t xml:space="preserve">ing </w:t>
      </w:r>
      <w:r w:rsidR="004C3644" w:rsidRPr="00F552F0">
        <w:rPr>
          <w:color w:val="000000"/>
          <w:sz w:val="22"/>
          <w:szCs w:val="22"/>
        </w:rPr>
        <w:t>s</w:t>
      </w:r>
      <w:r w:rsidR="009233C5" w:rsidRPr="00F552F0">
        <w:rPr>
          <w:color w:val="000000"/>
          <w:sz w:val="22"/>
          <w:szCs w:val="22"/>
        </w:rPr>
        <w:t>ystem</w:t>
      </w:r>
      <w:r w:rsidR="004C3644" w:rsidRPr="00F552F0">
        <w:rPr>
          <w:color w:val="000000"/>
          <w:sz w:val="22"/>
          <w:szCs w:val="22"/>
        </w:rPr>
        <w:t xml:space="preserve">. Countries </w:t>
      </w:r>
      <w:r w:rsidRPr="00F552F0">
        <w:rPr>
          <w:color w:val="000000"/>
          <w:sz w:val="22"/>
          <w:szCs w:val="22"/>
        </w:rPr>
        <w:t xml:space="preserve">with more </w:t>
      </w:r>
      <w:r w:rsidR="00392DB6" w:rsidRPr="00F552F0">
        <w:rPr>
          <w:color w:val="000000"/>
          <w:sz w:val="22"/>
          <w:szCs w:val="22"/>
        </w:rPr>
        <w:t>widely held</w:t>
      </w:r>
      <w:r w:rsidR="004C3644" w:rsidRPr="00F552F0">
        <w:rPr>
          <w:color w:val="000000"/>
          <w:sz w:val="22"/>
          <w:szCs w:val="22"/>
        </w:rPr>
        <w:t xml:space="preserve"> banking system</w:t>
      </w:r>
      <w:r w:rsidRPr="00F552F0">
        <w:rPr>
          <w:color w:val="000000"/>
          <w:sz w:val="22"/>
          <w:szCs w:val="22"/>
        </w:rPr>
        <w:t>s allocate capital more efficiently</w:t>
      </w:r>
      <w:r w:rsidR="004C3644" w:rsidRPr="00F552F0">
        <w:rPr>
          <w:color w:val="000000"/>
          <w:sz w:val="22"/>
          <w:szCs w:val="22"/>
        </w:rPr>
        <w:t>. Countries that entrust their banking systems to either families or</w:t>
      </w:r>
      <w:r w:rsidRPr="00F552F0">
        <w:rPr>
          <w:color w:val="000000"/>
          <w:sz w:val="22"/>
          <w:szCs w:val="22"/>
        </w:rPr>
        <w:t xml:space="preserve"> the state</w:t>
      </w:r>
      <w:r w:rsidR="004C3644" w:rsidRPr="00F552F0">
        <w:rPr>
          <w:color w:val="000000"/>
          <w:sz w:val="22"/>
          <w:szCs w:val="22"/>
        </w:rPr>
        <w:t xml:space="preserve"> exhibit less efficient capital allocation.</w:t>
      </w:r>
      <w:r w:rsidR="007C3E8D" w:rsidRPr="00F552F0">
        <w:rPr>
          <w:color w:val="000000"/>
          <w:sz w:val="22"/>
          <w:szCs w:val="22"/>
        </w:rPr>
        <w:t xml:space="preserve"> </w:t>
      </w:r>
    </w:p>
    <w:p w:rsidR="00D073CB" w:rsidRPr="00F552F0" w:rsidRDefault="00D073CB">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[Tables 5 about here]</w:t>
      </w:r>
    </w:p>
    <w:p w:rsidR="004C3644" w:rsidRPr="00F552F0" w:rsidRDefault="004C3644">
      <w:pPr>
        <w:autoSpaceDE w:val="0"/>
        <w:autoSpaceDN w:val="0"/>
        <w:adjustRightInd w:val="0"/>
        <w:spacing w:line="440" w:lineRule="exact"/>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The scatter </w:t>
      </w:r>
      <w:r w:rsidR="008B6DAB" w:rsidRPr="00F552F0">
        <w:rPr>
          <w:color w:val="000000"/>
          <w:sz w:val="22"/>
          <w:szCs w:val="22"/>
        </w:rPr>
        <w:t xml:space="preserve">evident </w:t>
      </w:r>
      <w:r w:rsidRPr="00F552F0">
        <w:rPr>
          <w:color w:val="000000"/>
          <w:sz w:val="22"/>
          <w:szCs w:val="22"/>
        </w:rPr>
        <w:t>in Fig</w:t>
      </w:r>
      <w:r w:rsidR="001578B3" w:rsidRPr="00F552F0">
        <w:rPr>
          <w:color w:val="000000"/>
          <w:sz w:val="22"/>
          <w:szCs w:val="22"/>
        </w:rPr>
        <w:t>.</w:t>
      </w:r>
      <w:r w:rsidRPr="00F552F0">
        <w:rPr>
          <w:color w:val="000000"/>
          <w:sz w:val="22"/>
          <w:szCs w:val="22"/>
        </w:rPr>
        <w:t xml:space="preserve"> 1 is considerably reduc</w:t>
      </w:r>
      <w:r w:rsidR="008B6DAB" w:rsidRPr="00F552F0">
        <w:rPr>
          <w:color w:val="000000"/>
          <w:sz w:val="22"/>
          <w:szCs w:val="22"/>
        </w:rPr>
        <w:t>ed by the control variables, for t</w:t>
      </w:r>
      <w:r w:rsidRPr="00F552F0">
        <w:rPr>
          <w:color w:val="000000"/>
          <w:sz w:val="22"/>
          <w:szCs w:val="22"/>
        </w:rPr>
        <w:t xml:space="preserve">he regression </w:t>
      </w:r>
      <w:r w:rsidRPr="00F552F0">
        <w:rPr>
          <w:i/>
          <w:color w:val="000000"/>
          <w:sz w:val="22"/>
          <w:szCs w:val="22"/>
        </w:rPr>
        <w:t>R</w:t>
      </w:r>
      <w:r w:rsidR="003D5871" w:rsidRPr="00F552F0">
        <w:rPr>
          <w:color w:val="000000"/>
          <w:sz w:val="22"/>
          <w:szCs w:val="22"/>
          <w:vertAlign w:val="superscript"/>
        </w:rPr>
        <w:t>2</w:t>
      </w:r>
      <w:r w:rsidRPr="00F552F0">
        <w:rPr>
          <w:color w:val="000000"/>
          <w:sz w:val="22"/>
          <w:szCs w:val="22"/>
        </w:rPr>
        <w:t xml:space="preserve"> statistics range from 33% to 61%</w:t>
      </w:r>
      <w:r w:rsidR="0076000B" w:rsidRPr="00F552F0">
        <w:rPr>
          <w:color w:val="000000"/>
          <w:sz w:val="22"/>
          <w:szCs w:val="22"/>
        </w:rPr>
        <w:t>—</w:t>
      </w:r>
      <w:r w:rsidRPr="00F552F0">
        <w:rPr>
          <w:color w:val="000000"/>
          <w:sz w:val="22"/>
          <w:szCs w:val="22"/>
        </w:rPr>
        <w:t>indicating that the variables in the regression now explain substantial fraction</w:t>
      </w:r>
      <w:r w:rsidR="008B6DAB" w:rsidRPr="00F552F0">
        <w:rPr>
          <w:color w:val="000000"/>
          <w:sz w:val="22"/>
          <w:szCs w:val="22"/>
        </w:rPr>
        <w:t>s</w:t>
      </w:r>
      <w:r w:rsidRPr="00F552F0">
        <w:rPr>
          <w:color w:val="000000"/>
          <w:sz w:val="22"/>
          <w:szCs w:val="22"/>
        </w:rPr>
        <w:t>, by the standards of cross-section</w:t>
      </w:r>
      <w:r w:rsidR="00496C0B" w:rsidRPr="00F552F0">
        <w:rPr>
          <w:color w:val="000000"/>
          <w:sz w:val="22"/>
          <w:szCs w:val="22"/>
        </w:rPr>
        <w:t>al</w:t>
      </w:r>
      <w:r w:rsidRPr="00F552F0">
        <w:rPr>
          <w:color w:val="000000"/>
          <w:sz w:val="22"/>
          <w:szCs w:val="22"/>
        </w:rPr>
        <w:t xml:space="preserve"> regression analysis, of the variation in capital allocation efficiency across countries.</w:t>
      </w:r>
      <w:r w:rsidR="008B6DAB" w:rsidRPr="00F552F0">
        <w:rPr>
          <w:color w:val="000000"/>
          <w:sz w:val="22"/>
          <w:szCs w:val="22"/>
        </w:rPr>
        <w:t xml:space="preserve"> </w:t>
      </w:r>
    </w:p>
    <w:p w:rsidR="009B09D6" w:rsidRPr="00F552F0" w:rsidRDefault="00CA250C">
      <w:pPr>
        <w:autoSpaceDE w:val="0"/>
        <w:autoSpaceDN w:val="0"/>
        <w:adjustRightInd w:val="0"/>
        <w:spacing w:line="440" w:lineRule="exact"/>
        <w:ind w:firstLine="720"/>
        <w:jc w:val="both"/>
        <w:rPr>
          <w:color w:val="000000"/>
          <w:sz w:val="22"/>
          <w:szCs w:val="22"/>
        </w:rPr>
      </w:pPr>
      <w:r w:rsidRPr="00F552F0">
        <w:rPr>
          <w:color w:val="000000"/>
          <w:sz w:val="22"/>
          <w:szCs w:val="22"/>
        </w:rPr>
        <w:t>Next</w:t>
      </w:r>
      <w:r w:rsidR="0076000B" w:rsidRPr="00F552F0">
        <w:rPr>
          <w:color w:val="000000"/>
          <w:sz w:val="22"/>
          <w:szCs w:val="22"/>
        </w:rPr>
        <w:t>,</w:t>
      </w:r>
      <w:r w:rsidRPr="00F552F0">
        <w:rPr>
          <w:color w:val="000000"/>
          <w:sz w:val="22"/>
          <w:szCs w:val="22"/>
        </w:rPr>
        <w:t xml:space="preserve"> we </w:t>
      </w:r>
      <w:r w:rsidR="00393762" w:rsidRPr="00F552F0">
        <w:rPr>
          <w:color w:val="000000"/>
          <w:sz w:val="22"/>
          <w:szCs w:val="22"/>
        </w:rPr>
        <w:t>explore the</w:t>
      </w:r>
      <w:r w:rsidRPr="00F552F0">
        <w:rPr>
          <w:color w:val="000000"/>
          <w:sz w:val="22"/>
          <w:szCs w:val="22"/>
        </w:rPr>
        <w:t xml:space="preserve"> correlation </w:t>
      </w:r>
      <w:r w:rsidR="009B09D6" w:rsidRPr="00F552F0">
        <w:rPr>
          <w:color w:val="000000"/>
          <w:sz w:val="22"/>
          <w:szCs w:val="22"/>
        </w:rPr>
        <w:t>of</w:t>
      </w:r>
      <w:r w:rsidRPr="00F552F0">
        <w:rPr>
          <w:color w:val="000000"/>
          <w:sz w:val="22"/>
          <w:szCs w:val="22"/>
        </w:rPr>
        <w:t xml:space="preserve"> bank control</w:t>
      </w:r>
      <w:r w:rsidR="006129FD" w:rsidRPr="00F552F0">
        <w:rPr>
          <w:color w:val="000000"/>
          <w:sz w:val="22"/>
          <w:szCs w:val="22"/>
        </w:rPr>
        <w:t xml:space="preserve"> structure</w:t>
      </w:r>
      <w:r w:rsidRPr="00F552F0">
        <w:rPr>
          <w:color w:val="000000"/>
          <w:sz w:val="22"/>
          <w:szCs w:val="22"/>
        </w:rPr>
        <w:t xml:space="preserve"> </w:t>
      </w:r>
      <w:r w:rsidR="009B09D6" w:rsidRPr="00F552F0">
        <w:rPr>
          <w:color w:val="000000"/>
          <w:sz w:val="22"/>
          <w:szCs w:val="22"/>
        </w:rPr>
        <w:t>with</w:t>
      </w:r>
      <w:r w:rsidRPr="00F552F0">
        <w:rPr>
          <w:color w:val="000000"/>
          <w:sz w:val="22"/>
          <w:szCs w:val="22"/>
        </w:rPr>
        <w:t xml:space="preserve"> capital allocation efficiency using </w:t>
      </w:r>
      <w:r w:rsidR="009B09D6" w:rsidRPr="00F552F0">
        <w:rPr>
          <w:color w:val="000000"/>
          <w:sz w:val="22"/>
          <w:szCs w:val="22"/>
        </w:rPr>
        <w:t xml:space="preserve">the methodology of </w:t>
      </w:r>
      <w:proofErr w:type="spellStart"/>
      <w:r w:rsidRPr="00F552F0">
        <w:rPr>
          <w:color w:val="000000"/>
          <w:sz w:val="22"/>
          <w:szCs w:val="22"/>
        </w:rPr>
        <w:t>Rajan</w:t>
      </w:r>
      <w:proofErr w:type="spellEnd"/>
      <w:r w:rsidRPr="00F552F0">
        <w:rPr>
          <w:color w:val="000000"/>
          <w:sz w:val="22"/>
          <w:szCs w:val="22"/>
        </w:rPr>
        <w:t xml:space="preserve"> and </w:t>
      </w:r>
      <w:proofErr w:type="spellStart"/>
      <w:r w:rsidRPr="00F552F0">
        <w:rPr>
          <w:color w:val="000000"/>
          <w:sz w:val="22"/>
          <w:szCs w:val="22"/>
        </w:rPr>
        <w:t>Zingales</w:t>
      </w:r>
      <w:proofErr w:type="spellEnd"/>
      <w:r w:rsidRPr="00F552F0">
        <w:rPr>
          <w:color w:val="000000"/>
          <w:sz w:val="22"/>
          <w:szCs w:val="22"/>
        </w:rPr>
        <w:t xml:space="preserve"> (1998)</w:t>
      </w:r>
      <w:r w:rsidR="009B09D6" w:rsidRPr="00F552F0">
        <w:rPr>
          <w:color w:val="000000"/>
          <w:sz w:val="22"/>
          <w:szCs w:val="22"/>
        </w:rPr>
        <w:t>. Panel B of</w:t>
      </w:r>
      <w:r w:rsidRPr="00F552F0">
        <w:rPr>
          <w:color w:val="000000"/>
          <w:sz w:val="22"/>
          <w:szCs w:val="22"/>
        </w:rPr>
        <w:t xml:space="preserve"> Table 5 </w:t>
      </w:r>
      <w:r w:rsidR="009B09D6" w:rsidRPr="00F552F0">
        <w:rPr>
          <w:color w:val="000000"/>
          <w:sz w:val="22"/>
          <w:szCs w:val="22"/>
        </w:rPr>
        <w:t xml:space="preserve">shows that industries typically dependent on external financing have statistically significantly </w:t>
      </w:r>
      <w:r w:rsidR="0019252E" w:rsidRPr="00F552F0">
        <w:rPr>
          <w:color w:val="000000"/>
          <w:sz w:val="22"/>
          <w:szCs w:val="22"/>
        </w:rPr>
        <w:t>slower</w:t>
      </w:r>
      <w:r w:rsidRPr="00F552F0">
        <w:rPr>
          <w:color w:val="000000"/>
          <w:sz w:val="22"/>
          <w:szCs w:val="22"/>
        </w:rPr>
        <w:t xml:space="preserve"> value</w:t>
      </w:r>
      <w:r w:rsidR="009B09D6" w:rsidRPr="00F552F0">
        <w:rPr>
          <w:color w:val="000000"/>
          <w:sz w:val="22"/>
          <w:szCs w:val="22"/>
        </w:rPr>
        <w:t>-</w:t>
      </w:r>
      <w:r w:rsidRPr="00F552F0">
        <w:rPr>
          <w:color w:val="000000"/>
          <w:sz w:val="22"/>
          <w:szCs w:val="22"/>
        </w:rPr>
        <w:t xml:space="preserve">added </w:t>
      </w:r>
      <w:r w:rsidR="003221F5" w:rsidRPr="00F552F0">
        <w:rPr>
          <w:color w:val="000000"/>
          <w:sz w:val="22"/>
          <w:szCs w:val="22"/>
        </w:rPr>
        <w:t xml:space="preserve">growth </w:t>
      </w:r>
      <w:r w:rsidR="009B09D6" w:rsidRPr="00F552F0">
        <w:rPr>
          <w:color w:val="000000"/>
          <w:sz w:val="22"/>
          <w:szCs w:val="22"/>
        </w:rPr>
        <w:t xml:space="preserve">rates </w:t>
      </w:r>
      <w:r w:rsidRPr="00F552F0">
        <w:rPr>
          <w:color w:val="000000"/>
          <w:sz w:val="22"/>
          <w:szCs w:val="22"/>
        </w:rPr>
        <w:t xml:space="preserve">in countries </w:t>
      </w:r>
      <w:r w:rsidR="009B09D6" w:rsidRPr="00F552F0">
        <w:rPr>
          <w:color w:val="000000"/>
          <w:sz w:val="22"/>
          <w:szCs w:val="22"/>
        </w:rPr>
        <w:t>whose</w:t>
      </w:r>
      <w:r w:rsidR="0003776B" w:rsidRPr="00F552F0">
        <w:rPr>
          <w:color w:val="000000"/>
          <w:sz w:val="22"/>
          <w:szCs w:val="22"/>
        </w:rPr>
        <w:t xml:space="preserve"> banking system</w:t>
      </w:r>
      <w:r w:rsidR="009B09D6" w:rsidRPr="00F552F0">
        <w:rPr>
          <w:color w:val="000000"/>
          <w:sz w:val="22"/>
          <w:szCs w:val="22"/>
        </w:rPr>
        <w:t xml:space="preserve">s are more thoroughly controlled by tycoons and wealthy families.  </w:t>
      </w:r>
      <w:r w:rsidR="009B09D6" w:rsidRPr="00F552F0">
        <w:rPr>
          <w:color w:val="000000"/>
          <w:sz w:val="22"/>
          <w:szCs w:val="22"/>
        </w:rPr>
        <w:lastRenderedPageBreak/>
        <w:t xml:space="preserve">Moreover, such industries exhibit significantly </w:t>
      </w:r>
      <w:r w:rsidR="003221F5" w:rsidRPr="00F552F0">
        <w:rPr>
          <w:color w:val="000000"/>
          <w:sz w:val="22"/>
          <w:szCs w:val="22"/>
        </w:rPr>
        <w:t xml:space="preserve">faster </w:t>
      </w:r>
      <w:r w:rsidR="009B09D6" w:rsidRPr="00F552F0">
        <w:rPr>
          <w:color w:val="000000"/>
          <w:sz w:val="22"/>
          <w:szCs w:val="22"/>
        </w:rPr>
        <w:t xml:space="preserve">growth </w:t>
      </w:r>
      <w:r w:rsidRPr="00F552F0">
        <w:rPr>
          <w:color w:val="000000"/>
          <w:sz w:val="22"/>
          <w:szCs w:val="22"/>
        </w:rPr>
        <w:t>in countries w</w:t>
      </w:r>
      <w:r w:rsidR="009B09D6" w:rsidRPr="00F552F0">
        <w:rPr>
          <w:color w:val="000000"/>
          <w:sz w:val="22"/>
          <w:szCs w:val="22"/>
        </w:rPr>
        <w:t xml:space="preserve">hose banking systems are more predominantly </w:t>
      </w:r>
      <w:r w:rsidR="0003776B" w:rsidRPr="00F552F0">
        <w:rPr>
          <w:color w:val="000000"/>
          <w:sz w:val="22"/>
          <w:szCs w:val="22"/>
        </w:rPr>
        <w:t>widely held</w:t>
      </w:r>
      <w:r w:rsidRPr="00F552F0">
        <w:rPr>
          <w:color w:val="000000"/>
          <w:sz w:val="22"/>
          <w:szCs w:val="22"/>
        </w:rPr>
        <w:t>.</w:t>
      </w:r>
      <w:r w:rsidR="009B09D6" w:rsidRPr="00F552F0">
        <w:rPr>
          <w:color w:val="000000"/>
          <w:sz w:val="22"/>
          <w:szCs w:val="22"/>
        </w:rPr>
        <w:t xml:space="preserve"> </w:t>
      </w:r>
    </w:p>
    <w:p w:rsidR="004C3644"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 5</w:t>
      </w:r>
      <w:r w:rsidR="00CA250C" w:rsidRPr="00F552F0">
        <w:rPr>
          <w:color w:val="000000"/>
          <w:sz w:val="22"/>
          <w:szCs w:val="22"/>
        </w:rPr>
        <w:t xml:space="preserve"> also reports </w:t>
      </w:r>
      <w:r w:rsidR="009B09D6" w:rsidRPr="00F552F0">
        <w:rPr>
          <w:color w:val="000000"/>
          <w:sz w:val="22"/>
          <w:szCs w:val="22"/>
        </w:rPr>
        <w:t>regressions of</w:t>
      </w:r>
      <w:r w:rsidRPr="00F552F0">
        <w:rPr>
          <w:color w:val="000000"/>
          <w:sz w:val="22"/>
          <w:szCs w:val="22"/>
        </w:rPr>
        <w:t xml:space="preserve"> nonperforming loans on the bank control</w:t>
      </w:r>
      <w:r w:rsidR="006129FD" w:rsidRPr="00F552F0">
        <w:rPr>
          <w:color w:val="000000"/>
          <w:sz w:val="22"/>
          <w:szCs w:val="22"/>
        </w:rPr>
        <w:t xml:space="preserve"> structure</w:t>
      </w:r>
      <w:r w:rsidR="009233C5" w:rsidRPr="00F552F0">
        <w:rPr>
          <w:color w:val="000000"/>
          <w:sz w:val="22"/>
          <w:szCs w:val="22"/>
        </w:rPr>
        <w:t xml:space="preserve"> </w:t>
      </w:r>
      <w:r w:rsidR="008D78B2" w:rsidRPr="00F552F0">
        <w:rPr>
          <w:color w:val="000000"/>
          <w:sz w:val="22"/>
          <w:szCs w:val="22"/>
        </w:rPr>
        <w:t>indexes</w:t>
      </w:r>
      <w:r w:rsidR="007C3E8D" w:rsidRPr="00F552F0">
        <w:rPr>
          <w:color w:val="000000"/>
          <w:sz w:val="22"/>
          <w:szCs w:val="22"/>
        </w:rPr>
        <w:t>.</w:t>
      </w:r>
      <w:r w:rsidRPr="00F552F0">
        <w:rPr>
          <w:color w:val="000000"/>
          <w:sz w:val="22"/>
          <w:szCs w:val="22"/>
        </w:rPr>
        <w:t xml:space="preserve"> </w:t>
      </w:r>
      <w:r w:rsidR="00046097" w:rsidRPr="00F552F0">
        <w:rPr>
          <w:color w:val="000000"/>
          <w:sz w:val="22"/>
          <w:szCs w:val="22"/>
        </w:rPr>
        <w:t xml:space="preserve">A </w:t>
      </w:r>
      <w:r w:rsidR="008B6DAB" w:rsidRPr="00F552F0">
        <w:rPr>
          <w:color w:val="000000"/>
          <w:sz w:val="22"/>
          <w:szCs w:val="22"/>
        </w:rPr>
        <w:t xml:space="preserve">more </w:t>
      </w:r>
      <w:r w:rsidR="00392DB6" w:rsidRPr="00F552F0">
        <w:rPr>
          <w:color w:val="000000"/>
          <w:sz w:val="22"/>
          <w:szCs w:val="22"/>
        </w:rPr>
        <w:t>widely held</w:t>
      </w:r>
      <w:r w:rsidRPr="00F552F0">
        <w:rPr>
          <w:color w:val="000000"/>
          <w:sz w:val="22"/>
          <w:szCs w:val="22"/>
        </w:rPr>
        <w:t xml:space="preserve"> banking system </w:t>
      </w:r>
      <w:r w:rsidR="00046097" w:rsidRPr="00F552F0">
        <w:rPr>
          <w:color w:val="000000"/>
          <w:sz w:val="22"/>
          <w:szCs w:val="22"/>
        </w:rPr>
        <w:t>is</w:t>
      </w:r>
      <w:r w:rsidR="008B6DAB" w:rsidRPr="00F552F0">
        <w:rPr>
          <w:color w:val="000000"/>
          <w:sz w:val="22"/>
          <w:szCs w:val="22"/>
        </w:rPr>
        <w:t xml:space="preserve"> significantly</w:t>
      </w:r>
      <w:r w:rsidRPr="00F552F0">
        <w:rPr>
          <w:color w:val="000000"/>
          <w:sz w:val="22"/>
          <w:szCs w:val="22"/>
        </w:rPr>
        <w:t xml:space="preserve"> correlated with </w:t>
      </w:r>
      <w:r w:rsidR="008B6DAB" w:rsidRPr="00F552F0">
        <w:rPr>
          <w:color w:val="000000"/>
          <w:sz w:val="22"/>
          <w:szCs w:val="22"/>
        </w:rPr>
        <w:t xml:space="preserve">fewer </w:t>
      </w:r>
      <w:r w:rsidR="001578B3" w:rsidRPr="00F552F0">
        <w:rPr>
          <w:color w:val="000000"/>
          <w:sz w:val="22"/>
          <w:szCs w:val="22"/>
        </w:rPr>
        <w:t>nonperforming</w:t>
      </w:r>
      <w:r w:rsidRPr="00F552F0">
        <w:rPr>
          <w:color w:val="000000"/>
          <w:sz w:val="22"/>
          <w:szCs w:val="22"/>
        </w:rPr>
        <w:t xml:space="preserve"> loans</w:t>
      </w:r>
      <w:r w:rsidR="008B6DAB" w:rsidRPr="00F552F0">
        <w:rPr>
          <w:color w:val="000000"/>
          <w:sz w:val="22"/>
          <w:szCs w:val="22"/>
        </w:rPr>
        <w:t xml:space="preserve">; </w:t>
      </w:r>
      <w:r w:rsidRPr="00F552F0">
        <w:rPr>
          <w:color w:val="000000"/>
          <w:sz w:val="22"/>
          <w:szCs w:val="22"/>
        </w:rPr>
        <w:t xml:space="preserve">while </w:t>
      </w:r>
      <w:r w:rsidR="008B6DAB" w:rsidRPr="00F552F0">
        <w:rPr>
          <w:color w:val="000000"/>
          <w:sz w:val="22"/>
          <w:szCs w:val="22"/>
        </w:rPr>
        <w:t xml:space="preserve">more </w:t>
      </w:r>
      <w:r w:rsidR="00C26254" w:rsidRPr="00F552F0">
        <w:rPr>
          <w:color w:val="000000"/>
          <w:sz w:val="22"/>
          <w:szCs w:val="22"/>
        </w:rPr>
        <w:t xml:space="preserve">predominantly </w:t>
      </w:r>
      <w:r w:rsidRPr="00F552F0">
        <w:rPr>
          <w:color w:val="000000"/>
          <w:sz w:val="22"/>
          <w:szCs w:val="22"/>
        </w:rPr>
        <w:t>state</w:t>
      </w:r>
      <w:r w:rsidR="0076000B" w:rsidRPr="00F552F0">
        <w:rPr>
          <w:color w:val="000000"/>
          <w:sz w:val="22"/>
          <w:szCs w:val="22"/>
        </w:rPr>
        <w:t>-</w:t>
      </w:r>
      <w:r w:rsidRPr="00F552F0">
        <w:rPr>
          <w:color w:val="000000"/>
          <w:sz w:val="22"/>
          <w:szCs w:val="22"/>
        </w:rPr>
        <w:t xml:space="preserve"> or family</w:t>
      </w:r>
      <w:r w:rsidR="00C26254" w:rsidRPr="00F552F0">
        <w:rPr>
          <w:color w:val="000000"/>
          <w:sz w:val="22"/>
          <w:szCs w:val="22"/>
        </w:rPr>
        <w:t>-controlled</w:t>
      </w:r>
      <w:r w:rsidRPr="00F552F0">
        <w:rPr>
          <w:color w:val="000000"/>
          <w:sz w:val="22"/>
          <w:szCs w:val="22"/>
        </w:rPr>
        <w:t xml:space="preserve"> banking systems </w:t>
      </w:r>
      <w:r w:rsidR="008B6DAB" w:rsidRPr="00F552F0">
        <w:rPr>
          <w:color w:val="000000"/>
          <w:sz w:val="22"/>
          <w:szCs w:val="22"/>
        </w:rPr>
        <w:t>both correlate with more nonperforming loans</w:t>
      </w:r>
      <w:r w:rsidR="007C3E8D" w:rsidRPr="00F552F0">
        <w:rPr>
          <w:color w:val="000000"/>
          <w:sz w:val="22"/>
          <w:szCs w:val="22"/>
        </w:rPr>
        <w:t xml:space="preserve">. </w:t>
      </w:r>
    </w:p>
    <w:p w:rsidR="001930C3" w:rsidRPr="00F552F0" w:rsidRDefault="00C1601A">
      <w:pPr>
        <w:autoSpaceDE w:val="0"/>
        <w:autoSpaceDN w:val="0"/>
        <w:adjustRightInd w:val="0"/>
        <w:spacing w:line="440" w:lineRule="exact"/>
        <w:ind w:firstLine="720"/>
        <w:jc w:val="both"/>
        <w:rPr>
          <w:color w:val="000000"/>
          <w:sz w:val="22"/>
          <w:szCs w:val="22"/>
        </w:rPr>
      </w:pPr>
      <w:r w:rsidRPr="00F552F0">
        <w:rPr>
          <w:color w:val="000000"/>
          <w:sz w:val="22"/>
          <w:szCs w:val="22"/>
        </w:rPr>
        <w:t>Next</w:t>
      </w:r>
      <w:r w:rsidR="0076000B" w:rsidRPr="00F552F0">
        <w:rPr>
          <w:color w:val="000000"/>
          <w:sz w:val="22"/>
          <w:szCs w:val="22"/>
        </w:rPr>
        <w:t>,</w:t>
      </w:r>
      <w:r w:rsidR="004C3644" w:rsidRPr="00F552F0">
        <w:rPr>
          <w:color w:val="000000"/>
          <w:sz w:val="22"/>
          <w:szCs w:val="22"/>
        </w:rPr>
        <w:t xml:space="preserve"> we test the relationship between bank control </w:t>
      </w:r>
      <w:r w:rsidR="006129FD" w:rsidRPr="00F552F0">
        <w:rPr>
          <w:color w:val="000000"/>
          <w:sz w:val="22"/>
          <w:szCs w:val="22"/>
        </w:rPr>
        <w:t xml:space="preserve">structure </w:t>
      </w:r>
      <w:r w:rsidR="004C3644" w:rsidRPr="00F552F0">
        <w:rPr>
          <w:color w:val="000000"/>
          <w:sz w:val="22"/>
          <w:szCs w:val="22"/>
        </w:rPr>
        <w:t>and the number of banking crises the cou</w:t>
      </w:r>
      <w:r w:rsidR="007C3E8D" w:rsidRPr="00F552F0">
        <w:rPr>
          <w:color w:val="000000"/>
          <w:sz w:val="22"/>
          <w:szCs w:val="22"/>
        </w:rPr>
        <w:t xml:space="preserve">ntry experienced after 1993. </w:t>
      </w:r>
      <w:r w:rsidR="004C3644" w:rsidRPr="00F552F0">
        <w:rPr>
          <w:color w:val="000000"/>
          <w:sz w:val="22"/>
          <w:szCs w:val="22"/>
        </w:rPr>
        <w:t>Banking crises are more common in countries whose banking systems are more predominantly family-control</w:t>
      </w:r>
      <w:r w:rsidR="009C76F4" w:rsidRPr="00F552F0">
        <w:rPr>
          <w:color w:val="000000"/>
          <w:sz w:val="22"/>
          <w:szCs w:val="22"/>
        </w:rPr>
        <w:t>led (</w:t>
      </w:r>
      <w:r w:rsidR="009C76F4" w:rsidRPr="00F552F0">
        <w:rPr>
          <w:i/>
          <w:color w:val="000000"/>
          <w:sz w:val="22"/>
          <w:szCs w:val="22"/>
        </w:rPr>
        <w:t xml:space="preserve">t </w:t>
      </w:r>
      <w:r w:rsidR="009C76F4" w:rsidRPr="00F552F0">
        <w:rPr>
          <w:color w:val="000000"/>
          <w:sz w:val="22"/>
          <w:szCs w:val="22"/>
        </w:rPr>
        <w:t>=2.83</w:t>
      </w:r>
      <w:r w:rsidR="004C3644" w:rsidRPr="00F552F0">
        <w:rPr>
          <w:color w:val="000000"/>
          <w:sz w:val="22"/>
          <w:szCs w:val="22"/>
        </w:rPr>
        <w:t xml:space="preserve">). In contrast, </w:t>
      </w:r>
      <w:r w:rsidR="00392DB6" w:rsidRPr="00F552F0">
        <w:rPr>
          <w:color w:val="000000"/>
          <w:sz w:val="22"/>
          <w:szCs w:val="22"/>
        </w:rPr>
        <w:t>widely held</w:t>
      </w:r>
      <w:r w:rsidR="004C3644" w:rsidRPr="00F552F0">
        <w:rPr>
          <w:color w:val="000000"/>
          <w:sz w:val="22"/>
          <w:szCs w:val="22"/>
        </w:rPr>
        <w:t xml:space="preserve"> banks are negatively correlated with the number of banking crises and state-controlled banks seem uncorrelated with the incidence of crises. </w:t>
      </w:r>
    </w:p>
    <w:p w:rsidR="00A6596C" w:rsidRPr="00F552F0" w:rsidRDefault="00A6596C" w:rsidP="00517E75">
      <w:pPr>
        <w:autoSpaceDE w:val="0"/>
        <w:autoSpaceDN w:val="0"/>
        <w:adjustRightInd w:val="0"/>
        <w:spacing w:line="440" w:lineRule="exact"/>
        <w:ind w:firstLine="720"/>
        <w:jc w:val="both"/>
        <w:rPr>
          <w:color w:val="000000"/>
          <w:sz w:val="22"/>
          <w:szCs w:val="22"/>
        </w:rPr>
      </w:pPr>
      <w:r w:rsidRPr="00F552F0">
        <w:rPr>
          <w:color w:val="000000"/>
          <w:sz w:val="22"/>
          <w:szCs w:val="22"/>
        </w:rPr>
        <w:t>However</w:t>
      </w:r>
      <w:r w:rsidR="00DF3F41" w:rsidRPr="00F552F0">
        <w:rPr>
          <w:color w:val="000000"/>
          <w:sz w:val="22"/>
          <w:szCs w:val="22"/>
        </w:rPr>
        <w:t>, when we include the 2008 crisi</w:t>
      </w:r>
      <w:r w:rsidRPr="00F552F0">
        <w:rPr>
          <w:color w:val="000000"/>
          <w:sz w:val="22"/>
          <w:szCs w:val="22"/>
        </w:rPr>
        <w:t>s</w:t>
      </w:r>
      <w:r w:rsidR="002473F7" w:rsidRPr="00F552F0">
        <w:rPr>
          <w:color w:val="000000"/>
          <w:sz w:val="22"/>
          <w:szCs w:val="22"/>
        </w:rPr>
        <w:t>,</w:t>
      </w:r>
      <w:r w:rsidRPr="00F552F0">
        <w:rPr>
          <w:color w:val="000000"/>
          <w:sz w:val="22"/>
          <w:szCs w:val="22"/>
        </w:rPr>
        <w:t xml:space="preserve"> the coefficient </w:t>
      </w:r>
      <w:r w:rsidR="002473F7" w:rsidRPr="00F552F0">
        <w:rPr>
          <w:color w:val="000000"/>
          <w:sz w:val="22"/>
          <w:szCs w:val="22"/>
        </w:rPr>
        <w:t>on</w:t>
      </w:r>
      <w:r w:rsidRPr="00F552F0">
        <w:rPr>
          <w:color w:val="000000"/>
          <w:sz w:val="22"/>
          <w:szCs w:val="22"/>
        </w:rPr>
        <w:t xml:space="preserve"> family control becomes </w:t>
      </w:r>
      <w:r w:rsidR="002473F7" w:rsidRPr="00F552F0">
        <w:rPr>
          <w:color w:val="000000"/>
          <w:sz w:val="22"/>
          <w:szCs w:val="22"/>
        </w:rPr>
        <w:t>less</w:t>
      </w:r>
      <w:r w:rsidRPr="00F552F0">
        <w:rPr>
          <w:color w:val="000000"/>
          <w:sz w:val="22"/>
          <w:szCs w:val="22"/>
        </w:rPr>
        <w:t xml:space="preserve"> significant (</w:t>
      </w:r>
      <w:r w:rsidR="009C76F4" w:rsidRPr="00F552F0">
        <w:rPr>
          <w:i/>
          <w:color w:val="000000"/>
          <w:sz w:val="22"/>
          <w:szCs w:val="22"/>
        </w:rPr>
        <w:t>t=</w:t>
      </w:r>
      <w:r w:rsidR="009C76F4" w:rsidRPr="00F552F0">
        <w:rPr>
          <w:color w:val="000000"/>
          <w:sz w:val="22"/>
          <w:szCs w:val="22"/>
        </w:rPr>
        <w:t>1.72</w:t>
      </w:r>
      <w:r w:rsidRPr="00F552F0">
        <w:rPr>
          <w:color w:val="000000"/>
          <w:sz w:val="22"/>
          <w:szCs w:val="22"/>
        </w:rPr>
        <w:t xml:space="preserve">) and </w:t>
      </w:r>
      <w:r w:rsidR="002473F7" w:rsidRPr="00F552F0">
        <w:rPr>
          <w:color w:val="000000"/>
          <w:sz w:val="22"/>
          <w:szCs w:val="22"/>
        </w:rPr>
        <w:t>that on</w:t>
      </w:r>
      <w:r w:rsidRPr="00F552F0">
        <w:rPr>
          <w:color w:val="000000"/>
          <w:sz w:val="22"/>
          <w:szCs w:val="22"/>
        </w:rPr>
        <w:t xml:space="preserve"> </w:t>
      </w:r>
      <w:r w:rsidR="00392DB6" w:rsidRPr="00F552F0">
        <w:rPr>
          <w:color w:val="000000"/>
          <w:sz w:val="22"/>
          <w:szCs w:val="22"/>
        </w:rPr>
        <w:t>widely held</w:t>
      </w:r>
      <w:r w:rsidRPr="00F552F0">
        <w:rPr>
          <w:color w:val="000000"/>
          <w:sz w:val="22"/>
          <w:szCs w:val="22"/>
        </w:rPr>
        <w:t xml:space="preserve"> banks loses significance. Obviously</w:t>
      </w:r>
      <w:r w:rsidR="002473F7" w:rsidRPr="00F552F0">
        <w:rPr>
          <w:color w:val="000000"/>
          <w:sz w:val="22"/>
          <w:szCs w:val="22"/>
        </w:rPr>
        <w:t>,</w:t>
      </w:r>
      <w:r w:rsidRPr="00F552F0">
        <w:rPr>
          <w:color w:val="000000"/>
          <w:sz w:val="22"/>
          <w:szCs w:val="22"/>
        </w:rPr>
        <w:t xml:space="preserve"> family control </w:t>
      </w:r>
      <w:r w:rsidR="002473F7" w:rsidRPr="00F552F0">
        <w:rPr>
          <w:color w:val="000000"/>
          <w:sz w:val="22"/>
          <w:szCs w:val="22"/>
        </w:rPr>
        <w:t xml:space="preserve">over </w:t>
      </w:r>
      <w:r w:rsidRPr="00F552F0">
        <w:rPr>
          <w:color w:val="000000"/>
          <w:sz w:val="22"/>
          <w:szCs w:val="22"/>
        </w:rPr>
        <w:t>banks</w:t>
      </w:r>
      <w:r w:rsidR="00517E75" w:rsidRPr="00F552F0">
        <w:rPr>
          <w:color w:val="000000"/>
          <w:sz w:val="22"/>
          <w:szCs w:val="22"/>
        </w:rPr>
        <w:t xml:space="preserve"> does not explain</w:t>
      </w:r>
      <w:r w:rsidR="00DF3F41" w:rsidRPr="00F552F0">
        <w:rPr>
          <w:color w:val="000000"/>
          <w:sz w:val="22"/>
          <w:szCs w:val="22"/>
        </w:rPr>
        <w:t xml:space="preserve"> </w:t>
      </w:r>
      <w:r w:rsidR="009233C5" w:rsidRPr="00F552F0">
        <w:rPr>
          <w:color w:val="000000"/>
          <w:sz w:val="22"/>
          <w:szCs w:val="22"/>
        </w:rPr>
        <w:t xml:space="preserve">the </w:t>
      </w:r>
      <w:r w:rsidR="00DF3F41" w:rsidRPr="00F552F0">
        <w:rPr>
          <w:color w:val="000000"/>
          <w:sz w:val="22"/>
          <w:szCs w:val="22"/>
        </w:rPr>
        <w:t>2008 crisi</w:t>
      </w:r>
      <w:r w:rsidRPr="00F552F0">
        <w:rPr>
          <w:color w:val="000000"/>
          <w:sz w:val="22"/>
          <w:szCs w:val="22"/>
        </w:rPr>
        <w:t>s</w:t>
      </w:r>
      <w:r w:rsidR="00593F1A" w:rsidRPr="00F552F0">
        <w:rPr>
          <w:color w:val="000000"/>
          <w:sz w:val="22"/>
          <w:szCs w:val="22"/>
        </w:rPr>
        <w:t xml:space="preserve">, which began in the United States, whose banking system is predominantly </w:t>
      </w:r>
      <w:r w:rsidR="00392DB6" w:rsidRPr="00F552F0">
        <w:rPr>
          <w:color w:val="000000"/>
          <w:sz w:val="22"/>
          <w:szCs w:val="22"/>
        </w:rPr>
        <w:t>widely held</w:t>
      </w:r>
      <w:r w:rsidR="00593F1A" w:rsidRPr="00F552F0">
        <w:rPr>
          <w:color w:val="000000"/>
          <w:sz w:val="22"/>
          <w:szCs w:val="22"/>
        </w:rPr>
        <w:t xml:space="preserve">, and spread to other countries with largely </w:t>
      </w:r>
      <w:r w:rsidR="00392DB6" w:rsidRPr="00F552F0">
        <w:rPr>
          <w:color w:val="000000"/>
          <w:sz w:val="22"/>
          <w:szCs w:val="22"/>
        </w:rPr>
        <w:t>widely held</w:t>
      </w:r>
      <w:r w:rsidR="00593F1A" w:rsidRPr="00F552F0">
        <w:rPr>
          <w:color w:val="000000"/>
          <w:sz w:val="22"/>
          <w:szCs w:val="22"/>
        </w:rPr>
        <w:t xml:space="preserve"> banking systems, such as the United Kingdom</w:t>
      </w:r>
      <w:r w:rsidR="002473F7" w:rsidRPr="00F552F0">
        <w:rPr>
          <w:color w:val="000000"/>
          <w:sz w:val="22"/>
          <w:szCs w:val="22"/>
        </w:rPr>
        <w:t>. However, this</w:t>
      </w:r>
      <w:r w:rsidRPr="00F552F0">
        <w:rPr>
          <w:color w:val="000000"/>
          <w:sz w:val="22"/>
          <w:szCs w:val="22"/>
        </w:rPr>
        <w:t xml:space="preserve"> does not belie the </w:t>
      </w:r>
      <w:r w:rsidR="002473F7" w:rsidRPr="00F552F0">
        <w:rPr>
          <w:color w:val="000000"/>
          <w:sz w:val="22"/>
          <w:szCs w:val="22"/>
        </w:rPr>
        <w:t>strong correlation of family control with previous crises</w:t>
      </w:r>
      <w:r w:rsidR="009233C5" w:rsidRPr="00F552F0">
        <w:rPr>
          <w:color w:val="000000"/>
          <w:sz w:val="22"/>
          <w:szCs w:val="22"/>
        </w:rPr>
        <w:t xml:space="preserve"> and with the overall incidence of crises</w:t>
      </w:r>
      <w:r w:rsidRPr="00F552F0">
        <w:rPr>
          <w:color w:val="000000"/>
          <w:sz w:val="22"/>
          <w:szCs w:val="22"/>
        </w:rPr>
        <w:t xml:space="preserve">. </w:t>
      </w:r>
    </w:p>
    <w:p w:rsidR="00C1601A" w:rsidRPr="00F552F0" w:rsidRDefault="00FD3B74" w:rsidP="00C1601A">
      <w:pPr>
        <w:tabs>
          <w:tab w:val="left" w:pos="720"/>
        </w:tabs>
        <w:spacing w:line="440" w:lineRule="exact"/>
        <w:jc w:val="both"/>
        <w:rPr>
          <w:color w:val="000000"/>
          <w:sz w:val="22"/>
          <w:szCs w:val="22"/>
        </w:rPr>
      </w:pPr>
      <w:r w:rsidRPr="00F552F0">
        <w:rPr>
          <w:color w:val="000000"/>
          <w:sz w:val="22"/>
          <w:szCs w:val="22"/>
        </w:rPr>
        <w:tab/>
      </w:r>
      <w:r w:rsidR="00C1601A" w:rsidRPr="00F552F0">
        <w:rPr>
          <w:color w:val="000000"/>
          <w:sz w:val="22"/>
          <w:szCs w:val="22"/>
        </w:rPr>
        <w:t>The</w:t>
      </w:r>
      <w:r w:rsidR="009C5DFB" w:rsidRPr="00F552F0">
        <w:rPr>
          <w:color w:val="000000"/>
          <w:sz w:val="22"/>
          <w:szCs w:val="22"/>
        </w:rPr>
        <w:t xml:space="preserve"> final two </w:t>
      </w:r>
      <w:r w:rsidR="00717D54" w:rsidRPr="00F552F0">
        <w:rPr>
          <w:color w:val="000000"/>
          <w:sz w:val="22"/>
          <w:szCs w:val="22"/>
        </w:rPr>
        <w:t>rows</w:t>
      </w:r>
      <w:r w:rsidR="009B09D6" w:rsidRPr="00F552F0">
        <w:rPr>
          <w:color w:val="000000"/>
          <w:sz w:val="22"/>
          <w:szCs w:val="22"/>
        </w:rPr>
        <w:t xml:space="preserve"> of P</w:t>
      </w:r>
      <w:r w:rsidR="00717D54" w:rsidRPr="00F552F0">
        <w:rPr>
          <w:color w:val="000000"/>
          <w:sz w:val="22"/>
          <w:szCs w:val="22"/>
        </w:rPr>
        <w:t xml:space="preserve">anel </w:t>
      </w:r>
      <w:proofErr w:type="gramStart"/>
      <w:r w:rsidR="00717D54" w:rsidRPr="00F552F0">
        <w:rPr>
          <w:color w:val="000000"/>
          <w:sz w:val="22"/>
          <w:szCs w:val="22"/>
        </w:rPr>
        <w:t>A</w:t>
      </w:r>
      <w:proofErr w:type="gramEnd"/>
      <w:r w:rsidR="00C1601A" w:rsidRPr="00F552F0">
        <w:rPr>
          <w:color w:val="000000"/>
          <w:sz w:val="22"/>
          <w:szCs w:val="22"/>
        </w:rPr>
        <w:t xml:space="preserve"> check whether </w:t>
      </w:r>
      <w:r w:rsidR="009233C5" w:rsidRPr="00F552F0">
        <w:rPr>
          <w:color w:val="000000"/>
          <w:sz w:val="22"/>
          <w:szCs w:val="22"/>
        </w:rPr>
        <w:t xml:space="preserve">or not </w:t>
      </w:r>
      <w:r w:rsidR="00C1601A" w:rsidRPr="00F552F0">
        <w:rPr>
          <w:color w:val="000000"/>
          <w:sz w:val="22"/>
          <w:szCs w:val="22"/>
        </w:rPr>
        <w:t xml:space="preserve">family control </w:t>
      </w:r>
      <w:r w:rsidR="009233C5" w:rsidRPr="00F552F0">
        <w:rPr>
          <w:color w:val="000000"/>
          <w:sz w:val="22"/>
          <w:szCs w:val="22"/>
        </w:rPr>
        <w:t>over the banking system</w:t>
      </w:r>
      <w:r w:rsidR="00C1601A" w:rsidRPr="00F552F0">
        <w:rPr>
          <w:color w:val="000000"/>
          <w:sz w:val="22"/>
          <w:szCs w:val="22"/>
        </w:rPr>
        <w:t xml:space="preserve"> correlates with </w:t>
      </w:r>
      <w:r w:rsidR="00CC020F" w:rsidRPr="00F552F0">
        <w:rPr>
          <w:color w:val="000000"/>
          <w:sz w:val="22"/>
          <w:szCs w:val="22"/>
        </w:rPr>
        <w:t>the</w:t>
      </w:r>
      <w:r w:rsidR="00C1601A" w:rsidRPr="00F552F0">
        <w:rPr>
          <w:color w:val="000000"/>
          <w:sz w:val="22"/>
          <w:szCs w:val="22"/>
        </w:rPr>
        <w:t xml:space="preserve"> </w:t>
      </w:r>
      <w:r w:rsidR="00CC020F" w:rsidRPr="00F552F0">
        <w:rPr>
          <w:color w:val="000000"/>
          <w:sz w:val="22"/>
          <w:szCs w:val="22"/>
        </w:rPr>
        <w:t>stability of</w:t>
      </w:r>
      <w:r w:rsidR="00C1601A" w:rsidRPr="00F552F0">
        <w:rPr>
          <w:color w:val="000000"/>
          <w:sz w:val="22"/>
          <w:szCs w:val="22"/>
        </w:rPr>
        <w:t xml:space="preserve"> economic growth</w:t>
      </w:r>
      <w:r w:rsidR="00C1601A" w:rsidRPr="00F552F0">
        <w:rPr>
          <w:sz w:val="22"/>
          <w:szCs w:val="22"/>
        </w:rPr>
        <w:t xml:space="preserve">. </w:t>
      </w:r>
      <w:r w:rsidR="00517E75" w:rsidRPr="00F552F0">
        <w:rPr>
          <w:sz w:val="22"/>
          <w:szCs w:val="22"/>
        </w:rPr>
        <w:t>T</w:t>
      </w:r>
      <w:r w:rsidR="00C1601A" w:rsidRPr="00F552F0">
        <w:rPr>
          <w:sz w:val="22"/>
          <w:szCs w:val="22"/>
        </w:rPr>
        <w:t xml:space="preserve">he </w:t>
      </w:r>
      <w:r w:rsidR="00C1601A" w:rsidRPr="00F552F0">
        <w:rPr>
          <w:color w:val="000000"/>
          <w:sz w:val="22"/>
          <w:szCs w:val="22"/>
        </w:rPr>
        <w:t>standard deviation of a country’s real per capita GDP growth rate is positively associated with family control over banks</w:t>
      </w:r>
      <w:r w:rsidR="00CC020F" w:rsidRPr="00F552F0">
        <w:rPr>
          <w:color w:val="000000"/>
          <w:sz w:val="22"/>
          <w:szCs w:val="22"/>
        </w:rPr>
        <w:t>, indicating less stable economic growth where family banks predominate</w:t>
      </w:r>
      <w:r w:rsidR="007C3E8D" w:rsidRPr="00F552F0">
        <w:rPr>
          <w:color w:val="000000"/>
          <w:sz w:val="22"/>
          <w:szCs w:val="22"/>
        </w:rPr>
        <w:t>.</w:t>
      </w:r>
      <w:r w:rsidR="00C1601A" w:rsidRPr="00F552F0">
        <w:rPr>
          <w:color w:val="000000"/>
          <w:sz w:val="22"/>
          <w:szCs w:val="22"/>
        </w:rPr>
        <w:t xml:space="preserve"> </w:t>
      </w:r>
    </w:p>
    <w:p w:rsidR="00C15B47" w:rsidRPr="00F552F0" w:rsidRDefault="009B09D6" w:rsidP="009B09D6">
      <w:pPr>
        <w:tabs>
          <w:tab w:val="left" w:pos="720"/>
        </w:tabs>
        <w:spacing w:line="440" w:lineRule="exact"/>
        <w:jc w:val="both"/>
        <w:rPr>
          <w:sz w:val="22"/>
          <w:szCs w:val="22"/>
        </w:rPr>
      </w:pPr>
      <w:r w:rsidRPr="00F552F0">
        <w:rPr>
          <w:color w:val="000000"/>
          <w:sz w:val="22"/>
          <w:szCs w:val="22"/>
        </w:rPr>
        <w:tab/>
      </w:r>
      <w:r w:rsidRPr="00F552F0">
        <w:rPr>
          <w:sz w:val="22"/>
          <w:szCs w:val="22"/>
        </w:rPr>
        <w:t>The</w:t>
      </w:r>
      <w:r w:rsidR="004C3644" w:rsidRPr="00F552F0">
        <w:rPr>
          <w:sz w:val="22"/>
          <w:szCs w:val="22"/>
        </w:rPr>
        <w:t xml:space="preserve"> results </w:t>
      </w:r>
      <w:r w:rsidRPr="00F552F0">
        <w:rPr>
          <w:sz w:val="22"/>
          <w:szCs w:val="22"/>
        </w:rPr>
        <w:t xml:space="preserve">in Table 5 </w:t>
      </w:r>
      <w:r w:rsidR="004C3644" w:rsidRPr="00F552F0">
        <w:rPr>
          <w:sz w:val="22"/>
          <w:szCs w:val="22"/>
        </w:rPr>
        <w:t xml:space="preserve">are also economically significant. </w:t>
      </w:r>
      <w:r w:rsidR="009233C5" w:rsidRPr="00F552F0">
        <w:rPr>
          <w:sz w:val="22"/>
          <w:szCs w:val="22"/>
        </w:rPr>
        <w:t>A o</w:t>
      </w:r>
      <w:r w:rsidR="004C3644" w:rsidRPr="00F552F0">
        <w:rPr>
          <w:sz w:val="22"/>
          <w:szCs w:val="22"/>
        </w:rPr>
        <w:t>ne</w:t>
      </w:r>
      <w:r w:rsidR="0076000B" w:rsidRPr="00F552F0">
        <w:rPr>
          <w:sz w:val="22"/>
          <w:szCs w:val="22"/>
        </w:rPr>
        <w:t>-</w:t>
      </w:r>
      <w:r w:rsidR="004C3644" w:rsidRPr="00F552F0">
        <w:rPr>
          <w:sz w:val="22"/>
          <w:szCs w:val="22"/>
        </w:rPr>
        <w:t>standard</w:t>
      </w:r>
      <w:r w:rsidR="0076000B" w:rsidRPr="00F552F0">
        <w:rPr>
          <w:sz w:val="22"/>
          <w:szCs w:val="22"/>
        </w:rPr>
        <w:t>-</w:t>
      </w:r>
      <w:r w:rsidR="004C3644" w:rsidRPr="00F552F0">
        <w:rPr>
          <w:sz w:val="22"/>
          <w:szCs w:val="22"/>
        </w:rPr>
        <w:t xml:space="preserve">deviation increase in the fraction of </w:t>
      </w:r>
      <w:r w:rsidR="009233C5" w:rsidRPr="00F552F0">
        <w:rPr>
          <w:sz w:val="22"/>
          <w:szCs w:val="22"/>
        </w:rPr>
        <w:t xml:space="preserve">banks under </w:t>
      </w:r>
      <w:r w:rsidR="004C3644" w:rsidRPr="00F552F0">
        <w:rPr>
          <w:sz w:val="22"/>
          <w:szCs w:val="22"/>
        </w:rPr>
        <w:t>family</w:t>
      </w:r>
      <w:r w:rsidR="009233C5" w:rsidRPr="00F552F0">
        <w:rPr>
          <w:sz w:val="22"/>
          <w:szCs w:val="22"/>
        </w:rPr>
        <w:t xml:space="preserve"> </w:t>
      </w:r>
      <w:r w:rsidR="00C26254" w:rsidRPr="00F552F0">
        <w:rPr>
          <w:sz w:val="22"/>
          <w:szCs w:val="22"/>
        </w:rPr>
        <w:t>control</w:t>
      </w:r>
      <w:r w:rsidR="004C3644" w:rsidRPr="00F552F0">
        <w:rPr>
          <w:sz w:val="22"/>
          <w:szCs w:val="22"/>
        </w:rPr>
        <w:t xml:space="preserve"> </w:t>
      </w:r>
      <w:r w:rsidR="00E65AB0" w:rsidRPr="00F552F0">
        <w:rPr>
          <w:sz w:val="22"/>
          <w:szCs w:val="22"/>
        </w:rPr>
        <w:t>corresponds to</w:t>
      </w:r>
      <w:r w:rsidR="004C3644" w:rsidRPr="00F552F0">
        <w:rPr>
          <w:sz w:val="22"/>
          <w:szCs w:val="22"/>
        </w:rPr>
        <w:t xml:space="preserve"> </w:t>
      </w:r>
      <w:r w:rsidR="00E65AB0" w:rsidRPr="00F552F0">
        <w:rPr>
          <w:sz w:val="22"/>
          <w:szCs w:val="22"/>
        </w:rPr>
        <w:t>2</w:t>
      </w:r>
      <w:r w:rsidR="00854E9C" w:rsidRPr="00F552F0">
        <w:rPr>
          <w:sz w:val="22"/>
          <w:szCs w:val="22"/>
        </w:rPr>
        <w:t>5</w:t>
      </w:r>
      <w:r w:rsidR="00E65AB0" w:rsidRPr="00F552F0">
        <w:rPr>
          <w:sz w:val="22"/>
          <w:szCs w:val="22"/>
        </w:rPr>
        <w:t>%</w:t>
      </w:r>
      <w:r w:rsidR="00854E9C" w:rsidRPr="00F552F0">
        <w:rPr>
          <w:sz w:val="22"/>
          <w:szCs w:val="22"/>
        </w:rPr>
        <w:t xml:space="preserve"> (1993</w:t>
      </w:r>
      <w:r w:rsidR="0076000B" w:rsidRPr="00F552F0">
        <w:rPr>
          <w:sz w:val="22"/>
          <w:szCs w:val="22"/>
        </w:rPr>
        <w:t>–</w:t>
      </w:r>
      <w:r w:rsidR="00854E9C" w:rsidRPr="00F552F0">
        <w:rPr>
          <w:sz w:val="22"/>
          <w:szCs w:val="22"/>
        </w:rPr>
        <w:t>2003) and 15%</w:t>
      </w:r>
      <w:r w:rsidR="00486E3E" w:rsidRPr="00F552F0">
        <w:rPr>
          <w:sz w:val="22"/>
          <w:szCs w:val="22"/>
        </w:rPr>
        <w:t xml:space="preserve"> </w:t>
      </w:r>
      <w:r w:rsidR="00854E9C" w:rsidRPr="00F552F0">
        <w:rPr>
          <w:sz w:val="22"/>
          <w:szCs w:val="22"/>
        </w:rPr>
        <w:t>(1963</w:t>
      </w:r>
      <w:r w:rsidR="0076000B" w:rsidRPr="00F552F0">
        <w:rPr>
          <w:sz w:val="22"/>
          <w:szCs w:val="22"/>
        </w:rPr>
        <w:t>–</w:t>
      </w:r>
      <w:r w:rsidR="00854E9C" w:rsidRPr="00F552F0">
        <w:rPr>
          <w:sz w:val="22"/>
          <w:szCs w:val="22"/>
        </w:rPr>
        <w:t>2003)</w:t>
      </w:r>
      <w:r w:rsidR="00E65AB0" w:rsidRPr="00F552F0">
        <w:rPr>
          <w:sz w:val="22"/>
          <w:szCs w:val="22"/>
        </w:rPr>
        <w:t xml:space="preserve"> </w:t>
      </w:r>
      <w:r w:rsidRPr="00F552F0">
        <w:rPr>
          <w:sz w:val="22"/>
          <w:szCs w:val="22"/>
        </w:rPr>
        <w:t>worse</w:t>
      </w:r>
      <w:r w:rsidR="00E65AB0" w:rsidRPr="00F552F0">
        <w:rPr>
          <w:sz w:val="22"/>
          <w:szCs w:val="22"/>
        </w:rPr>
        <w:t xml:space="preserve"> </w:t>
      </w:r>
      <w:r w:rsidR="004C3644" w:rsidRPr="00F552F0">
        <w:rPr>
          <w:sz w:val="22"/>
          <w:szCs w:val="22"/>
        </w:rPr>
        <w:t>capital allocation efficiency</w:t>
      </w:r>
      <w:r w:rsidRPr="00F552F0">
        <w:rPr>
          <w:sz w:val="22"/>
          <w:szCs w:val="22"/>
        </w:rPr>
        <w:t xml:space="preserve">, assessed as in </w:t>
      </w:r>
      <w:proofErr w:type="spellStart"/>
      <w:r w:rsidRPr="00F552F0">
        <w:rPr>
          <w:sz w:val="22"/>
          <w:szCs w:val="22"/>
        </w:rPr>
        <w:t>Wurgler</w:t>
      </w:r>
      <w:proofErr w:type="spellEnd"/>
      <w:r w:rsidRPr="00F552F0">
        <w:rPr>
          <w:sz w:val="22"/>
          <w:szCs w:val="22"/>
        </w:rPr>
        <w:t xml:space="preserve"> (2000); to 68% slower value</w:t>
      </w:r>
      <w:r w:rsidR="0076000B" w:rsidRPr="00F552F0">
        <w:rPr>
          <w:sz w:val="22"/>
          <w:szCs w:val="22"/>
        </w:rPr>
        <w:t>-</w:t>
      </w:r>
      <w:r w:rsidRPr="00F552F0">
        <w:rPr>
          <w:sz w:val="22"/>
          <w:szCs w:val="22"/>
        </w:rPr>
        <w:t xml:space="preserve">added growth for industries that depend on external finance; to </w:t>
      </w:r>
      <w:r w:rsidR="00D57B8D" w:rsidRPr="00F552F0">
        <w:rPr>
          <w:sz w:val="22"/>
          <w:szCs w:val="22"/>
        </w:rPr>
        <w:t>25</w:t>
      </w:r>
      <w:r w:rsidR="00E65AB0" w:rsidRPr="00F552F0">
        <w:rPr>
          <w:sz w:val="22"/>
          <w:szCs w:val="22"/>
        </w:rPr>
        <w:t>% more</w:t>
      </w:r>
      <w:r w:rsidR="00C15B47" w:rsidRPr="00F552F0">
        <w:rPr>
          <w:sz w:val="22"/>
          <w:szCs w:val="22"/>
        </w:rPr>
        <w:t xml:space="preserve"> </w:t>
      </w:r>
      <w:r w:rsidR="00E65AB0" w:rsidRPr="00F552F0">
        <w:rPr>
          <w:sz w:val="22"/>
          <w:szCs w:val="22"/>
        </w:rPr>
        <w:t>nonperforming loans,</w:t>
      </w:r>
      <w:r w:rsidR="00C83903" w:rsidRPr="00F552F0">
        <w:rPr>
          <w:sz w:val="22"/>
          <w:szCs w:val="22"/>
        </w:rPr>
        <w:t xml:space="preserve"> </w:t>
      </w:r>
      <w:r w:rsidRPr="00F552F0">
        <w:rPr>
          <w:sz w:val="22"/>
          <w:szCs w:val="22"/>
        </w:rPr>
        <w:t xml:space="preserve">and to a </w:t>
      </w:r>
      <w:r w:rsidR="009C5DFB" w:rsidRPr="00F552F0">
        <w:rPr>
          <w:color w:val="000000"/>
          <w:sz w:val="22"/>
          <w:szCs w:val="22"/>
        </w:rPr>
        <w:t>27% larger standard deviation of growth</w:t>
      </w:r>
      <w:r w:rsidR="008D7150" w:rsidRPr="00F552F0">
        <w:rPr>
          <w:color w:val="000000"/>
          <w:sz w:val="22"/>
          <w:szCs w:val="22"/>
        </w:rPr>
        <w:t xml:space="preserve"> compared to sample means</w:t>
      </w:r>
      <w:r w:rsidR="00A84358" w:rsidRPr="00F552F0">
        <w:rPr>
          <w:color w:val="000000"/>
          <w:sz w:val="22"/>
          <w:szCs w:val="22"/>
        </w:rPr>
        <w:t xml:space="preserve">. </w:t>
      </w:r>
      <w:r w:rsidR="00E65AB0" w:rsidRPr="00F552F0">
        <w:rPr>
          <w:sz w:val="22"/>
          <w:szCs w:val="22"/>
        </w:rPr>
        <w:t>For comparison, a one</w:t>
      </w:r>
      <w:r w:rsidR="0076000B" w:rsidRPr="00F552F0">
        <w:rPr>
          <w:sz w:val="22"/>
          <w:szCs w:val="22"/>
        </w:rPr>
        <w:t>-</w:t>
      </w:r>
      <w:r w:rsidR="00E65AB0" w:rsidRPr="00F552F0">
        <w:rPr>
          <w:sz w:val="22"/>
          <w:szCs w:val="22"/>
        </w:rPr>
        <w:t>standard</w:t>
      </w:r>
      <w:r w:rsidR="0076000B" w:rsidRPr="00F552F0">
        <w:rPr>
          <w:sz w:val="22"/>
          <w:szCs w:val="22"/>
        </w:rPr>
        <w:t>-</w:t>
      </w:r>
      <w:r w:rsidR="00E65AB0" w:rsidRPr="00F552F0">
        <w:rPr>
          <w:sz w:val="22"/>
          <w:szCs w:val="22"/>
        </w:rPr>
        <w:t>deviation in</w:t>
      </w:r>
      <w:r w:rsidR="006A7FCE" w:rsidRPr="00F552F0">
        <w:rPr>
          <w:sz w:val="22"/>
          <w:szCs w:val="22"/>
        </w:rPr>
        <w:t>crease in</w:t>
      </w:r>
      <w:r w:rsidR="00E65AB0" w:rsidRPr="00F552F0">
        <w:rPr>
          <w:sz w:val="22"/>
          <w:szCs w:val="22"/>
        </w:rPr>
        <w:t xml:space="preserve"> the fraction of banks controlled by the state corresponds to </w:t>
      </w:r>
      <w:r w:rsidR="00854E9C" w:rsidRPr="00F552F0">
        <w:rPr>
          <w:sz w:val="22"/>
          <w:szCs w:val="22"/>
        </w:rPr>
        <w:t>26</w:t>
      </w:r>
      <w:r w:rsidR="00E65AB0" w:rsidRPr="00F552F0">
        <w:rPr>
          <w:sz w:val="22"/>
          <w:szCs w:val="22"/>
        </w:rPr>
        <w:t>%</w:t>
      </w:r>
      <w:r w:rsidR="00854E9C" w:rsidRPr="00F552F0">
        <w:rPr>
          <w:sz w:val="22"/>
          <w:szCs w:val="22"/>
        </w:rPr>
        <w:t xml:space="preserve"> </w:t>
      </w:r>
      <w:r w:rsidR="00D57B8D" w:rsidRPr="00F552F0">
        <w:rPr>
          <w:sz w:val="22"/>
          <w:szCs w:val="22"/>
        </w:rPr>
        <w:t>decrease in</w:t>
      </w:r>
      <w:r w:rsidR="00E65AB0" w:rsidRPr="00F552F0">
        <w:rPr>
          <w:sz w:val="22"/>
          <w:szCs w:val="22"/>
        </w:rPr>
        <w:t xml:space="preserve"> capital allocation efficiency</w:t>
      </w:r>
      <w:r w:rsidR="006A7FCE" w:rsidRPr="00F552F0">
        <w:rPr>
          <w:sz w:val="22"/>
          <w:szCs w:val="22"/>
        </w:rPr>
        <w:t xml:space="preserve"> (1963</w:t>
      </w:r>
      <w:r w:rsidR="0076000B" w:rsidRPr="00F552F0">
        <w:rPr>
          <w:sz w:val="22"/>
          <w:szCs w:val="22"/>
        </w:rPr>
        <w:t>–</w:t>
      </w:r>
      <w:r w:rsidR="006A7FCE" w:rsidRPr="00F552F0">
        <w:rPr>
          <w:sz w:val="22"/>
          <w:szCs w:val="22"/>
        </w:rPr>
        <w:t xml:space="preserve">2003) </w:t>
      </w:r>
      <w:r w:rsidR="00854E9C" w:rsidRPr="00F552F0">
        <w:rPr>
          <w:sz w:val="22"/>
          <w:szCs w:val="22"/>
        </w:rPr>
        <w:t>and</w:t>
      </w:r>
      <w:r w:rsidR="00E65AB0" w:rsidRPr="00F552F0">
        <w:rPr>
          <w:sz w:val="22"/>
          <w:szCs w:val="22"/>
        </w:rPr>
        <w:t xml:space="preserve"> </w:t>
      </w:r>
      <w:r w:rsidR="00D57B8D" w:rsidRPr="00F552F0">
        <w:rPr>
          <w:sz w:val="22"/>
          <w:szCs w:val="22"/>
        </w:rPr>
        <w:t>27</w:t>
      </w:r>
      <w:r w:rsidR="007C3E8D" w:rsidRPr="00F552F0">
        <w:rPr>
          <w:sz w:val="22"/>
          <w:szCs w:val="22"/>
        </w:rPr>
        <w:t xml:space="preserve">% more nonperforming loans. </w:t>
      </w:r>
      <w:r w:rsidR="00E65AB0" w:rsidRPr="00F552F0">
        <w:rPr>
          <w:sz w:val="22"/>
          <w:szCs w:val="22"/>
        </w:rPr>
        <w:t>These results</w:t>
      </w:r>
      <w:r w:rsidR="00C15B47" w:rsidRPr="00F552F0">
        <w:rPr>
          <w:sz w:val="22"/>
          <w:szCs w:val="22"/>
        </w:rPr>
        <w:t xml:space="preserve"> survive a wide range of robustness checks, </w:t>
      </w:r>
      <w:r w:rsidR="00E65AB0" w:rsidRPr="00F552F0">
        <w:rPr>
          <w:sz w:val="22"/>
          <w:szCs w:val="22"/>
        </w:rPr>
        <w:t>detailed</w:t>
      </w:r>
      <w:r w:rsidR="007C3E8D" w:rsidRPr="00F552F0">
        <w:rPr>
          <w:sz w:val="22"/>
          <w:szCs w:val="22"/>
        </w:rPr>
        <w:t xml:space="preserve"> below. </w:t>
      </w:r>
    </w:p>
    <w:p w:rsidR="004C3644" w:rsidRPr="00F552F0" w:rsidRDefault="00E65AB0" w:rsidP="00FD3B74">
      <w:pPr>
        <w:autoSpaceDE w:val="0"/>
        <w:autoSpaceDN w:val="0"/>
        <w:adjustRightInd w:val="0"/>
        <w:spacing w:line="440" w:lineRule="exact"/>
        <w:ind w:firstLine="720"/>
        <w:jc w:val="both"/>
        <w:rPr>
          <w:sz w:val="22"/>
          <w:szCs w:val="22"/>
        </w:rPr>
      </w:pPr>
      <w:r w:rsidRPr="00F552F0">
        <w:rPr>
          <w:sz w:val="22"/>
          <w:szCs w:val="22"/>
        </w:rPr>
        <w:lastRenderedPageBreak/>
        <w:t>In summary, T</w:t>
      </w:r>
      <w:r w:rsidR="00C15B47" w:rsidRPr="00F552F0">
        <w:rPr>
          <w:sz w:val="22"/>
          <w:szCs w:val="22"/>
        </w:rPr>
        <w:t>able 5 shows</w:t>
      </w:r>
      <w:r w:rsidR="00FD3B74" w:rsidRPr="00F552F0">
        <w:rPr>
          <w:sz w:val="22"/>
          <w:szCs w:val="22"/>
        </w:rPr>
        <w:t xml:space="preserve"> countries </w:t>
      </w:r>
      <w:r w:rsidR="00A84358" w:rsidRPr="00F552F0">
        <w:rPr>
          <w:sz w:val="22"/>
          <w:szCs w:val="22"/>
        </w:rPr>
        <w:t>whose banks are more thoroughly controlled by</w:t>
      </w:r>
      <w:r w:rsidR="00FD3B74" w:rsidRPr="00F552F0">
        <w:rPr>
          <w:sz w:val="22"/>
          <w:szCs w:val="22"/>
        </w:rPr>
        <w:t xml:space="preserve"> </w:t>
      </w:r>
      <w:r w:rsidR="00A84358" w:rsidRPr="00F552F0">
        <w:rPr>
          <w:sz w:val="22"/>
          <w:szCs w:val="22"/>
        </w:rPr>
        <w:t>tycoons and business families to have</w:t>
      </w:r>
      <w:r w:rsidR="00CC020F" w:rsidRPr="00F552F0">
        <w:rPr>
          <w:sz w:val="22"/>
          <w:szCs w:val="22"/>
        </w:rPr>
        <w:t xml:space="preserve"> </w:t>
      </w:r>
      <w:r w:rsidR="00A84358" w:rsidRPr="00F552F0">
        <w:rPr>
          <w:sz w:val="22"/>
          <w:szCs w:val="22"/>
        </w:rPr>
        <w:t xml:space="preserve">economically and statistically significantly </w:t>
      </w:r>
      <w:r w:rsidR="00FD3B74" w:rsidRPr="00F552F0">
        <w:rPr>
          <w:sz w:val="22"/>
          <w:szCs w:val="22"/>
        </w:rPr>
        <w:t>less efficient</w:t>
      </w:r>
      <w:r w:rsidR="00A84358" w:rsidRPr="00F552F0">
        <w:rPr>
          <w:sz w:val="22"/>
          <w:szCs w:val="22"/>
        </w:rPr>
        <w:t xml:space="preserve"> capital allocation, relatively stunted external-finance dependent sectors, worse problems with </w:t>
      </w:r>
      <w:r w:rsidRPr="00F552F0">
        <w:rPr>
          <w:sz w:val="22"/>
          <w:szCs w:val="22"/>
        </w:rPr>
        <w:t xml:space="preserve">nonperforming loans, </w:t>
      </w:r>
      <w:r w:rsidR="00A84358" w:rsidRPr="00F552F0">
        <w:rPr>
          <w:sz w:val="22"/>
          <w:szCs w:val="22"/>
        </w:rPr>
        <w:t>and bumpier</w:t>
      </w:r>
      <w:r w:rsidR="00FD3B74" w:rsidRPr="00F552F0">
        <w:rPr>
          <w:sz w:val="22"/>
          <w:szCs w:val="22"/>
        </w:rPr>
        <w:t xml:space="preserve"> </w:t>
      </w:r>
      <w:r w:rsidR="009C5DFB" w:rsidRPr="00F552F0">
        <w:rPr>
          <w:color w:val="000000"/>
          <w:sz w:val="22"/>
          <w:szCs w:val="22"/>
        </w:rPr>
        <w:t>economic growth</w:t>
      </w:r>
      <w:r w:rsidR="00FD3B74" w:rsidRPr="00F552F0">
        <w:rPr>
          <w:color w:val="000000"/>
          <w:sz w:val="22"/>
          <w:szCs w:val="22"/>
        </w:rPr>
        <w:t xml:space="preserve">. </w:t>
      </w:r>
      <w:r w:rsidR="00DC2612" w:rsidRPr="00F552F0">
        <w:rPr>
          <w:sz w:val="22"/>
          <w:szCs w:val="22"/>
        </w:rPr>
        <w:t>F</w:t>
      </w:r>
      <w:r w:rsidR="00CC020F" w:rsidRPr="00F552F0">
        <w:rPr>
          <w:sz w:val="22"/>
          <w:szCs w:val="22"/>
        </w:rPr>
        <w:t xml:space="preserve">amily </w:t>
      </w:r>
      <w:r w:rsidR="009C5DFB" w:rsidRPr="00F552F0">
        <w:rPr>
          <w:sz w:val="22"/>
          <w:szCs w:val="22"/>
        </w:rPr>
        <w:t xml:space="preserve">bank control </w:t>
      </w:r>
      <w:r w:rsidR="00CC020F" w:rsidRPr="00F552F0">
        <w:rPr>
          <w:sz w:val="22"/>
          <w:szCs w:val="22"/>
        </w:rPr>
        <w:t>correlates strongly</w:t>
      </w:r>
      <w:r w:rsidR="009C5DFB" w:rsidRPr="00F552F0">
        <w:rPr>
          <w:sz w:val="22"/>
          <w:szCs w:val="22"/>
        </w:rPr>
        <w:t xml:space="preserve"> with </w:t>
      </w:r>
      <w:r w:rsidR="00CC020F" w:rsidRPr="00F552F0">
        <w:rPr>
          <w:sz w:val="22"/>
          <w:szCs w:val="22"/>
        </w:rPr>
        <w:t>more financial</w:t>
      </w:r>
      <w:r w:rsidR="009C5DFB" w:rsidRPr="00F552F0">
        <w:rPr>
          <w:sz w:val="22"/>
          <w:szCs w:val="22"/>
        </w:rPr>
        <w:t xml:space="preserve"> crises prior to 2008, </w:t>
      </w:r>
      <w:r w:rsidR="00DC2612" w:rsidRPr="00F552F0">
        <w:rPr>
          <w:sz w:val="22"/>
          <w:szCs w:val="22"/>
        </w:rPr>
        <w:t xml:space="preserve">although </w:t>
      </w:r>
      <w:r w:rsidR="009C5DFB" w:rsidRPr="00F552F0">
        <w:rPr>
          <w:sz w:val="22"/>
          <w:szCs w:val="22"/>
        </w:rPr>
        <w:t xml:space="preserve">this correlation </w:t>
      </w:r>
      <w:r w:rsidR="00CC020F" w:rsidRPr="00F552F0">
        <w:rPr>
          <w:sz w:val="22"/>
          <w:szCs w:val="22"/>
        </w:rPr>
        <w:t>weakens if we extend the data to include the</w:t>
      </w:r>
      <w:r w:rsidR="00DF3F41" w:rsidRPr="00F552F0">
        <w:rPr>
          <w:sz w:val="22"/>
          <w:szCs w:val="22"/>
        </w:rPr>
        <w:t xml:space="preserve"> 2008 crisi</w:t>
      </w:r>
      <w:r w:rsidR="009C5DFB" w:rsidRPr="00F552F0">
        <w:rPr>
          <w:sz w:val="22"/>
          <w:szCs w:val="22"/>
        </w:rPr>
        <w:t xml:space="preserve">s. </w:t>
      </w:r>
    </w:p>
    <w:p w:rsidR="004C3644" w:rsidRPr="00F552F0" w:rsidRDefault="0052279E" w:rsidP="00FB3043">
      <w:pPr>
        <w:autoSpaceDE w:val="0"/>
        <w:autoSpaceDN w:val="0"/>
        <w:adjustRightInd w:val="0"/>
        <w:spacing w:line="440" w:lineRule="exact"/>
        <w:jc w:val="both"/>
      </w:pPr>
      <w:r w:rsidRPr="00F552F0">
        <w:rPr>
          <w:sz w:val="22"/>
          <w:szCs w:val="22"/>
        </w:rPr>
        <w:t xml:space="preserve"> </w:t>
      </w:r>
    </w:p>
    <w:p w:rsidR="004C3644" w:rsidRPr="00F552F0" w:rsidRDefault="003D5871">
      <w:pPr>
        <w:autoSpaceDE w:val="0"/>
        <w:autoSpaceDN w:val="0"/>
        <w:adjustRightInd w:val="0"/>
        <w:spacing w:line="440" w:lineRule="exact"/>
        <w:rPr>
          <w:i/>
          <w:color w:val="000000"/>
        </w:rPr>
      </w:pPr>
      <w:r w:rsidRPr="00F552F0">
        <w:rPr>
          <w:i/>
          <w:color w:val="000000"/>
        </w:rPr>
        <w:t>3.2.2.</w:t>
      </w:r>
      <w:r w:rsidRPr="00F552F0">
        <w:rPr>
          <w:i/>
          <w:color w:val="000000"/>
        </w:rPr>
        <w:tab/>
        <w:t>Economy growth</w:t>
      </w:r>
    </w:p>
    <w:p w:rsidR="00E21501" w:rsidRPr="00F552F0" w:rsidRDefault="003F3DF9">
      <w:pPr>
        <w:autoSpaceDE w:val="0"/>
        <w:autoSpaceDN w:val="0"/>
        <w:adjustRightInd w:val="0"/>
        <w:spacing w:line="440" w:lineRule="exact"/>
        <w:ind w:firstLine="720"/>
        <w:jc w:val="both"/>
        <w:rPr>
          <w:color w:val="000000"/>
          <w:sz w:val="22"/>
          <w:szCs w:val="22"/>
        </w:rPr>
      </w:pPr>
      <w:r w:rsidRPr="00F552F0">
        <w:rPr>
          <w:sz w:val="22"/>
          <w:szCs w:val="22"/>
        </w:rPr>
        <w:t>Since</w:t>
      </w:r>
      <w:r w:rsidR="004C3644" w:rsidRPr="00F552F0">
        <w:rPr>
          <w:sz w:val="22"/>
          <w:szCs w:val="22"/>
        </w:rPr>
        <w:t xml:space="preserve"> </w:t>
      </w:r>
      <w:r w:rsidRPr="00F552F0">
        <w:rPr>
          <w:sz w:val="22"/>
          <w:szCs w:val="22"/>
        </w:rPr>
        <w:t>our banking system</w:t>
      </w:r>
      <w:r w:rsidR="004C3644" w:rsidRPr="00F552F0">
        <w:rPr>
          <w:sz w:val="22"/>
          <w:szCs w:val="22"/>
        </w:rPr>
        <w:t xml:space="preserve"> control </w:t>
      </w:r>
      <w:r w:rsidRPr="00F552F0">
        <w:rPr>
          <w:sz w:val="22"/>
          <w:szCs w:val="22"/>
        </w:rPr>
        <w:t>measures correlate with</w:t>
      </w:r>
      <w:r w:rsidR="004C3644" w:rsidRPr="00F552F0">
        <w:rPr>
          <w:sz w:val="22"/>
          <w:szCs w:val="22"/>
        </w:rPr>
        <w:t xml:space="preserve"> ca</w:t>
      </w:r>
      <w:r w:rsidRPr="00F552F0">
        <w:rPr>
          <w:sz w:val="22"/>
          <w:szCs w:val="22"/>
        </w:rPr>
        <w:t>pital allocation efficiency and</w:t>
      </w:r>
      <w:r w:rsidR="004C3644" w:rsidRPr="00F552F0">
        <w:rPr>
          <w:sz w:val="22"/>
          <w:szCs w:val="22"/>
        </w:rPr>
        <w:t xml:space="preserve"> banking system efficiency,</w:t>
      </w:r>
      <w:r w:rsidRPr="00F552F0">
        <w:rPr>
          <w:sz w:val="22"/>
          <w:szCs w:val="22"/>
        </w:rPr>
        <w:t xml:space="preserve"> we </w:t>
      </w:r>
      <w:r w:rsidR="004C3644" w:rsidRPr="00F552F0">
        <w:rPr>
          <w:sz w:val="22"/>
          <w:szCs w:val="22"/>
        </w:rPr>
        <w:t xml:space="preserve">expect </w:t>
      </w:r>
      <w:r w:rsidRPr="00F552F0">
        <w:rPr>
          <w:sz w:val="22"/>
          <w:szCs w:val="22"/>
        </w:rPr>
        <w:t>them to correlate</w:t>
      </w:r>
      <w:r w:rsidR="004C3644" w:rsidRPr="00F552F0">
        <w:rPr>
          <w:sz w:val="22"/>
          <w:szCs w:val="22"/>
        </w:rPr>
        <w:t xml:space="preserve"> with economic growth as well.</w:t>
      </w:r>
      <w:r w:rsidRPr="00F552F0">
        <w:rPr>
          <w:sz w:val="22"/>
          <w:szCs w:val="22"/>
        </w:rPr>
        <w:t xml:space="preserve"> </w:t>
      </w:r>
      <w:r w:rsidR="004C3644" w:rsidRPr="00F552F0">
        <w:rPr>
          <w:color w:val="000000"/>
          <w:sz w:val="22"/>
          <w:szCs w:val="22"/>
        </w:rPr>
        <w:t xml:space="preserve">Table 6 therefore regresses </w:t>
      </w:r>
      <w:r w:rsidRPr="00F552F0">
        <w:rPr>
          <w:color w:val="000000"/>
          <w:sz w:val="22"/>
          <w:szCs w:val="22"/>
        </w:rPr>
        <w:t xml:space="preserve">our </w:t>
      </w:r>
      <w:r w:rsidR="004C3644" w:rsidRPr="00F552F0">
        <w:rPr>
          <w:color w:val="000000"/>
          <w:sz w:val="22"/>
          <w:szCs w:val="22"/>
        </w:rPr>
        <w:t>economic growth</w:t>
      </w:r>
      <w:r w:rsidRPr="00F552F0">
        <w:rPr>
          <w:color w:val="000000"/>
          <w:sz w:val="22"/>
          <w:szCs w:val="22"/>
        </w:rPr>
        <w:t xml:space="preserve"> measures</w:t>
      </w:r>
      <w:r w:rsidR="0076000B" w:rsidRPr="00F552F0">
        <w:rPr>
          <w:color w:val="000000"/>
          <w:sz w:val="22"/>
          <w:szCs w:val="22"/>
        </w:rPr>
        <w:t>—</w:t>
      </w:r>
      <w:r w:rsidR="004C3644" w:rsidRPr="00F552F0">
        <w:rPr>
          <w:color w:val="000000"/>
          <w:sz w:val="22"/>
          <w:szCs w:val="22"/>
        </w:rPr>
        <w:t>per capita income growth, TFP growth, and per capita capital accumulation</w:t>
      </w:r>
      <w:r w:rsidR="0076000B" w:rsidRPr="00F552F0">
        <w:rPr>
          <w:color w:val="000000"/>
          <w:sz w:val="22"/>
          <w:szCs w:val="22"/>
        </w:rPr>
        <w:t>—</w:t>
      </w:r>
      <w:r w:rsidR="004C3644" w:rsidRPr="00F552F0">
        <w:rPr>
          <w:color w:val="000000"/>
          <w:sz w:val="22"/>
          <w:szCs w:val="22"/>
        </w:rPr>
        <w:t>on our country</w:t>
      </w:r>
      <w:r w:rsidR="007B4E8F" w:rsidRPr="00F552F0">
        <w:rPr>
          <w:color w:val="000000"/>
          <w:sz w:val="22"/>
          <w:szCs w:val="22"/>
        </w:rPr>
        <w:t>-level</w:t>
      </w:r>
      <w:r w:rsidR="004C3644" w:rsidRPr="00F552F0">
        <w:rPr>
          <w:color w:val="000000"/>
          <w:sz w:val="22"/>
          <w:szCs w:val="22"/>
        </w:rPr>
        <w:t xml:space="preserve"> bank control measures</w:t>
      </w:r>
      <w:r w:rsidRPr="00F552F0">
        <w:rPr>
          <w:color w:val="000000"/>
          <w:sz w:val="22"/>
          <w:szCs w:val="22"/>
        </w:rPr>
        <w:t>, revealing</w:t>
      </w:r>
      <w:r w:rsidR="004C3644" w:rsidRPr="00F552F0">
        <w:rPr>
          <w:color w:val="000000"/>
          <w:sz w:val="22"/>
          <w:szCs w:val="22"/>
        </w:rPr>
        <w:t xml:space="preserve"> lower real per capita GDP growth and TFP growth</w:t>
      </w:r>
      <w:r w:rsidRPr="00F552F0">
        <w:rPr>
          <w:color w:val="000000"/>
          <w:sz w:val="22"/>
          <w:szCs w:val="22"/>
        </w:rPr>
        <w:t xml:space="preserve"> where banking systems are more family</w:t>
      </w:r>
      <w:r w:rsidR="00C26254" w:rsidRPr="00F552F0">
        <w:rPr>
          <w:color w:val="000000"/>
          <w:sz w:val="22"/>
          <w:szCs w:val="22"/>
        </w:rPr>
        <w:t>-controlled</w:t>
      </w:r>
      <w:r w:rsidR="007C3E8D" w:rsidRPr="00F552F0">
        <w:rPr>
          <w:color w:val="000000"/>
          <w:sz w:val="22"/>
          <w:szCs w:val="22"/>
        </w:rPr>
        <w:t xml:space="preserve">. </w:t>
      </w:r>
      <w:r w:rsidR="004C3644" w:rsidRPr="00F552F0">
        <w:rPr>
          <w:color w:val="000000"/>
          <w:sz w:val="22"/>
          <w:szCs w:val="22"/>
        </w:rPr>
        <w:t xml:space="preserve">The </w:t>
      </w:r>
      <w:r w:rsidRPr="00F552F0">
        <w:rPr>
          <w:color w:val="000000"/>
          <w:sz w:val="22"/>
          <w:szCs w:val="22"/>
        </w:rPr>
        <w:t>coefficient</w:t>
      </w:r>
      <w:r w:rsidR="004C3644" w:rsidRPr="00F552F0">
        <w:rPr>
          <w:color w:val="000000"/>
          <w:sz w:val="22"/>
          <w:szCs w:val="22"/>
        </w:rPr>
        <w:t xml:space="preserve"> </w:t>
      </w:r>
      <w:r w:rsidRPr="00F552F0">
        <w:rPr>
          <w:color w:val="000000"/>
          <w:sz w:val="22"/>
          <w:szCs w:val="22"/>
        </w:rPr>
        <w:t>of family control in explaining</w:t>
      </w:r>
      <w:r w:rsidR="004C3644" w:rsidRPr="00F552F0">
        <w:rPr>
          <w:color w:val="000000"/>
          <w:sz w:val="22"/>
          <w:szCs w:val="22"/>
        </w:rPr>
        <w:t xml:space="preserve"> capital accumulation </w:t>
      </w:r>
      <w:r w:rsidRPr="00F552F0">
        <w:rPr>
          <w:color w:val="000000"/>
          <w:sz w:val="22"/>
          <w:szCs w:val="22"/>
        </w:rPr>
        <w:t>is negative</w:t>
      </w:r>
      <w:r w:rsidR="000C4268" w:rsidRPr="00F552F0">
        <w:rPr>
          <w:color w:val="000000"/>
          <w:sz w:val="22"/>
          <w:szCs w:val="22"/>
        </w:rPr>
        <w:t>,</w:t>
      </w:r>
      <w:r w:rsidR="00246E84" w:rsidRPr="00F552F0">
        <w:rPr>
          <w:color w:val="000000"/>
          <w:sz w:val="22"/>
          <w:szCs w:val="22"/>
        </w:rPr>
        <w:t xml:space="preserve"> but in</w:t>
      </w:r>
      <w:r w:rsidRPr="00F552F0">
        <w:rPr>
          <w:color w:val="000000"/>
          <w:sz w:val="22"/>
          <w:szCs w:val="22"/>
        </w:rPr>
        <w:t>sign</w:t>
      </w:r>
      <w:r w:rsidR="001D489F" w:rsidRPr="00F552F0">
        <w:rPr>
          <w:color w:val="000000"/>
          <w:sz w:val="22"/>
          <w:szCs w:val="22"/>
        </w:rPr>
        <w:t>ificant</w:t>
      </w:r>
      <w:r w:rsidR="006A7FCE" w:rsidRPr="00F552F0">
        <w:rPr>
          <w:color w:val="000000"/>
          <w:sz w:val="22"/>
          <w:szCs w:val="22"/>
        </w:rPr>
        <w:t>.</w:t>
      </w:r>
      <w:r w:rsidR="007C3E8D" w:rsidRPr="00F552F0">
        <w:rPr>
          <w:color w:val="000000"/>
          <w:sz w:val="22"/>
          <w:szCs w:val="22"/>
        </w:rPr>
        <w:t xml:space="preserve"> </w:t>
      </w:r>
      <w:r w:rsidR="003E748D" w:rsidRPr="00F552F0">
        <w:rPr>
          <w:color w:val="000000"/>
          <w:sz w:val="22"/>
          <w:szCs w:val="22"/>
        </w:rPr>
        <w:t>In contrast</w:t>
      </w:r>
      <w:r w:rsidR="003A0B0F" w:rsidRPr="00F552F0">
        <w:rPr>
          <w:color w:val="000000"/>
          <w:sz w:val="22"/>
          <w:szCs w:val="22"/>
        </w:rPr>
        <w:t xml:space="preserve">, </w:t>
      </w:r>
      <w:r w:rsidR="003E748D" w:rsidRPr="00F552F0">
        <w:rPr>
          <w:color w:val="000000"/>
          <w:sz w:val="22"/>
          <w:szCs w:val="22"/>
        </w:rPr>
        <w:t xml:space="preserve">capital accumulation correlates negatively with </w:t>
      </w:r>
      <w:r w:rsidR="003A0B0F" w:rsidRPr="00F552F0">
        <w:rPr>
          <w:color w:val="000000"/>
          <w:sz w:val="22"/>
          <w:szCs w:val="22"/>
        </w:rPr>
        <w:t>state</w:t>
      </w:r>
      <w:r w:rsidR="00C26254" w:rsidRPr="00F552F0">
        <w:rPr>
          <w:color w:val="000000"/>
          <w:sz w:val="22"/>
          <w:szCs w:val="22"/>
        </w:rPr>
        <w:t>-controlled</w:t>
      </w:r>
      <w:r w:rsidR="003E748D" w:rsidRPr="00F552F0">
        <w:rPr>
          <w:color w:val="000000"/>
          <w:sz w:val="22"/>
          <w:szCs w:val="22"/>
        </w:rPr>
        <w:t xml:space="preserve"> banks </w:t>
      </w:r>
      <w:r w:rsidR="003A0B0F" w:rsidRPr="00F552F0">
        <w:rPr>
          <w:color w:val="000000"/>
          <w:sz w:val="22"/>
          <w:szCs w:val="22"/>
        </w:rPr>
        <w:t xml:space="preserve">and </w:t>
      </w:r>
      <w:r w:rsidR="003E748D" w:rsidRPr="00F552F0">
        <w:rPr>
          <w:color w:val="000000"/>
          <w:sz w:val="22"/>
          <w:szCs w:val="22"/>
        </w:rPr>
        <w:t xml:space="preserve">positively with </w:t>
      </w:r>
      <w:r w:rsidR="00392DB6" w:rsidRPr="00F552F0">
        <w:rPr>
          <w:color w:val="000000"/>
          <w:sz w:val="22"/>
          <w:szCs w:val="22"/>
        </w:rPr>
        <w:t>widely held</w:t>
      </w:r>
      <w:r w:rsidR="003A0B0F" w:rsidRPr="00F552F0">
        <w:rPr>
          <w:color w:val="000000"/>
          <w:sz w:val="22"/>
          <w:szCs w:val="22"/>
        </w:rPr>
        <w:t xml:space="preserve"> banks. </w:t>
      </w:r>
    </w:p>
    <w:p w:rsidR="004C3644" w:rsidRPr="00F552F0" w:rsidRDefault="004C3644">
      <w:pPr>
        <w:autoSpaceDE w:val="0"/>
        <w:autoSpaceDN w:val="0"/>
        <w:adjustRightInd w:val="0"/>
        <w:spacing w:line="440" w:lineRule="exact"/>
        <w:jc w:val="both"/>
        <w:rPr>
          <w:color w:val="000000"/>
          <w:sz w:val="22"/>
          <w:szCs w:val="22"/>
        </w:rPr>
      </w:pPr>
    </w:p>
    <w:p w:rsidR="00C15B47" w:rsidRPr="00F552F0" w:rsidRDefault="004C3644">
      <w:pPr>
        <w:autoSpaceDE w:val="0"/>
        <w:autoSpaceDN w:val="0"/>
        <w:adjustRightInd w:val="0"/>
        <w:spacing w:line="440" w:lineRule="exact"/>
        <w:ind w:firstLine="720"/>
        <w:jc w:val="both"/>
        <w:rPr>
          <w:color w:val="000000"/>
          <w:sz w:val="22"/>
          <w:szCs w:val="22"/>
        </w:rPr>
      </w:pPr>
      <w:r w:rsidRPr="00F552F0">
        <w:rPr>
          <w:color w:val="000000"/>
          <w:sz w:val="22"/>
          <w:szCs w:val="22"/>
        </w:rPr>
        <w:t>[Table 6 about here]</w:t>
      </w:r>
    </w:p>
    <w:p w:rsidR="00C15B47" w:rsidRPr="00F552F0" w:rsidRDefault="00C15B47">
      <w:pPr>
        <w:autoSpaceDE w:val="0"/>
        <w:autoSpaceDN w:val="0"/>
        <w:adjustRightInd w:val="0"/>
        <w:spacing w:line="440" w:lineRule="exact"/>
        <w:ind w:firstLine="720"/>
        <w:jc w:val="both"/>
        <w:rPr>
          <w:color w:val="000000"/>
          <w:sz w:val="22"/>
          <w:szCs w:val="22"/>
        </w:rPr>
      </w:pPr>
    </w:p>
    <w:p w:rsidR="004C3644" w:rsidRPr="00F552F0" w:rsidRDefault="004C3644">
      <w:pPr>
        <w:autoSpaceDE w:val="0"/>
        <w:autoSpaceDN w:val="0"/>
        <w:adjustRightInd w:val="0"/>
        <w:spacing w:line="440" w:lineRule="exact"/>
        <w:ind w:firstLine="720"/>
        <w:jc w:val="both"/>
        <w:rPr>
          <w:color w:val="000000"/>
          <w:sz w:val="22"/>
          <w:szCs w:val="22"/>
        </w:rPr>
      </w:pPr>
      <w:r w:rsidRPr="00F552F0">
        <w:rPr>
          <w:sz w:val="22"/>
          <w:szCs w:val="22"/>
        </w:rPr>
        <w:t>These resul</w:t>
      </w:r>
      <w:r w:rsidR="00C15B47" w:rsidRPr="00F552F0">
        <w:rPr>
          <w:sz w:val="22"/>
          <w:szCs w:val="22"/>
        </w:rPr>
        <w:t>ts are economically significant:</w:t>
      </w:r>
      <w:r w:rsidRPr="00F552F0">
        <w:rPr>
          <w:sz w:val="22"/>
          <w:szCs w:val="22"/>
        </w:rPr>
        <w:t xml:space="preserve"> one</w:t>
      </w:r>
      <w:r w:rsidR="0076000B" w:rsidRPr="00F552F0">
        <w:rPr>
          <w:sz w:val="22"/>
          <w:szCs w:val="22"/>
        </w:rPr>
        <w:t>-</w:t>
      </w:r>
      <w:r w:rsidRPr="00F552F0">
        <w:rPr>
          <w:sz w:val="22"/>
          <w:szCs w:val="22"/>
        </w:rPr>
        <w:t>standard</w:t>
      </w:r>
      <w:r w:rsidR="0076000B" w:rsidRPr="00F552F0">
        <w:rPr>
          <w:sz w:val="22"/>
          <w:szCs w:val="22"/>
        </w:rPr>
        <w:t>-</w:t>
      </w:r>
      <w:r w:rsidRPr="00F552F0">
        <w:rPr>
          <w:sz w:val="22"/>
          <w:szCs w:val="22"/>
        </w:rPr>
        <w:t>deviation higher family control corresponds to</w:t>
      </w:r>
      <w:r w:rsidR="00B942EC" w:rsidRPr="00F552F0">
        <w:rPr>
          <w:sz w:val="22"/>
          <w:szCs w:val="22"/>
        </w:rPr>
        <w:t xml:space="preserve"> a </w:t>
      </w:r>
      <w:r w:rsidRPr="00F552F0">
        <w:rPr>
          <w:sz w:val="22"/>
          <w:szCs w:val="22"/>
        </w:rPr>
        <w:t xml:space="preserve">GDP per capita growth </w:t>
      </w:r>
      <w:r w:rsidR="00B942EC" w:rsidRPr="00F552F0">
        <w:rPr>
          <w:sz w:val="22"/>
          <w:szCs w:val="22"/>
        </w:rPr>
        <w:t>rate lower by 53% of the sample mean (</w:t>
      </w:r>
      <w:r w:rsidRPr="00F552F0">
        <w:rPr>
          <w:sz w:val="22"/>
          <w:szCs w:val="22"/>
        </w:rPr>
        <w:t>1.92%)</w:t>
      </w:r>
      <w:r w:rsidR="007C3E8D" w:rsidRPr="00F552F0">
        <w:rPr>
          <w:color w:val="000000"/>
          <w:sz w:val="22"/>
          <w:szCs w:val="22"/>
        </w:rPr>
        <w:t xml:space="preserve">. </w:t>
      </w:r>
      <w:r w:rsidR="00C15B47" w:rsidRPr="00F552F0">
        <w:rPr>
          <w:color w:val="000000"/>
          <w:sz w:val="22"/>
          <w:szCs w:val="22"/>
        </w:rPr>
        <w:t>They also survive a substantial battery of robustness checks, described below.</w:t>
      </w:r>
      <w:r w:rsidR="00364C39" w:rsidRPr="00F552F0">
        <w:rPr>
          <w:color w:val="000000"/>
          <w:sz w:val="22"/>
          <w:szCs w:val="22"/>
        </w:rPr>
        <w:t xml:space="preserve"> </w:t>
      </w:r>
      <w:r w:rsidR="003A0B0F" w:rsidRPr="00F552F0">
        <w:rPr>
          <w:color w:val="000000"/>
          <w:sz w:val="22"/>
          <w:szCs w:val="22"/>
        </w:rPr>
        <w:t>I</w:t>
      </w:r>
      <w:r w:rsidR="00E65AB0" w:rsidRPr="00F552F0">
        <w:rPr>
          <w:color w:val="000000"/>
          <w:sz w:val="22"/>
          <w:szCs w:val="22"/>
        </w:rPr>
        <w:t xml:space="preserve">n summary, Table </w:t>
      </w:r>
      <w:r w:rsidR="00AA25FD" w:rsidRPr="00F552F0">
        <w:rPr>
          <w:color w:val="000000"/>
          <w:sz w:val="22"/>
          <w:szCs w:val="22"/>
        </w:rPr>
        <w:t>6</w:t>
      </w:r>
      <w:r w:rsidR="00E65AB0" w:rsidRPr="00F552F0">
        <w:rPr>
          <w:color w:val="000000"/>
          <w:sz w:val="22"/>
          <w:szCs w:val="22"/>
        </w:rPr>
        <w:t xml:space="preserve"> shows </w:t>
      </w:r>
      <w:r w:rsidR="003A0B0F" w:rsidRPr="00F552F0">
        <w:rPr>
          <w:color w:val="000000"/>
          <w:sz w:val="22"/>
          <w:szCs w:val="22"/>
        </w:rPr>
        <w:t xml:space="preserve">slower </w:t>
      </w:r>
      <w:r w:rsidR="00E65AB0" w:rsidRPr="00F552F0">
        <w:rPr>
          <w:color w:val="000000"/>
          <w:sz w:val="22"/>
          <w:szCs w:val="22"/>
        </w:rPr>
        <w:t xml:space="preserve">economic growth in countries with more </w:t>
      </w:r>
      <w:r w:rsidR="003E748D" w:rsidRPr="00F552F0">
        <w:rPr>
          <w:color w:val="000000"/>
          <w:sz w:val="22"/>
          <w:szCs w:val="22"/>
        </w:rPr>
        <w:t>predominantly family</w:t>
      </w:r>
      <w:r w:rsidR="00C26254" w:rsidRPr="00F552F0">
        <w:rPr>
          <w:color w:val="000000"/>
          <w:sz w:val="22"/>
          <w:szCs w:val="22"/>
        </w:rPr>
        <w:t>-controlled</w:t>
      </w:r>
      <w:r w:rsidR="003E748D" w:rsidRPr="00F552F0">
        <w:rPr>
          <w:color w:val="000000"/>
          <w:sz w:val="22"/>
          <w:szCs w:val="22"/>
        </w:rPr>
        <w:t xml:space="preserve"> banking systems</w:t>
      </w:r>
      <w:r w:rsidR="00E65AB0" w:rsidRPr="00F552F0">
        <w:rPr>
          <w:color w:val="000000"/>
          <w:sz w:val="22"/>
          <w:szCs w:val="22"/>
        </w:rPr>
        <w:t xml:space="preserve">. </w:t>
      </w:r>
    </w:p>
    <w:p w:rsidR="001D2881" w:rsidRPr="00F552F0" w:rsidRDefault="001D2881">
      <w:pPr>
        <w:autoSpaceDE w:val="0"/>
        <w:autoSpaceDN w:val="0"/>
        <w:adjustRightInd w:val="0"/>
        <w:spacing w:line="440" w:lineRule="exact"/>
        <w:ind w:firstLine="720"/>
        <w:jc w:val="both"/>
        <w:rPr>
          <w:color w:val="000000"/>
          <w:sz w:val="22"/>
          <w:szCs w:val="22"/>
        </w:rPr>
      </w:pPr>
    </w:p>
    <w:p w:rsidR="0091605A" w:rsidRPr="00F552F0" w:rsidRDefault="003D5871" w:rsidP="001D2881">
      <w:pPr>
        <w:keepNext/>
        <w:spacing w:line="440" w:lineRule="exact"/>
        <w:jc w:val="both"/>
        <w:rPr>
          <w:i/>
          <w:sz w:val="28"/>
        </w:rPr>
      </w:pPr>
      <w:r w:rsidRPr="00F552F0">
        <w:rPr>
          <w:i/>
          <w:sz w:val="28"/>
        </w:rPr>
        <w:t>3.3.</w:t>
      </w:r>
      <w:r w:rsidRPr="00F552F0">
        <w:rPr>
          <w:i/>
          <w:sz w:val="28"/>
        </w:rPr>
        <w:tab/>
        <w:t>Robustness</w:t>
      </w:r>
    </w:p>
    <w:p w:rsidR="00E21501" w:rsidRPr="00F552F0" w:rsidRDefault="00CE33E7">
      <w:pPr>
        <w:spacing w:line="440" w:lineRule="exact"/>
        <w:ind w:firstLine="720"/>
        <w:jc w:val="both"/>
        <w:rPr>
          <w:sz w:val="22"/>
          <w:szCs w:val="22"/>
        </w:rPr>
      </w:pPr>
      <w:r w:rsidRPr="00F552F0">
        <w:rPr>
          <w:sz w:val="22"/>
          <w:szCs w:val="22"/>
        </w:rPr>
        <w:t xml:space="preserve">Our main </w:t>
      </w:r>
      <w:r w:rsidR="002641EB" w:rsidRPr="00F552F0">
        <w:rPr>
          <w:sz w:val="22"/>
          <w:szCs w:val="22"/>
        </w:rPr>
        <w:t>results</w:t>
      </w:r>
      <w:r w:rsidR="0047336F" w:rsidRPr="00F552F0">
        <w:rPr>
          <w:sz w:val="22"/>
          <w:szCs w:val="22"/>
        </w:rPr>
        <w:t xml:space="preserve"> (Tables 5</w:t>
      </w:r>
      <w:r w:rsidR="00334AC5" w:rsidRPr="00F552F0">
        <w:rPr>
          <w:sz w:val="22"/>
          <w:szCs w:val="22"/>
        </w:rPr>
        <w:t xml:space="preserve"> and</w:t>
      </w:r>
      <w:r w:rsidR="0047336F" w:rsidRPr="00F552F0">
        <w:rPr>
          <w:sz w:val="22"/>
          <w:szCs w:val="22"/>
        </w:rPr>
        <w:t xml:space="preserve"> 6)</w:t>
      </w:r>
      <w:r w:rsidR="002641EB" w:rsidRPr="00F552F0">
        <w:rPr>
          <w:sz w:val="22"/>
          <w:szCs w:val="22"/>
        </w:rPr>
        <w:t xml:space="preserve"> pass a wide battery of robustness checks</w:t>
      </w:r>
      <w:r w:rsidR="007B0A24" w:rsidRPr="00F552F0">
        <w:rPr>
          <w:sz w:val="22"/>
          <w:szCs w:val="22"/>
        </w:rPr>
        <w:t>, in that alternative approaches to estimation generate qualitatively</w:t>
      </w:r>
      <w:r w:rsidRPr="00F552F0">
        <w:rPr>
          <w:sz w:val="22"/>
          <w:szCs w:val="22"/>
        </w:rPr>
        <w:t xml:space="preserve"> </w:t>
      </w:r>
      <w:r w:rsidR="007B0A24" w:rsidRPr="00F552F0">
        <w:rPr>
          <w:sz w:val="22"/>
          <w:szCs w:val="22"/>
        </w:rPr>
        <w:t xml:space="preserve">similar results, by </w:t>
      </w:r>
      <w:r w:rsidR="006129FD" w:rsidRPr="00F552F0">
        <w:rPr>
          <w:sz w:val="22"/>
          <w:szCs w:val="22"/>
        </w:rPr>
        <w:t>which we mean the bank</w:t>
      </w:r>
      <w:r w:rsidR="007B0A24" w:rsidRPr="00F552F0">
        <w:rPr>
          <w:sz w:val="22"/>
          <w:szCs w:val="22"/>
        </w:rPr>
        <w:t xml:space="preserve"> control</w:t>
      </w:r>
      <w:r w:rsidR="006129FD" w:rsidRPr="00F552F0">
        <w:rPr>
          <w:sz w:val="22"/>
          <w:szCs w:val="22"/>
        </w:rPr>
        <w:t xml:space="preserve"> structure</w:t>
      </w:r>
      <w:r w:rsidR="007B0A24" w:rsidRPr="00F552F0">
        <w:rPr>
          <w:sz w:val="22"/>
          <w:szCs w:val="22"/>
        </w:rPr>
        <w:t xml:space="preserve"> measures attract the same patterns of signs and significance as in the tables. </w:t>
      </w:r>
      <w:r w:rsidR="00F24A15" w:rsidRPr="00F552F0">
        <w:rPr>
          <w:sz w:val="22"/>
          <w:szCs w:val="22"/>
        </w:rPr>
        <w:t>Where this is not so</w:t>
      </w:r>
      <w:r w:rsidR="00F27477" w:rsidRPr="00F552F0">
        <w:rPr>
          <w:sz w:val="22"/>
          <w:szCs w:val="22"/>
        </w:rPr>
        <w:t xml:space="preserve">, we describe how the </w:t>
      </w:r>
      <w:r w:rsidR="00F24A15" w:rsidRPr="00F552F0">
        <w:rPr>
          <w:sz w:val="22"/>
          <w:szCs w:val="22"/>
        </w:rPr>
        <w:t xml:space="preserve">robustness checks’ </w:t>
      </w:r>
      <w:r w:rsidR="00F27477" w:rsidRPr="00F552F0">
        <w:rPr>
          <w:sz w:val="22"/>
          <w:szCs w:val="22"/>
        </w:rPr>
        <w:t>results differ</w:t>
      </w:r>
      <w:r w:rsidR="00F24A15" w:rsidRPr="00F552F0">
        <w:rPr>
          <w:sz w:val="22"/>
          <w:szCs w:val="22"/>
        </w:rPr>
        <w:t xml:space="preserve"> from those shown in the tables</w:t>
      </w:r>
      <w:r w:rsidR="00F27477" w:rsidRPr="00F552F0">
        <w:rPr>
          <w:sz w:val="22"/>
          <w:szCs w:val="22"/>
        </w:rPr>
        <w:t>.</w:t>
      </w:r>
      <w:r w:rsidR="00DF3F41" w:rsidRPr="00F552F0">
        <w:rPr>
          <w:sz w:val="22"/>
          <w:szCs w:val="22"/>
        </w:rPr>
        <w:t xml:space="preserve"> </w:t>
      </w:r>
      <w:r w:rsidR="00F24A15" w:rsidRPr="00F552F0">
        <w:rPr>
          <w:sz w:val="22"/>
          <w:szCs w:val="22"/>
        </w:rPr>
        <w:t xml:space="preserve">The relationships between </w:t>
      </w:r>
      <w:r w:rsidR="00130D7D" w:rsidRPr="00F552F0">
        <w:rPr>
          <w:sz w:val="22"/>
          <w:szCs w:val="22"/>
        </w:rPr>
        <w:t>bank control measures</w:t>
      </w:r>
      <w:r w:rsidR="00F24A15" w:rsidRPr="00F552F0">
        <w:rPr>
          <w:sz w:val="22"/>
          <w:szCs w:val="22"/>
        </w:rPr>
        <w:t xml:space="preserve"> and our banking crises count that includes 2008 is only marginally significant in the tables</w:t>
      </w:r>
      <w:r w:rsidR="006C6A25" w:rsidRPr="00F552F0">
        <w:rPr>
          <w:sz w:val="22"/>
          <w:szCs w:val="22"/>
        </w:rPr>
        <w:t>, so</w:t>
      </w:r>
      <w:r w:rsidR="00C42412" w:rsidRPr="00F552F0">
        <w:rPr>
          <w:sz w:val="22"/>
          <w:szCs w:val="22"/>
        </w:rPr>
        <w:t xml:space="preserve"> </w:t>
      </w:r>
      <w:r w:rsidR="00F24A15" w:rsidRPr="00F552F0">
        <w:rPr>
          <w:sz w:val="22"/>
          <w:szCs w:val="22"/>
        </w:rPr>
        <w:t xml:space="preserve">we do not consider </w:t>
      </w:r>
      <w:r w:rsidR="006C6A25" w:rsidRPr="00F552F0">
        <w:rPr>
          <w:sz w:val="22"/>
          <w:szCs w:val="22"/>
        </w:rPr>
        <w:t>it</w:t>
      </w:r>
      <w:r w:rsidR="00F24A15" w:rsidRPr="00F552F0">
        <w:rPr>
          <w:sz w:val="22"/>
          <w:szCs w:val="22"/>
        </w:rPr>
        <w:t xml:space="preserve"> in the robustness tests</w:t>
      </w:r>
      <w:r w:rsidR="007C3E8D" w:rsidRPr="00F552F0">
        <w:rPr>
          <w:sz w:val="22"/>
          <w:szCs w:val="22"/>
        </w:rPr>
        <w:t xml:space="preserve">. </w:t>
      </w:r>
    </w:p>
    <w:p w:rsidR="000E57A1" w:rsidRPr="00F552F0" w:rsidRDefault="000E57A1" w:rsidP="0091605A">
      <w:pPr>
        <w:spacing w:line="440" w:lineRule="exact"/>
        <w:jc w:val="both"/>
        <w:rPr>
          <w:sz w:val="22"/>
          <w:szCs w:val="22"/>
        </w:rPr>
      </w:pPr>
    </w:p>
    <w:p w:rsidR="00967312" w:rsidRPr="00F552F0" w:rsidRDefault="003D5871" w:rsidP="0091605A">
      <w:pPr>
        <w:spacing w:line="440" w:lineRule="exact"/>
        <w:jc w:val="both"/>
        <w:rPr>
          <w:i/>
        </w:rPr>
      </w:pPr>
      <w:r w:rsidRPr="00F552F0">
        <w:rPr>
          <w:i/>
        </w:rPr>
        <w:t>3.3.1.</w:t>
      </w:r>
      <w:r w:rsidRPr="00F552F0">
        <w:rPr>
          <w:i/>
        </w:rPr>
        <w:tab/>
        <w:t>Simple statistical robustness</w:t>
      </w:r>
    </w:p>
    <w:p w:rsidR="00E21501" w:rsidRPr="00F552F0" w:rsidRDefault="00E93B48">
      <w:pPr>
        <w:spacing w:line="440" w:lineRule="exact"/>
        <w:ind w:firstLine="720"/>
        <w:jc w:val="both"/>
        <w:rPr>
          <w:sz w:val="22"/>
          <w:szCs w:val="22"/>
        </w:rPr>
      </w:pPr>
      <w:r w:rsidRPr="00F552F0">
        <w:rPr>
          <w:sz w:val="22"/>
          <w:szCs w:val="22"/>
        </w:rPr>
        <w:t>Our</w:t>
      </w:r>
      <w:r w:rsidR="002641EB" w:rsidRPr="00F552F0">
        <w:rPr>
          <w:sz w:val="22"/>
          <w:szCs w:val="22"/>
        </w:rPr>
        <w:t xml:space="preserve"> results are </w:t>
      </w:r>
      <w:r w:rsidRPr="00F552F0">
        <w:rPr>
          <w:sz w:val="22"/>
          <w:szCs w:val="22"/>
        </w:rPr>
        <w:t xml:space="preserve">unlikely to be </w:t>
      </w:r>
      <w:r w:rsidR="007C3E8D" w:rsidRPr="00F552F0">
        <w:rPr>
          <w:sz w:val="22"/>
          <w:szCs w:val="22"/>
        </w:rPr>
        <w:t xml:space="preserve">driven by outliers. </w:t>
      </w:r>
      <w:r w:rsidR="002641EB" w:rsidRPr="00F552F0">
        <w:rPr>
          <w:sz w:val="22"/>
          <w:szCs w:val="22"/>
        </w:rPr>
        <w:t xml:space="preserve">We check this using an iterative reweighted least squares algorithm that successively deemphasizes observations farther from the trend line until converging. </w:t>
      </w:r>
      <w:r w:rsidRPr="00F552F0">
        <w:rPr>
          <w:sz w:val="22"/>
          <w:szCs w:val="22"/>
        </w:rPr>
        <w:t>Th</w:t>
      </w:r>
      <w:r w:rsidR="00B942EC" w:rsidRPr="00F552F0">
        <w:rPr>
          <w:sz w:val="22"/>
          <w:szCs w:val="22"/>
        </w:rPr>
        <w:t>is</w:t>
      </w:r>
      <w:r w:rsidRPr="00F552F0">
        <w:rPr>
          <w:sz w:val="22"/>
          <w:szCs w:val="22"/>
        </w:rPr>
        <w:t xml:space="preserve"> algorithm </w:t>
      </w:r>
      <w:r w:rsidR="00B942EC" w:rsidRPr="00F552F0">
        <w:rPr>
          <w:sz w:val="22"/>
          <w:szCs w:val="22"/>
        </w:rPr>
        <w:t>cannot be applied to the Poisson regressions</w:t>
      </w:r>
      <w:r w:rsidRPr="00F552F0">
        <w:rPr>
          <w:sz w:val="22"/>
          <w:szCs w:val="22"/>
        </w:rPr>
        <w:t xml:space="preserve"> explaining the number of bank crises</w:t>
      </w:r>
      <w:r w:rsidR="00B942EC" w:rsidRPr="00F552F0">
        <w:rPr>
          <w:sz w:val="22"/>
          <w:szCs w:val="22"/>
        </w:rPr>
        <w:t>; but converges in all other cases</w:t>
      </w:r>
      <w:r w:rsidRPr="00F552F0">
        <w:rPr>
          <w:sz w:val="22"/>
          <w:szCs w:val="22"/>
        </w:rPr>
        <w:t xml:space="preserve">. </w:t>
      </w:r>
      <w:r w:rsidR="002641EB" w:rsidRPr="00F552F0">
        <w:rPr>
          <w:sz w:val="22"/>
          <w:szCs w:val="22"/>
        </w:rPr>
        <w:t xml:space="preserve">This exercise leads to a much stronger negative </w:t>
      </w:r>
      <w:r w:rsidR="00D10589" w:rsidRPr="00F552F0">
        <w:rPr>
          <w:sz w:val="22"/>
          <w:szCs w:val="22"/>
        </w:rPr>
        <w:t>correlation</w:t>
      </w:r>
      <w:r w:rsidR="002641EB" w:rsidRPr="00F552F0">
        <w:rPr>
          <w:sz w:val="22"/>
          <w:szCs w:val="22"/>
        </w:rPr>
        <w:t xml:space="preserve"> of family control </w:t>
      </w:r>
      <w:r w:rsidR="00593DCE" w:rsidRPr="00F552F0">
        <w:rPr>
          <w:sz w:val="22"/>
          <w:szCs w:val="22"/>
        </w:rPr>
        <w:t>with</w:t>
      </w:r>
      <w:r w:rsidR="002641EB" w:rsidRPr="00F552F0">
        <w:rPr>
          <w:sz w:val="22"/>
          <w:szCs w:val="22"/>
        </w:rPr>
        <w:t xml:space="preserve"> capital accumulation (</w:t>
      </w:r>
      <w:r w:rsidR="002641EB" w:rsidRPr="00F552F0">
        <w:rPr>
          <w:i/>
          <w:sz w:val="22"/>
          <w:szCs w:val="22"/>
        </w:rPr>
        <w:t>p</w:t>
      </w:r>
      <w:r w:rsidR="00CE09A0" w:rsidRPr="00F552F0">
        <w:rPr>
          <w:sz w:val="22"/>
          <w:szCs w:val="22"/>
        </w:rPr>
        <w:t>=</w:t>
      </w:r>
      <w:r w:rsidR="002641EB" w:rsidRPr="00F552F0">
        <w:rPr>
          <w:sz w:val="22"/>
          <w:szCs w:val="22"/>
        </w:rPr>
        <w:t xml:space="preserve">0.02); and </w:t>
      </w:r>
      <w:r w:rsidR="007B0A24" w:rsidRPr="00F552F0">
        <w:rPr>
          <w:sz w:val="22"/>
          <w:szCs w:val="22"/>
        </w:rPr>
        <w:t xml:space="preserve">also </w:t>
      </w:r>
      <w:r w:rsidR="002641EB" w:rsidRPr="00F552F0">
        <w:rPr>
          <w:sz w:val="22"/>
          <w:szCs w:val="22"/>
        </w:rPr>
        <w:t xml:space="preserve">renders </w:t>
      </w:r>
      <w:r w:rsidR="00593DCE" w:rsidRPr="00F552F0">
        <w:rPr>
          <w:sz w:val="22"/>
          <w:szCs w:val="22"/>
        </w:rPr>
        <w:t xml:space="preserve">more </w:t>
      </w:r>
      <w:r w:rsidR="002641EB" w:rsidRPr="00F552F0">
        <w:rPr>
          <w:sz w:val="22"/>
          <w:szCs w:val="22"/>
        </w:rPr>
        <w:t xml:space="preserve">state-controlled banking </w:t>
      </w:r>
      <w:r w:rsidR="00593DCE" w:rsidRPr="00F552F0">
        <w:rPr>
          <w:sz w:val="22"/>
          <w:szCs w:val="22"/>
        </w:rPr>
        <w:t>significantly correlated with higher growth</w:t>
      </w:r>
      <w:r w:rsidR="0076000B" w:rsidRPr="00F552F0">
        <w:rPr>
          <w:sz w:val="22"/>
          <w:szCs w:val="22"/>
        </w:rPr>
        <w:t>-</w:t>
      </w:r>
      <w:r w:rsidR="00593DCE" w:rsidRPr="00F552F0">
        <w:rPr>
          <w:sz w:val="22"/>
          <w:szCs w:val="22"/>
        </w:rPr>
        <w:t>rate volatility</w:t>
      </w:r>
      <w:r w:rsidR="00E269EA" w:rsidRPr="00F552F0">
        <w:rPr>
          <w:sz w:val="22"/>
          <w:szCs w:val="22"/>
        </w:rPr>
        <w:t xml:space="preserve"> and its interaction with </w:t>
      </w:r>
      <w:r w:rsidR="00F63001" w:rsidRPr="00F552F0">
        <w:rPr>
          <w:sz w:val="22"/>
          <w:szCs w:val="22"/>
        </w:rPr>
        <w:t xml:space="preserve">external </w:t>
      </w:r>
      <w:r w:rsidR="00663428" w:rsidRPr="00F552F0">
        <w:rPr>
          <w:sz w:val="22"/>
          <w:szCs w:val="22"/>
        </w:rPr>
        <w:t>dependence</w:t>
      </w:r>
      <w:r w:rsidR="00E269EA" w:rsidRPr="00F552F0">
        <w:rPr>
          <w:sz w:val="22"/>
          <w:szCs w:val="22"/>
        </w:rPr>
        <w:t xml:space="preserve"> </w:t>
      </w:r>
      <w:r w:rsidR="00E04739" w:rsidRPr="00F552F0">
        <w:rPr>
          <w:sz w:val="22"/>
          <w:szCs w:val="22"/>
        </w:rPr>
        <w:t xml:space="preserve">is now </w:t>
      </w:r>
      <w:r w:rsidR="00E269EA" w:rsidRPr="00F552F0">
        <w:rPr>
          <w:sz w:val="22"/>
          <w:szCs w:val="22"/>
        </w:rPr>
        <w:t>negatively correlated with value</w:t>
      </w:r>
      <w:r w:rsidR="0076000B" w:rsidRPr="00F552F0">
        <w:rPr>
          <w:sz w:val="22"/>
          <w:szCs w:val="22"/>
        </w:rPr>
        <w:t>-</w:t>
      </w:r>
      <w:r w:rsidR="00E269EA" w:rsidRPr="00F552F0">
        <w:rPr>
          <w:sz w:val="22"/>
          <w:szCs w:val="22"/>
        </w:rPr>
        <w:t>added growth</w:t>
      </w:r>
      <w:r w:rsidR="00593DCE" w:rsidRPr="00F552F0">
        <w:rPr>
          <w:sz w:val="22"/>
          <w:szCs w:val="22"/>
        </w:rPr>
        <w:t xml:space="preserve">. </w:t>
      </w:r>
      <w:r w:rsidR="00392DB6" w:rsidRPr="00F552F0">
        <w:rPr>
          <w:sz w:val="22"/>
          <w:szCs w:val="22"/>
        </w:rPr>
        <w:t>Widely held</w:t>
      </w:r>
      <w:r w:rsidR="002641EB" w:rsidRPr="00F552F0">
        <w:rPr>
          <w:sz w:val="22"/>
          <w:szCs w:val="22"/>
        </w:rPr>
        <w:t xml:space="preserve"> banking systems are revealed</w:t>
      </w:r>
      <w:r w:rsidR="00B5368D" w:rsidRPr="00F552F0">
        <w:rPr>
          <w:sz w:val="22"/>
          <w:szCs w:val="22"/>
        </w:rPr>
        <w:t xml:space="preserve"> </w:t>
      </w:r>
      <w:r w:rsidR="002641EB" w:rsidRPr="00F552F0">
        <w:rPr>
          <w:sz w:val="22"/>
          <w:szCs w:val="22"/>
        </w:rPr>
        <w:t>dampen</w:t>
      </w:r>
      <w:r w:rsidR="007B0A24" w:rsidRPr="00F552F0">
        <w:rPr>
          <w:sz w:val="22"/>
          <w:szCs w:val="22"/>
        </w:rPr>
        <w:t>ing</w:t>
      </w:r>
      <w:r w:rsidR="002641EB" w:rsidRPr="00F552F0">
        <w:rPr>
          <w:sz w:val="22"/>
          <w:szCs w:val="22"/>
        </w:rPr>
        <w:t xml:space="preserve"> growth</w:t>
      </w:r>
      <w:r w:rsidR="0076000B" w:rsidRPr="00F552F0">
        <w:rPr>
          <w:sz w:val="22"/>
          <w:szCs w:val="22"/>
        </w:rPr>
        <w:t>-</w:t>
      </w:r>
      <w:r w:rsidR="002641EB" w:rsidRPr="00F552F0">
        <w:rPr>
          <w:sz w:val="22"/>
          <w:szCs w:val="22"/>
        </w:rPr>
        <w:t>rate volatility</w:t>
      </w:r>
      <w:r w:rsidR="00440A27" w:rsidRPr="00F552F0">
        <w:rPr>
          <w:sz w:val="22"/>
          <w:szCs w:val="22"/>
        </w:rPr>
        <w:t xml:space="preserve"> and improving capital accumulation</w:t>
      </w:r>
      <w:r w:rsidR="002641EB" w:rsidRPr="00F552F0">
        <w:rPr>
          <w:sz w:val="22"/>
          <w:szCs w:val="22"/>
        </w:rPr>
        <w:t xml:space="preserve">. </w:t>
      </w:r>
      <w:r w:rsidR="007B0A24" w:rsidRPr="00F552F0">
        <w:rPr>
          <w:sz w:val="22"/>
          <w:szCs w:val="22"/>
        </w:rPr>
        <w:t xml:space="preserve">In all other regressions, controlling for outliers in this way </w:t>
      </w:r>
      <w:r w:rsidRPr="00F552F0">
        <w:rPr>
          <w:sz w:val="22"/>
          <w:szCs w:val="22"/>
        </w:rPr>
        <w:t>yields qualitatively similar results</w:t>
      </w:r>
      <w:r w:rsidR="00D10589" w:rsidRPr="00F552F0">
        <w:rPr>
          <w:sz w:val="22"/>
          <w:szCs w:val="22"/>
        </w:rPr>
        <w:t xml:space="preserve">. </w:t>
      </w:r>
    </w:p>
    <w:p w:rsidR="000E57A1" w:rsidRPr="00F552F0" w:rsidRDefault="000E57A1" w:rsidP="00387E94">
      <w:pPr>
        <w:autoSpaceDE w:val="0"/>
        <w:autoSpaceDN w:val="0"/>
        <w:adjustRightInd w:val="0"/>
        <w:spacing w:line="440" w:lineRule="exact"/>
        <w:ind w:firstLine="720"/>
        <w:jc w:val="both"/>
        <w:rPr>
          <w:sz w:val="22"/>
          <w:szCs w:val="22"/>
        </w:rPr>
      </w:pPr>
      <w:r w:rsidRPr="00F552F0">
        <w:rPr>
          <w:sz w:val="22"/>
          <w:szCs w:val="22"/>
        </w:rPr>
        <w:t xml:space="preserve">The statistical tests in all our regressions employ </w:t>
      </w:r>
      <w:proofErr w:type="spellStart"/>
      <w:r w:rsidRPr="00F552F0">
        <w:rPr>
          <w:sz w:val="22"/>
          <w:szCs w:val="22"/>
        </w:rPr>
        <w:t>heteroskedasticity</w:t>
      </w:r>
      <w:proofErr w:type="spellEnd"/>
      <w:r w:rsidRPr="00F552F0">
        <w:rPr>
          <w:sz w:val="22"/>
          <w:szCs w:val="22"/>
        </w:rPr>
        <w:t>-consistent standard errors. Using standard</w:t>
      </w:r>
      <w:r w:rsidR="004212B2" w:rsidRPr="00F552F0">
        <w:rPr>
          <w:sz w:val="22"/>
          <w:szCs w:val="22"/>
        </w:rPr>
        <w:t xml:space="preserve"> ordinary-least-squares</w:t>
      </w:r>
      <w:r w:rsidRPr="00F552F0">
        <w:rPr>
          <w:sz w:val="22"/>
          <w:szCs w:val="22"/>
        </w:rPr>
        <w:t xml:space="preserve"> regression </w:t>
      </w:r>
      <w:r w:rsidR="00BF6193" w:rsidRPr="00F552F0">
        <w:rPr>
          <w:i/>
          <w:sz w:val="22"/>
          <w:szCs w:val="22"/>
        </w:rPr>
        <w:t>t</w:t>
      </w:r>
      <w:r w:rsidRPr="00F552F0">
        <w:rPr>
          <w:sz w:val="22"/>
          <w:szCs w:val="22"/>
        </w:rPr>
        <w:t>-tests generates qualitatively similar results</w:t>
      </w:r>
      <w:r w:rsidR="004212B2" w:rsidRPr="00F552F0">
        <w:rPr>
          <w:sz w:val="22"/>
          <w:szCs w:val="22"/>
        </w:rPr>
        <w:t>,</w:t>
      </w:r>
      <w:r w:rsidRPr="00F552F0">
        <w:rPr>
          <w:sz w:val="22"/>
          <w:szCs w:val="22"/>
        </w:rPr>
        <w:t xml:space="preserve"> except for the capital allocation efficiency measure based on 1993 to 2003 data. In the analysis of interaction between bank control and growth of externally dependent industries, clustering error terms within countries or industries provides qualitatively similar results.  </w:t>
      </w:r>
    </w:p>
    <w:p w:rsidR="000E57A1" w:rsidRPr="00F552F0" w:rsidRDefault="000E57A1" w:rsidP="000E57A1">
      <w:pPr>
        <w:autoSpaceDE w:val="0"/>
        <w:autoSpaceDN w:val="0"/>
        <w:adjustRightInd w:val="0"/>
        <w:spacing w:line="440" w:lineRule="exact"/>
        <w:ind w:firstLine="720"/>
        <w:jc w:val="both"/>
        <w:rPr>
          <w:sz w:val="22"/>
          <w:szCs w:val="22"/>
        </w:rPr>
      </w:pPr>
      <w:r w:rsidRPr="00F552F0">
        <w:rPr>
          <w:sz w:val="22"/>
          <w:szCs w:val="22"/>
        </w:rPr>
        <w:t xml:space="preserve">Our capital allocation efficiency measures, </w:t>
      </w:r>
      <w:proofErr w:type="spellStart"/>
      <w:r w:rsidRPr="00F552F0">
        <w:rPr>
          <w:sz w:val="22"/>
          <w:szCs w:val="22"/>
        </w:rPr>
        <w:t>Wurgler’s</w:t>
      </w:r>
      <w:proofErr w:type="spellEnd"/>
      <w:r w:rsidRPr="00F552F0">
        <w:rPr>
          <w:sz w:val="22"/>
          <w:szCs w:val="22"/>
        </w:rPr>
        <w:t xml:space="preserve"> (2000) </w:t>
      </w:r>
      <w:proofErr w:type="spellStart"/>
      <w:r w:rsidRPr="00F552F0">
        <w:rPr>
          <w:sz w:val="22"/>
          <w:szCs w:val="22"/>
        </w:rPr>
        <w:t>elasticities</w:t>
      </w:r>
      <w:proofErr w:type="spellEnd"/>
      <w:r w:rsidRPr="00F552F0">
        <w:rPr>
          <w:sz w:val="22"/>
          <w:szCs w:val="22"/>
        </w:rPr>
        <w:t>, are estimated, not observed. We therefore rerun regressions using these variables weighting observations by the inverses of the standard errors of our elasticity estimates. These weighted</w:t>
      </w:r>
      <w:r w:rsidR="004212B2" w:rsidRPr="00F552F0">
        <w:rPr>
          <w:sz w:val="22"/>
          <w:szCs w:val="22"/>
        </w:rPr>
        <w:t>-</w:t>
      </w:r>
      <w:r w:rsidRPr="00F552F0">
        <w:rPr>
          <w:sz w:val="22"/>
          <w:szCs w:val="22"/>
        </w:rPr>
        <w:t>least</w:t>
      </w:r>
      <w:r w:rsidR="004212B2" w:rsidRPr="00F552F0">
        <w:rPr>
          <w:sz w:val="22"/>
          <w:szCs w:val="22"/>
        </w:rPr>
        <w:t>-</w:t>
      </w:r>
      <w:r w:rsidRPr="00F552F0">
        <w:rPr>
          <w:sz w:val="22"/>
          <w:szCs w:val="22"/>
        </w:rPr>
        <w:t xml:space="preserve">squares regressions generate qualitatively similar results to those in the tables. </w:t>
      </w:r>
    </w:p>
    <w:p w:rsidR="000E57A1" w:rsidRPr="00F552F0" w:rsidRDefault="000E57A1" w:rsidP="00036CB4">
      <w:pPr>
        <w:autoSpaceDE w:val="0"/>
        <w:autoSpaceDN w:val="0"/>
        <w:adjustRightInd w:val="0"/>
        <w:spacing w:line="440" w:lineRule="exact"/>
        <w:jc w:val="both"/>
        <w:rPr>
          <w:sz w:val="22"/>
          <w:szCs w:val="22"/>
        </w:rPr>
      </w:pPr>
    </w:p>
    <w:p w:rsidR="00036CB4" w:rsidRPr="00F552F0" w:rsidRDefault="003D5871" w:rsidP="00230BB4">
      <w:pPr>
        <w:keepNext/>
        <w:widowControl w:val="0"/>
        <w:autoSpaceDE w:val="0"/>
        <w:autoSpaceDN w:val="0"/>
        <w:adjustRightInd w:val="0"/>
        <w:spacing w:line="440" w:lineRule="exact"/>
        <w:jc w:val="both"/>
        <w:rPr>
          <w:i/>
          <w:sz w:val="22"/>
          <w:szCs w:val="22"/>
        </w:rPr>
      </w:pPr>
      <w:r w:rsidRPr="00F552F0">
        <w:rPr>
          <w:i/>
          <w:szCs w:val="22"/>
        </w:rPr>
        <w:t>3.3.2.</w:t>
      </w:r>
      <w:r w:rsidRPr="00F552F0">
        <w:rPr>
          <w:i/>
          <w:szCs w:val="22"/>
        </w:rPr>
        <w:tab/>
        <w:t xml:space="preserve">Alternative banking system control structure indexes </w:t>
      </w:r>
    </w:p>
    <w:p w:rsidR="00E21501" w:rsidRPr="00F552F0" w:rsidRDefault="001C415F">
      <w:pPr>
        <w:spacing w:line="440" w:lineRule="exact"/>
        <w:ind w:firstLine="720"/>
        <w:jc w:val="both"/>
        <w:rPr>
          <w:color w:val="000000"/>
          <w:sz w:val="22"/>
          <w:szCs w:val="22"/>
        </w:rPr>
      </w:pPr>
      <w:r w:rsidRPr="00F552F0">
        <w:rPr>
          <w:color w:val="000000"/>
          <w:sz w:val="22"/>
          <w:szCs w:val="22"/>
          <w:lang w:val="it-IT"/>
        </w:rPr>
        <w:t xml:space="preserve">We follow La Porta </w:t>
      </w:r>
      <w:r w:rsidR="003D5871" w:rsidRPr="00F552F0">
        <w:rPr>
          <w:color w:val="000000"/>
          <w:sz w:val="22"/>
          <w:szCs w:val="22"/>
          <w:lang w:val="it-IT"/>
        </w:rPr>
        <w:t>et al.</w:t>
      </w:r>
      <w:r w:rsidRPr="00F552F0">
        <w:rPr>
          <w:color w:val="000000"/>
          <w:sz w:val="22"/>
          <w:szCs w:val="22"/>
          <w:lang w:val="it-IT"/>
        </w:rPr>
        <w:t xml:space="preserve"> </w:t>
      </w:r>
      <w:r w:rsidRPr="00F552F0">
        <w:rPr>
          <w:color w:val="000000"/>
          <w:sz w:val="22"/>
          <w:szCs w:val="22"/>
        </w:rPr>
        <w:t xml:space="preserve">(1999) and </w:t>
      </w:r>
      <w:proofErr w:type="spellStart"/>
      <w:r w:rsidRPr="00F552F0">
        <w:rPr>
          <w:color w:val="000000"/>
          <w:sz w:val="22"/>
          <w:szCs w:val="22"/>
        </w:rPr>
        <w:t>Caprio</w:t>
      </w:r>
      <w:proofErr w:type="spellEnd"/>
      <w:r w:rsidRPr="00F552F0">
        <w:rPr>
          <w:color w:val="000000"/>
          <w:sz w:val="22"/>
          <w:szCs w:val="22"/>
        </w:rPr>
        <w:t xml:space="preserve"> </w:t>
      </w:r>
      <w:r w:rsidR="003D5871" w:rsidRPr="00F552F0">
        <w:rPr>
          <w:color w:val="000000"/>
          <w:sz w:val="22"/>
          <w:szCs w:val="22"/>
        </w:rPr>
        <w:t>et al.</w:t>
      </w:r>
      <w:r w:rsidRPr="00F552F0">
        <w:rPr>
          <w:color w:val="000000"/>
          <w:sz w:val="22"/>
          <w:szCs w:val="22"/>
        </w:rPr>
        <w:t xml:space="preserve"> (2007) in presuming the largest equity voting block of 10% or more to confer control. Increasing this to 20%, and recalculating our bank control measures generates qualitatively similar results to those shown. </w:t>
      </w:r>
    </w:p>
    <w:p w:rsidR="001C415F" w:rsidRPr="00F552F0" w:rsidRDefault="001C415F" w:rsidP="001C415F">
      <w:pPr>
        <w:spacing w:line="440" w:lineRule="exact"/>
        <w:jc w:val="both"/>
        <w:rPr>
          <w:color w:val="000000"/>
          <w:sz w:val="22"/>
          <w:szCs w:val="22"/>
        </w:rPr>
      </w:pPr>
      <w:r w:rsidRPr="00F552F0">
        <w:rPr>
          <w:color w:val="000000"/>
          <w:sz w:val="22"/>
          <w:szCs w:val="22"/>
        </w:rPr>
        <w:tab/>
        <w:t xml:space="preserve">Another alternative construction of our bank control measures would use different weights. We calculate country-level bank control measures weighting banks by total net credit. Credit issued is a plausible gauge of the importance of a bank as a capital allocator; but others are </w:t>
      </w:r>
      <w:r w:rsidR="006A19BE" w:rsidRPr="00F552F0">
        <w:rPr>
          <w:color w:val="000000"/>
          <w:sz w:val="22"/>
          <w:szCs w:val="22"/>
        </w:rPr>
        <w:t xml:space="preserve">also </w:t>
      </w:r>
      <w:r w:rsidRPr="00F552F0">
        <w:rPr>
          <w:color w:val="000000"/>
          <w:sz w:val="22"/>
          <w:szCs w:val="22"/>
        </w:rPr>
        <w:t xml:space="preserve">possible. We therefore reweight banks by total assets and reconstruct our bank control measures. This generates </w:t>
      </w:r>
      <w:r w:rsidRPr="00F552F0">
        <w:rPr>
          <w:color w:val="000000"/>
          <w:sz w:val="22"/>
          <w:szCs w:val="22"/>
        </w:rPr>
        <w:lastRenderedPageBreak/>
        <w:t xml:space="preserve">qualitatively similar results to those shown, save that widely held banking systems now correlate negatively with growth volatility and lose significance in explaining capital allocation efficiency in the shorter window. </w:t>
      </w:r>
    </w:p>
    <w:p w:rsidR="001040B9" w:rsidRPr="00F552F0" w:rsidRDefault="00EB3337" w:rsidP="001C415F">
      <w:pPr>
        <w:spacing w:line="440" w:lineRule="exact"/>
        <w:ind w:firstLine="720"/>
        <w:jc w:val="both"/>
        <w:rPr>
          <w:sz w:val="22"/>
          <w:szCs w:val="22"/>
        </w:rPr>
      </w:pPr>
      <w:r w:rsidRPr="00F552F0">
        <w:rPr>
          <w:color w:val="000000"/>
          <w:sz w:val="22"/>
          <w:szCs w:val="22"/>
        </w:rPr>
        <w:t>We posit above that</w:t>
      </w:r>
      <w:r w:rsidR="006A19BE" w:rsidRPr="00F552F0">
        <w:rPr>
          <w:color w:val="000000"/>
          <w:sz w:val="22"/>
          <w:szCs w:val="22"/>
        </w:rPr>
        <w:t xml:space="preserve"> family controlled banking system </w:t>
      </w:r>
      <w:r w:rsidRPr="00F552F0">
        <w:rPr>
          <w:color w:val="000000"/>
          <w:sz w:val="22"/>
          <w:szCs w:val="22"/>
        </w:rPr>
        <w:t>might impede efficient capital allocation because th</w:t>
      </w:r>
      <w:r w:rsidR="006A19BE" w:rsidRPr="00F552F0">
        <w:rPr>
          <w:color w:val="000000"/>
          <w:sz w:val="22"/>
          <w:szCs w:val="22"/>
        </w:rPr>
        <w:t>e controlling</w:t>
      </w:r>
      <w:r w:rsidRPr="00F552F0">
        <w:rPr>
          <w:color w:val="000000"/>
          <w:sz w:val="22"/>
          <w:szCs w:val="22"/>
        </w:rPr>
        <w:t xml:space="preserve"> families might divert capital to </w:t>
      </w:r>
      <w:r w:rsidR="006A19BE" w:rsidRPr="00F552F0">
        <w:rPr>
          <w:color w:val="000000"/>
          <w:sz w:val="22"/>
          <w:szCs w:val="22"/>
        </w:rPr>
        <w:t>related</w:t>
      </w:r>
      <w:r w:rsidRPr="00F552F0">
        <w:rPr>
          <w:color w:val="000000"/>
          <w:sz w:val="22"/>
          <w:szCs w:val="22"/>
        </w:rPr>
        <w:t xml:space="preserve"> firms and away from upstarts and competitors. These problems could arise even if the families that control the banks do not control other firms, for Faccio (2006) and others reveal numerous connections between wealthy families. However, the</w:t>
      </w:r>
      <w:r w:rsidR="006A19BE" w:rsidRPr="00F552F0">
        <w:rPr>
          <w:color w:val="000000"/>
          <w:sz w:val="22"/>
          <w:szCs w:val="22"/>
        </w:rPr>
        <w:t xml:space="preserve"> inefficiency</w:t>
      </w:r>
      <w:r w:rsidRPr="00F552F0">
        <w:rPr>
          <w:color w:val="000000"/>
          <w:sz w:val="22"/>
          <w:szCs w:val="22"/>
        </w:rPr>
        <w:t xml:space="preserve"> may well be more serious where the families that control banks also control large nonfinancial corporations. The </w:t>
      </w:r>
      <w:proofErr w:type="spellStart"/>
      <w:r w:rsidR="003D5871" w:rsidRPr="00F552F0">
        <w:rPr>
          <w:color w:val="000000"/>
          <w:sz w:val="22"/>
          <w:szCs w:val="22"/>
        </w:rPr>
        <w:t>Orbis</w:t>
      </w:r>
      <w:proofErr w:type="spellEnd"/>
      <w:r w:rsidRPr="00F552F0">
        <w:rPr>
          <w:color w:val="000000"/>
          <w:sz w:val="22"/>
          <w:szCs w:val="22"/>
        </w:rPr>
        <w:t xml:space="preserve"> data</w:t>
      </w:r>
      <w:r w:rsidR="004212B2" w:rsidRPr="00F552F0">
        <w:rPr>
          <w:color w:val="000000"/>
          <w:sz w:val="22"/>
          <w:szCs w:val="22"/>
        </w:rPr>
        <w:t xml:space="preserve"> </w:t>
      </w:r>
      <w:r w:rsidRPr="00F552F0">
        <w:rPr>
          <w:color w:val="000000"/>
          <w:sz w:val="22"/>
          <w:szCs w:val="22"/>
        </w:rPr>
        <w:t xml:space="preserve">set identifies other companies owned by our banking families. We augment this with an extensive online media search using family names and bank names to verify matches in </w:t>
      </w:r>
      <w:proofErr w:type="spellStart"/>
      <w:r w:rsidRPr="00F552F0">
        <w:rPr>
          <w:color w:val="000000"/>
          <w:sz w:val="22"/>
          <w:szCs w:val="22"/>
        </w:rPr>
        <w:t>Orbis</w:t>
      </w:r>
      <w:proofErr w:type="spellEnd"/>
      <w:r w:rsidRPr="00F552F0">
        <w:rPr>
          <w:color w:val="000000"/>
          <w:sz w:val="22"/>
          <w:szCs w:val="22"/>
        </w:rPr>
        <w:t xml:space="preserve"> and identify other firms controlled by our banking families. This admittedly crude approach probably underestimates the nonfinancial interests of these families, but nonetheless confirms that 90% of the families that control banks in our data also control other firms. </w:t>
      </w:r>
      <w:r w:rsidRPr="00F552F0">
        <w:rPr>
          <w:sz w:val="22"/>
          <w:szCs w:val="22"/>
        </w:rPr>
        <w:t>We use this information to recalculate our bank control measures assuming banks controlled by families with no other firms are equivalent to widely held banks. Under this definition, 100% of Mexican banks become widely held</w:t>
      </w:r>
      <w:r w:rsidR="002B3E12" w:rsidRPr="00F552F0">
        <w:rPr>
          <w:sz w:val="22"/>
          <w:szCs w:val="22"/>
        </w:rPr>
        <w:t>—</w:t>
      </w:r>
      <w:r w:rsidRPr="00F552F0">
        <w:rPr>
          <w:sz w:val="22"/>
          <w:szCs w:val="22"/>
        </w:rPr>
        <w:t xml:space="preserve">a call many students of the Mexican economy might find low. </w:t>
      </w:r>
      <w:r w:rsidR="00122312" w:rsidRPr="00F552F0">
        <w:rPr>
          <w:sz w:val="22"/>
          <w:szCs w:val="22"/>
        </w:rPr>
        <w:t>Still, r</w:t>
      </w:r>
      <w:r w:rsidRPr="00F552F0">
        <w:rPr>
          <w:sz w:val="22"/>
          <w:szCs w:val="22"/>
        </w:rPr>
        <w:t>erunning our regressions yields qualitatively similar results</w:t>
      </w:r>
      <w:r w:rsidR="007E5ED9" w:rsidRPr="00F552F0">
        <w:rPr>
          <w:sz w:val="22"/>
          <w:szCs w:val="22"/>
        </w:rPr>
        <w:t>.</w:t>
      </w:r>
      <w:r w:rsidR="001040B9" w:rsidRPr="00F552F0">
        <w:rPr>
          <w:sz w:val="22"/>
          <w:szCs w:val="22"/>
        </w:rPr>
        <w:t xml:space="preserve"> </w:t>
      </w:r>
    </w:p>
    <w:p w:rsidR="00EB3337" w:rsidRPr="00F552F0" w:rsidRDefault="00A84358" w:rsidP="00C96D9A">
      <w:pPr>
        <w:spacing w:line="440" w:lineRule="exact"/>
        <w:jc w:val="both"/>
        <w:rPr>
          <w:sz w:val="22"/>
          <w:szCs w:val="22"/>
        </w:rPr>
      </w:pPr>
      <w:r w:rsidRPr="00F552F0">
        <w:rPr>
          <w:sz w:val="22"/>
          <w:szCs w:val="22"/>
        </w:rPr>
        <w:tab/>
      </w:r>
      <w:r w:rsidR="008564C7" w:rsidRPr="00F552F0">
        <w:rPr>
          <w:sz w:val="22"/>
          <w:szCs w:val="22"/>
        </w:rPr>
        <w:t>We measure banking system control as of 2001. Above, we showed that the banking control</w:t>
      </w:r>
      <w:r w:rsidR="00D329E7" w:rsidRPr="00F552F0">
        <w:rPr>
          <w:sz w:val="22"/>
          <w:szCs w:val="22"/>
        </w:rPr>
        <w:t xml:space="preserve"> measures are highly persistent between</w:t>
      </w:r>
      <w:r w:rsidR="008564C7" w:rsidRPr="00F552F0">
        <w:rPr>
          <w:sz w:val="22"/>
          <w:szCs w:val="22"/>
        </w:rPr>
        <w:t xml:space="preserve"> 2001</w:t>
      </w:r>
      <w:r w:rsidR="00D329E7" w:rsidRPr="00F552F0">
        <w:rPr>
          <w:sz w:val="22"/>
          <w:szCs w:val="22"/>
        </w:rPr>
        <w:t xml:space="preserve"> and 2007</w:t>
      </w:r>
      <w:r w:rsidR="008564C7" w:rsidRPr="00F552F0">
        <w:rPr>
          <w:sz w:val="22"/>
          <w:szCs w:val="22"/>
        </w:rPr>
        <w:t xml:space="preserve"> (by checking for all changes in bank control) and before 2001 (by using bank privatization data to work backwards from 2001). However, we can do more with </w:t>
      </w:r>
      <w:r w:rsidR="006A19BE" w:rsidRPr="00F552F0">
        <w:rPr>
          <w:sz w:val="22"/>
          <w:szCs w:val="22"/>
        </w:rPr>
        <w:t xml:space="preserve">the </w:t>
      </w:r>
      <w:r w:rsidR="008564C7" w:rsidRPr="00F552F0">
        <w:rPr>
          <w:sz w:val="22"/>
          <w:szCs w:val="22"/>
        </w:rPr>
        <w:t xml:space="preserve">privatization data from </w:t>
      </w:r>
      <w:proofErr w:type="spellStart"/>
      <w:r w:rsidR="008564C7" w:rsidRPr="00F552F0">
        <w:rPr>
          <w:sz w:val="22"/>
          <w:szCs w:val="22"/>
        </w:rPr>
        <w:t>Megginson</w:t>
      </w:r>
      <w:proofErr w:type="spellEnd"/>
      <w:r w:rsidR="008564C7" w:rsidRPr="00F552F0">
        <w:rPr>
          <w:sz w:val="22"/>
          <w:szCs w:val="22"/>
        </w:rPr>
        <w:t xml:space="preserve"> (</w:t>
      </w:r>
      <w:r w:rsidR="009244BF" w:rsidRPr="00F552F0">
        <w:rPr>
          <w:sz w:val="22"/>
          <w:szCs w:val="22"/>
        </w:rPr>
        <w:t>2005</w:t>
      </w:r>
      <w:r w:rsidR="008564C7" w:rsidRPr="00F552F0">
        <w:rPr>
          <w:sz w:val="22"/>
          <w:szCs w:val="22"/>
        </w:rPr>
        <w:t xml:space="preserve">), </w:t>
      </w:r>
      <w:r w:rsidR="000A1D80" w:rsidRPr="00F552F0">
        <w:rPr>
          <w:sz w:val="22"/>
          <w:szCs w:val="22"/>
        </w:rPr>
        <w:t>which indicates that 16 banks in our sample are privatized</w:t>
      </w:r>
      <w:r w:rsidR="003B102A" w:rsidRPr="00F552F0">
        <w:rPr>
          <w:sz w:val="22"/>
          <w:szCs w:val="22"/>
        </w:rPr>
        <w:t xml:space="preserve">: </w:t>
      </w:r>
      <w:r w:rsidR="002B3E12" w:rsidRPr="00F552F0">
        <w:rPr>
          <w:sz w:val="22"/>
          <w:szCs w:val="22"/>
        </w:rPr>
        <w:t>six</w:t>
      </w:r>
      <w:r w:rsidR="008564C7" w:rsidRPr="00F552F0">
        <w:rPr>
          <w:sz w:val="22"/>
          <w:szCs w:val="22"/>
        </w:rPr>
        <w:t xml:space="preserve"> become family</w:t>
      </w:r>
      <w:r w:rsidR="00C26254" w:rsidRPr="00F552F0">
        <w:rPr>
          <w:sz w:val="22"/>
          <w:szCs w:val="22"/>
        </w:rPr>
        <w:t>-controlled</w:t>
      </w:r>
      <w:r w:rsidR="008564C7" w:rsidRPr="00F552F0">
        <w:rPr>
          <w:sz w:val="22"/>
          <w:szCs w:val="22"/>
        </w:rPr>
        <w:t xml:space="preserve"> </w:t>
      </w:r>
      <w:r w:rsidR="009149DE" w:rsidRPr="00F552F0">
        <w:rPr>
          <w:sz w:val="22"/>
          <w:szCs w:val="22"/>
        </w:rPr>
        <w:t xml:space="preserve">and </w:t>
      </w:r>
      <w:r w:rsidR="002B3E12" w:rsidRPr="00F552F0">
        <w:rPr>
          <w:sz w:val="22"/>
          <w:szCs w:val="22"/>
        </w:rPr>
        <w:t>ten</w:t>
      </w:r>
      <w:r w:rsidR="009149DE" w:rsidRPr="00F552F0">
        <w:rPr>
          <w:sz w:val="22"/>
          <w:szCs w:val="22"/>
        </w:rPr>
        <w:t xml:space="preserve"> </w:t>
      </w:r>
      <w:r w:rsidR="00B31298" w:rsidRPr="00F552F0">
        <w:rPr>
          <w:sz w:val="22"/>
          <w:szCs w:val="22"/>
        </w:rPr>
        <w:t xml:space="preserve">become </w:t>
      </w:r>
      <w:r w:rsidR="00392DB6" w:rsidRPr="00F552F0">
        <w:rPr>
          <w:sz w:val="22"/>
          <w:szCs w:val="22"/>
        </w:rPr>
        <w:t>widely held</w:t>
      </w:r>
      <w:r w:rsidR="00B31298" w:rsidRPr="00F552F0">
        <w:rPr>
          <w:sz w:val="22"/>
          <w:szCs w:val="22"/>
        </w:rPr>
        <w:t>.</w:t>
      </w:r>
      <w:r w:rsidR="00364C39" w:rsidRPr="00F552F0">
        <w:rPr>
          <w:sz w:val="22"/>
          <w:szCs w:val="22"/>
        </w:rPr>
        <w:t xml:space="preserve"> </w:t>
      </w:r>
      <w:r w:rsidR="008564C7" w:rsidRPr="00F552F0">
        <w:rPr>
          <w:sz w:val="22"/>
          <w:szCs w:val="22"/>
        </w:rPr>
        <w:t>In the tables, we count these banks using their 2001 (post-priv</w:t>
      </w:r>
      <w:r w:rsidR="00B31298" w:rsidRPr="00F552F0">
        <w:rPr>
          <w:sz w:val="22"/>
          <w:szCs w:val="22"/>
        </w:rPr>
        <w:t>atization) control categories.</w:t>
      </w:r>
      <w:r w:rsidR="000A1D80" w:rsidRPr="00F552F0">
        <w:rPr>
          <w:sz w:val="22"/>
          <w:szCs w:val="22"/>
        </w:rPr>
        <w:t xml:space="preserve"> </w:t>
      </w:r>
      <w:r w:rsidR="008564C7" w:rsidRPr="00F552F0">
        <w:rPr>
          <w:sz w:val="22"/>
          <w:szCs w:val="22"/>
        </w:rPr>
        <w:t xml:space="preserve">An alternative approach </w:t>
      </w:r>
      <w:r w:rsidR="00B06268" w:rsidRPr="00F552F0">
        <w:rPr>
          <w:sz w:val="22"/>
          <w:szCs w:val="22"/>
        </w:rPr>
        <w:t>is to calculate a duration</w:t>
      </w:r>
      <w:r w:rsidR="00EE164F" w:rsidRPr="00F552F0">
        <w:rPr>
          <w:sz w:val="22"/>
          <w:szCs w:val="22"/>
        </w:rPr>
        <w:t>-</w:t>
      </w:r>
      <w:r w:rsidR="00B06268" w:rsidRPr="00F552F0">
        <w:rPr>
          <w:sz w:val="22"/>
          <w:szCs w:val="22"/>
        </w:rPr>
        <w:t xml:space="preserve">weighted measure of banking system control </w:t>
      </w:r>
      <w:r w:rsidR="007C74B7" w:rsidRPr="00F552F0">
        <w:rPr>
          <w:sz w:val="22"/>
          <w:szCs w:val="22"/>
        </w:rPr>
        <w:t>for</w:t>
      </w:r>
      <w:r w:rsidR="00B06268" w:rsidRPr="00F552F0">
        <w:rPr>
          <w:sz w:val="22"/>
          <w:szCs w:val="22"/>
        </w:rPr>
        <w:t xml:space="preserve"> 1993</w:t>
      </w:r>
      <w:r w:rsidR="007C74B7" w:rsidRPr="00F552F0">
        <w:rPr>
          <w:sz w:val="22"/>
          <w:szCs w:val="22"/>
        </w:rPr>
        <w:t xml:space="preserve"> through </w:t>
      </w:r>
      <w:r w:rsidR="00B06268" w:rsidRPr="00F552F0">
        <w:rPr>
          <w:sz w:val="22"/>
          <w:szCs w:val="22"/>
        </w:rPr>
        <w:t>2003. If a bank is state</w:t>
      </w:r>
      <w:r w:rsidR="00EE164F" w:rsidRPr="00F552F0">
        <w:rPr>
          <w:sz w:val="22"/>
          <w:szCs w:val="22"/>
        </w:rPr>
        <w:t>-</w:t>
      </w:r>
      <w:r w:rsidR="00B06268" w:rsidRPr="00F552F0">
        <w:rPr>
          <w:sz w:val="22"/>
          <w:szCs w:val="22"/>
        </w:rPr>
        <w:t xml:space="preserve">controlled </w:t>
      </w:r>
      <w:r w:rsidR="00EE164F" w:rsidRPr="00F552F0">
        <w:rPr>
          <w:sz w:val="22"/>
          <w:szCs w:val="22"/>
        </w:rPr>
        <w:t xml:space="preserve">for the five years from </w:t>
      </w:r>
      <w:r w:rsidR="00B06268" w:rsidRPr="00F552F0">
        <w:rPr>
          <w:sz w:val="22"/>
          <w:szCs w:val="22"/>
        </w:rPr>
        <w:t>1993</w:t>
      </w:r>
      <w:r w:rsidR="00EE164F" w:rsidRPr="00F552F0">
        <w:rPr>
          <w:sz w:val="22"/>
          <w:szCs w:val="22"/>
        </w:rPr>
        <w:t xml:space="preserve"> to </w:t>
      </w:r>
      <w:r w:rsidR="00B06268" w:rsidRPr="00F552F0">
        <w:rPr>
          <w:sz w:val="22"/>
          <w:szCs w:val="22"/>
        </w:rPr>
        <w:t>1998</w:t>
      </w:r>
      <w:r w:rsidR="00EE164F" w:rsidRPr="00F552F0">
        <w:rPr>
          <w:sz w:val="22"/>
          <w:szCs w:val="22"/>
        </w:rPr>
        <w:t>,</w:t>
      </w:r>
      <w:r w:rsidR="00B06268" w:rsidRPr="00F552F0">
        <w:rPr>
          <w:sz w:val="22"/>
          <w:szCs w:val="22"/>
        </w:rPr>
        <w:t xml:space="preserve"> and </w:t>
      </w:r>
      <w:r w:rsidR="00EE164F" w:rsidRPr="00F552F0">
        <w:rPr>
          <w:sz w:val="22"/>
          <w:szCs w:val="22"/>
        </w:rPr>
        <w:t xml:space="preserve">then sold to a family, which controls it through </w:t>
      </w:r>
      <w:r w:rsidR="00B06268" w:rsidRPr="00F552F0">
        <w:rPr>
          <w:sz w:val="22"/>
          <w:szCs w:val="22"/>
        </w:rPr>
        <w:t xml:space="preserve">2003, </w:t>
      </w:r>
      <w:r w:rsidR="00EE164F" w:rsidRPr="00F552F0">
        <w:rPr>
          <w:sz w:val="22"/>
          <w:szCs w:val="22"/>
        </w:rPr>
        <w:t>we say it is</w:t>
      </w:r>
      <w:r w:rsidR="005917C4" w:rsidRPr="00F552F0">
        <w:rPr>
          <w:sz w:val="22"/>
          <w:szCs w:val="22"/>
        </w:rPr>
        <w:t xml:space="preserve"> 50% state</w:t>
      </w:r>
      <w:r w:rsidR="00EE164F" w:rsidRPr="00F552F0">
        <w:rPr>
          <w:sz w:val="22"/>
          <w:szCs w:val="22"/>
        </w:rPr>
        <w:t>-</w:t>
      </w:r>
      <w:r w:rsidR="005917C4" w:rsidRPr="00F552F0">
        <w:rPr>
          <w:sz w:val="22"/>
          <w:szCs w:val="22"/>
        </w:rPr>
        <w:t>controlled</w:t>
      </w:r>
      <w:r w:rsidR="00B06268" w:rsidRPr="00F552F0">
        <w:rPr>
          <w:sz w:val="22"/>
          <w:szCs w:val="22"/>
        </w:rPr>
        <w:t xml:space="preserve"> and 50% </w:t>
      </w:r>
      <w:r w:rsidR="00EE164F" w:rsidRPr="00F552F0">
        <w:rPr>
          <w:sz w:val="22"/>
          <w:szCs w:val="22"/>
        </w:rPr>
        <w:t>family-controlled</w:t>
      </w:r>
      <w:r w:rsidR="00B06268" w:rsidRPr="00F552F0">
        <w:rPr>
          <w:sz w:val="22"/>
          <w:szCs w:val="22"/>
        </w:rPr>
        <w:t xml:space="preserve"> </w:t>
      </w:r>
      <w:r w:rsidR="00EE164F" w:rsidRPr="00F552F0">
        <w:rPr>
          <w:sz w:val="22"/>
          <w:szCs w:val="22"/>
        </w:rPr>
        <w:t xml:space="preserve">when tallying up our </w:t>
      </w:r>
      <w:r w:rsidR="00B06268" w:rsidRPr="00F552F0">
        <w:rPr>
          <w:sz w:val="22"/>
          <w:szCs w:val="22"/>
        </w:rPr>
        <w:t>country</w:t>
      </w:r>
      <w:r w:rsidR="00EE164F" w:rsidRPr="00F552F0">
        <w:rPr>
          <w:sz w:val="22"/>
          <w:szCs w:val="22"/>
        </w:rPr>
        <w:t>-</w:t>
      </w:r>
      <w:r w:rsidR="00B06268" w:rsidRPr="00F552F0">
        <w:rPr>
          <w:sz w:val="22"/>
          <w:szCs w:val="22"/>
        </w:rPr>
        <w:t xml:space="preserve">level bank control </w:t>
      </w:r>
      <w:r w:rsidR="00EE164F" w:rsidRPr="00F552F0">
        <w:rPr>
          <w:sz w:val="22"/>
          <w:szCs w:val="22"/>
        </w:rPr>
        <w:t>measures</w:t>
      </w:r>
      <w:r w:rsidR="00B06268" w:rsidRPr="00F552F0">
        <w:rPr>
          <w:sz w:val="22"/>
          <w:szCs w:val="22"/>
        </w:rPr>
        <w:t>.</w:t>
      </w:r>
      <w:r w:rsidR="00282D09" w:rsidRPr="00F552F0">
        <w:rPr>
          <w:sz w:val="22"/>
          <w:szCs w:val="22"/>
        </w:rPr>
        <w:t xml:space="preserve"> </w:t>
      </w:r>
      <w:r w:rsidR="00EE164F" w:rsidRPr="00F552F0">
        <w:rPr>
          <w:sz w:val="22"/>
          <w:szCs w:val="22"/>
        </w:rPr>
        <w:t xml:space="preserve">This exercise generates qualitatively similar results to those shown, save that </w:t>
      </w:r>
      <w:r w:rsidR="00392DB6" w:rsidRPr="00F552F0">
        <w:rPr>
          <w:sz w:val="22"/>
          <w:szCs w:val="22"/>
        </w:rPr>
        <w:t>widely held</w:t>
      </w:r>
      <w:r w:rsidR="000E4797" w:rsidRPr="00F552F0">
        <w:rPr>
          <w:sz w:val="22"/>
          <w:szCs w:val="22"/>
        </w:rPr>
        <w:t xml:space="preserve"> bank</w:t>
      </w:r>
      <w:r w:rsidR="0055220C" w:rsidRPr="00F552F0">
        <w:rPr>
          <w:sz w:val="22"/>
          <w:szCs w:val="22"/>
        </w:rPr>
        <w:t>ing systems</w:t>
      </w:r>
      <w:r w:rsidR="000E4797" w:rsidRPr="00F552F0">
        <w:rPr>
          <w:sz w:val="22"/>
          <w:szCs w:val="22"/>
        </w:rPr>
        <w:t xml:space="preserve"> </w:t>
      </w:r>
      <w:r w:rsidR="00EE164F" w:rsidRPr="00F552F0">
        <w:rPr>
          <w:sz w:val="22"/>
          <w:szCs w:val="22"/>
        </w:rPr>
        <w:t xml:space="preserve">are </w:t>
      </w:r>
      <w:r w:rsidR="0030636F" w:rsidRPr="00F552F0">
        <w:rPr>
          <w:sz w:val="22"/>
          <w:szCs w:val="22"/>
        </w:rPr>
        <w:t>now positively correlated with growth, negatively correlated with growth</w:t>
      </w:r>
      <w:r w:rsidR="002B3E12" w:rsidRPr="00F552F0">
        <w:rPr>
          <w:sz w:val="22"/>
          <w:szCs w:val="22"/>
        </w:rPr>
        <w:t>-</w:t>
      </w:r>
      <w:r w:rsidR="0030636F" w:rsidRPr="00F552F0">
        <w:rPr>
          <w:sz w:val="22"/>
          <w:szCs w:val="22"/>
        </w:rPr>
        <w:t>rate volatility,</w:t>
      </w:r>
      <w:r w:rsidR="001040B9" w:rsidRPr="00F552F0">
        <w:rPr>
          <w:sz w:val="22"/>
          <w:szCs w:val="22"/>
        </w:rPr>
        <w:t xml:space="preserve"> </w:t>
      </w:r>
      <w:r w:rsidR="00EE164F" w:rsidRPr="00F552F0">
        <w:rPr>
          <w:sz w:val="22"/>
          <w:szCs w:val="22"/>
        </w:rPr>
        <w:t>insignificant</w:t>
      </w:r>
      <w:r w:rsidR="000E4797" w:rsidRPr="00F552F0">
        <w:rPr>
          <w:sz w:val="22"/>
          <w:szCs w:val="22"/>
        </w:rPr>
        <w:t xml:space="preserve"> in explaining </w:t>
      </w:r>
      <w:r w:rsidR="00EE164F" w:rsidRPr="00F552F0">
        <w:rPr>
          <w:sz w:val="22"/>
          <w:szCs w:val="22"/>
        </w:rPr>
        <w:t xml:space="preserve">the </w:t>
      </w:r>
      <w:r w:rsidR="000E4797" w:rsidRPr="00F552F0">
        <w:rPr>
          <w:sz w:val="22"/>
          <w:szCs w:val="22"/>
        </w:rPr>
        <w:t>efficiency of capital allocation in the short</w:t>
      </w:r>
      <w:r w:rsidR="00FD3B74" w:rsidRPr="00F552F0">
        <w:rPr>
          <w:sz w:val="22"/>
          <w:szCs w:val="22"/>
        </w:rPr>
        <w:t>er</w:t>
      </w:r>
      <w:r w:rsidR="000E4797" w:rsidRPr="00F552F0">
        <w:rPr>
          <w:sz w:val="22"/>
          <w:szCs w:val="22"/>
        </w:rPr>
        <w:t xml:space="preserve"> window</w:t>
      </w:r>
      <w:r w:rsidRPr="00F552F0">
        <w:rPr>
          <w:sz w:val="22"/>
          <w:szCs w:val="22"/>
        </w:rPr>
        <w:t>,</w:t>
      </w:r>
      <w:r w:rsidR="00E269EA" w:rsidRPr="00F552F0">
        <w:rPr>
          <w:sz w:val="22"/>
          <w:szCs w:val="22"/>
        </w:rPr>
        <w:t xml:space="preserve"> and </w:t>
      </w:r>
      <w:r w:rsidRPr="00F552F0">
        <w:rPr>
          <w:sz w:val="22"/>
          <w:szCs w:val="22"/>
        </w:rPr>
        <w:t xml:space="preserve">the </w:t>
      </w:r>
      <w:r w:rsidR="00E269EA" w:rsidRPr="00F552F0">
        <w:rPr>
          <w:sz w:val="22"/>
          <w:szCs w:val="22"/>
        </w:rPr>
        <w:t xml:space="preserve">interaction </w:t>
      </w:r>
      <w:r w:rsidRPr="00F552F0">
        <w:rPr>
          <w:sz w:val="22"/>
          <w:szCs w:val="22"/>
        </w:rPr>
        <w:t xml:space="preserve">of </w:t>
      </w:r>
      <w:r w:rsidRPr="00F552F0">
        <w:rPr>
          <w:sz w:val="22"/>
          <w:szCs w:val="22"/>
        </w:rPr>
        <w:lastRenderedPageBreak/>
        <w:t xml:space="preserve">the widely held banking system measure </w:t>
      </w:r>
      <w:r w:rsidR="00E269EA" w:rsidRPr="00F552F0">
        <w:rPr>
          <w:sz w:val="22"/>
          <w:szCs w:val="22"/>
        </w:rPr>
        <w:t xml:space="preserve">with external </w:t>
      </w:r>
      <w:r w:rsidR="00663428" w:rsidRPr="00F552F0">
        <w:rPr>
          <w:sz w:val="22"/>
          <w:szCs w:val="22"/>
        </w:rPr>
        <w:t>dependence</w:t>
      </w:r>
      <w:r w:rsidR="00E269EA" w:rsidRPr="00F552F0">
        <w:rPr>
          <w:sz w:val="22"/>
          <w:szCs w:val="22"/>
        </w:rPr>
        <w:t xml:space="preserve"> becomes insignificant in explaining value added growth (</w:t>
      </w:r>
      <w:r w:rsidR="001E4697" w:rsidRPr="00F552F0">
        <w:rPr>
          <w:i/>
          <w:sz w:val="22"/>
        </w:rPr>
        <w:t>p</w:t>
      </w:r>
      <w:r w:rsidR="006A19BE" w:rsidRPr="00F552F0">
        <w:rPr>
          <w:sz w:val="22"/>
          <w:szCs w:val="22"/>
        </w:rPr>
        <w:t xml:space="preserve"> </w:t>
      </w:r>
      <w:r w:rsidR="00E269EA" w:rsidRPr="00F552F0">
        <w:rPr>
          <w:sz w:val="22"/>
          <w:szCs w:val="22"/>
        </w:rPr>
        <w:t>=</w:t>
      </w:r>
      <w:r w:rsidR="006A19BE" w:rsidRPr="00F552F0">
        <w:rPr>
          <w:sz w:val="22"/>
          <w:szCs w:val="22"/>
        </w:rPr>
        <w:t xml:space="preserve"> </w:t>
      </w:r>
      <w:r w:rsidR="00E269EA" w:rsidRPr="00F552F0">
        <w:rPr>
          <w:sz w:val="22"/>
          <w:szCs w:val="22"/>
        </w:rPr>
        <w:t>0.11)</w:t>
      </w:r>
      <w:r w:rsidR="000E4797" w:rsidRPr="00F552F0">
        <w:rPr>
          <w:sz w:val="22"/>
          <w:szCs w:val="22"/>
        </w:rPr>
        <w:t>.</w:t>
      </w:r>
      <w:r w:rsidR="00122312" w:rsidRPr="00F552F0">
        <w:rPr>
          <w:sz w:val="22"/>
          <w:szCs w:val="22"/>
        </w:rPr>
        <w:t xml:space="preserve">  </w:t>
      </w:r>
      <w:r w:rsidR="001040B9" w:rsidRPr="00F552F0">
        <w:rPr>
          <w:sz w:val="22"/>
          <w:szCs w:val="22"/>
        </w:rPr>
        <w:t xml:space="preserve"> </w:t>
      </w:r>
    </w:p>
    <w:p w:rsidR="00A84358" w:rsidRPr="00F552F0" w:rsidRDefault="00A84358" w:rsidP="00C96D9A">
      <w:pPr>
        <w:spacing w:line="440" w:lineRule="exact"/>
        <w:jc w:val="both"/>
        <w:rPr>
          <w:color w:val="000000"/>
          <w:sz w:val="22"/>
          <w:szCs w:val="22"/>
        </w:rPr>
      </w:pPr>
    </w:p>
    <w:p w:rsidR="0058402F" w:rsidRPr="00F552F0" w:rsidRDefault="003D5871" w:rsidP="00C96D9A">
      <w:pPr>
        <w:spacing w:line="440" w:lineRule="exact"/>
        <w:jc w:val="both"/>
        <w:rPr>
          <w:i/>
          <w:color w:val="000000"/>
        </w:rPr>
      </w:pPr>
      <w:r w:rsidRPr="00F552F0">
        <w:rPr>
          <w:i/>
          <w:color w:val="000000"/>
        </w:rPr>
        <w:t>3.3.3.</w:t>
      </w:r>
      <w:r w:rsidRPr="00F552F0">
        <w:rPr>
          <w:i/>
          <w:color w:val="000000"/>
        </w:rPr>
        <w:tab/>
        <w:t xml:space="preserve">Additional and alternative variables </w:t>
      </w:r>
    </w:p>
    <w:p w:rsidR="00E21501" w:rsidRPr="00F552F0" w:rsidRDefault="001A03FF">
      <w:pPr>
        <w:spacing w:line="440" w:lineRule="exact"/>
        <w:ind w:firstLine="720"/>
        <w:jc w:val="both"/>
        <w:rPr>
          <w:color w:val="000000"/>
          <w:sz w:val="22"/>
          <w:szCs w:val="22"/>
        </w:rPr>
      </w:pPr>
      <w:r w:rsidRPr="00F552F0">
        <w:rPr>
          <w:sz w:val="22"/>
          <w:szCs w:val="22"/>
        </w:rPr>
        <w:t xml:space="preserve">If most families that control banks also control other firms, we must ascertain that our regressions are not detecting the </w:t>
      </w:r>
      <w:r w:rsidR="001E4697" w:rsidRPr="00F552F0">
        <w:rPr>
          <w:sz w:val="22"/>
        </w:rPr>
        <w:t xml:space="preserve">negative </w:t>
      </w:r>
      <w:r w:rsidRPr="00F552F0">
        <w:rPr>
          <w:sz w:val="22"/>
          <w:szCs w:val="22"/>
        </w:rPr>
        <w:t>economy-level</w:t>
      </w:r>
      <w:r w:rsidR="001E4697" w:rsidRPr="00F552F0">
        <w:rPr>
          <w:sz w:val="22"/>
        </w:rPr>
        <w:t xml:space="preserve"> outcomes Morck and Yeung </w:t>
      </w:r>
      <w:r w:rsidRPr="00F552F0">
        <w:rPr>
          <w:sz w:val="22"/>
          <w:szCs w:val="22"/>
        </w:rPr>
        <w:t>(</w:t>
      </w:r>
      <w:r w:rsidR="001E4697" w:rsidRPr="00F552F0">
        <w:rPr>
          <w:sz w:val="22"/>
        </w:rPr>
        <w:t>200</w:t>
      </w:r>
      <w:r w:rsidR="00B8587A" w:rsidRPr="00F552F0">
        <w:rPr>
          <w:sz w:val="22"/>
        </w:rPr>
        <w:t>4</w:t>
      </w:r>
      <w:r w:rsidRPr="00F552F0">
        <w:rPr>
          <w:sz w:val="22"/>
          <w:szCs w:val="22"/>
        </w:rPr>
        <w:t>)</w:t>
      </w:r>
      <w:r w:rsidR="00B8587A" w:rsidRPr="00F552F0">
        <w:rPr>
          <w:sz w:val="22"/>
          <w:szCs w:val="22"/>
        </w:rPr>
        <w:t xml:space="preserve"> and</w:t>
      </w:r>
      <w:r w:rsidR="001E4697" w:rsidRPr="00F552F0">
        <w:rPr>
          <w:sz w:val="22"/>
        </w:rPr>
        <w:t xml:space="preserve"> </w:t>
      </w:r>
      <w:proofErr w:type="spellStart"/>
      <w:r w:rsidR="001E4697" w:rsidRPr="00F552F0">
        <w:rPr>
          <w:sz w:val="22"/>
        </w:rPr>
        <w:t>Fogel</w:t>
      </w:r>
      <w:proofErr w:type="spellEnd"/>
      <w:r w:rsidR="001E4697" w:rsidRPr="00F552F0">
        <w:rPr>
          <w:sz w:val="22"/>
        </w:rPr>
        <w:t xml:space="preserve"> </w:t>
      </w:r>
      <w:r w:rsidRPr="00F552F0">
        <w:rPr>
          <w:sz w:val="22"/>
          <w:szCs w:val="22"/>
        </w:rPr>
        <w:t>(</w:t>
      </w:r>
      <w:r w:rsidR="001E4697" w:rsidRPr="00F552F0">
        <w:rPr>
          <w:sz w:val="22"/>
        </w:rPr>
        <w:t>2006</w:t>
      </w:r>
      <w:r w:rsidRPr="00F552F0">
        <w:rPr>
          <w:sz w:val="22"/>
          <w:szCs w:val="22"/>
        </w:rPr>
        <w:t>) link to wealthy family control over business</w:t>
      </w:r>
      <w:r w:rsidRPr="00F552F0">
        <w:rPr>
          <w:color w:val="000000"/>
          <w:sz w:val="22"/>
          <w:szCs w:val="22"/>
        </w:rPr>
        <w:t xml:space="preserve">. We therefore rerun our regressions controlling for </w:t>
      </w:r>
      <w:proofErr w:type="spellStart"/>
      <w:r w:rsidRPr="00F552F0">
        <w:rPr>
          <w:color w:val="000000"/>
          <w:sz w:val="22"/>
          <w:szCs w:val="22"/>
        </w:rPr>
        <w:t>Fogel’s</w:t>
      </w:r>
      <w:proofErr w:type="spellEnd"/>
      <w:r w:rsidRPr="00F552F0">
        <w:rPr>
          <w:color w:val="000000"/>
          <w:sz w:val="22"/>
          <w:szCs w:val="22"/>
        </w:rPr>
        <w:t xml:space="preserve"> </w:t>
      </w:r>
      <w:r w:rsidRPr="00F552F0">
        <w:rPr>
          <w:i/>
          <w:color w:val="000000"/>
          <w:sz w:val="22"/>
          <w:szCs w:val="22"/>
        </w:rPr>
        <w:t xml:space="preserve">oligarchy </w:t>
      </w:r>
      <w:r w:rsidRPr="00F552F0">
        <w:rPr>
          <w:color w:val="000000"/>
          <w:sz w:val="22"/>
          <w:szCs w:val="22"/>
        </w:rPr>
        <w:t>measure</w:t>
      </w:r>
      <w:r w:rsidR="002B3E12" w:rsidRPr="00F552F0">
        <w:rPr>
          <w:color w:val="000000"/>
          <w:sz w:val="22"/>
          <w:szCs w:val="22"/>
        </w:rPr>
        <w:t>—</w:t>
      </w:r>
      <w:r w:rsidRPr="00F552F0">
        <w:rPr>
          <w:color w:val="000000"/>
          <w:sz w:val="22"/>
          <w:szCs w:val="22"/>
        </w:rPr>
        <w:t>the labor force weighted fraction of the country’s top</w:t>
      </w:r>
      <w:r w:rsidR="002B3E12" w:rsidRPr="00F552F0">
        <w:rPr>
          <w:color w:val="000000"/>
          <w:sz w:val="22"/>
          <w:szCs w:val="22"/>
        </w:rPr>
        <w:t>-</w:t>
      </w:r>
      <w:r w:rsidRPr="00F552F0">
        <w:rPr>
          <w:color w:val="000000"/>
          <w:sz w:val="22"/>
          <w:szCs w:val="22"/>
        </w:rPr>
        <w:t>ten businesses or business groups controlled by families.</w:t>
      </w:r>
      <w:r w:rsidR="001E4697" w:rsidRPr="00F552F0">
        <w:rPr>
          <w:color w:val="000000"/>
          <w:sz w:val="22"/>
        </w:rPr>
        <w:t xml:space="preserve"> </w:t>
      </w:r>
      <w:r w:rsidRPr="00F552F0">
        <w:rPr>
          <w:color w:val="000000"/>
          <w:sz w:val="22"/>
          <w:szCs w:val="22"/>
        </w:rPr>
        <w:t xml:space="preserve">The correlation between family control of country’s top banks and </w:t>
      </w:r>
      <w:r w:rsidRPr="00F552F0">
        <w:rPr>
          <w:i/>
          <w:color w:val="000000"/>
          <w:sz w:val="22"/>
          <w:szCs w:val="22"/>
        </w:rPr>
        <w:t>oligarchy</w:t>
      </w:r>
      <w:r w:rsidRPr="00F552F0">
        <w:rPr>
          <w:color w:val="000000"/>
          <w:sz w:val="22"/>
          <w:szCs w:val="22"/>
        </w:rPr>
        <w:t xml:space="preserve"> is 0.61 among the 38 countries for which both variables are available.  However, re-estimating the tables with this extra control throughout yields qualitatively similar results, except in regressions of </w:t>
      </w:r>
      <w:proofErr w:type="spellStart"/>
      <w:r w:rsidRPr="00F552F0">
        <w:rPr>
          <w:color w:val="000000"/>
          <w:sz w:val="22"/>
          <w:szCs w:val="22"/>
        </w:rPr>
        <w:t>Wurgler’s</w:t>
      </w:r>
      <w:proofErr w:type="spellEnd"/>
      <w:r w:rsidRPr="00F552F0">
        <w:rPr>
          <w:color w:val="000000"/>
          <w:sz w:val="22"/>
          <w:szCs w:val="22"/>
        </w:rPr>
        <w:t xml:space="preserve"> (2000) capital allocation efficiency measure estimated over the longer window. Intriguingly, </w:t>
      </w:r>
      <w:r w:rsidRPr="00F552F0">
        <w:rPr>
          <w:i/>
          <w:color w:val="000000"/>
          <w:sz w:val="22"/>
          <w:szCs w:val="22"/>
        </w:rPr>
        <w:t>oligarchy</w:t>
      </w:r>
      <w:r w:rsidRPr="00F552F0">
        <w:rPr>
          <w:color w:val="000000"/>
          <w:sz w:val="22"/>
          <w:szCs w:val="22"/>
        </w:rPr>
        <w:t xml:space="preserve"> itself is insignificant in all regressions except for regressions of </w:t>
      </w:r>
      <w:proofErr w:type="spellStart"/>
      <w:r w:rsidRPr="00F552F0">
        <w:rPr>
          <w:color w:val="000000"/>
          <w:sz w:val="22"/>
          <w:szCs w:val="22"/>
        </w:rPr>
        <w:t>Wurgler’s</w:t>
      </w:r>
      <w:proofErr w:type="spellEnd"/>
      <w:r w:rsidRPr="00F552F0">
        <w:rPr>
          <w:color w:val="000000"/>
          <w:sz w:val="22"/>
          <w:szCs w:val="22"/>
        </w:rPr>
        <w:t xml:space="preserve"> (2000) capital allocation quality measure estimated over the short window. Thus</w:t>
      </w:r>
      <w:r w:rsidR="006D635D" w:rsidRPr="00F552F0">
        <w:rPr>
          <w:color w:val="000000"/>
          <w:sz w:val="22"/>
          <w:szCs w:val="22"/>
        </w:rPr>
        <w:t>,</w:t>
      </w:r>
      <w:r w:rsidRPr="00F552F0">
        <w:rPr>
          <w:color w:val="000000"/>
          <w:sz w:val="22"/>
          <w:szCs w:val="22"/>
        </w:rPr>
        <w:t xml:space="preserve"> we conclude that tycoon or family control over the banking system has negative implications for the overall economy, and that this result is not driven by a general negative correlation between family control over business and economy performance. </w:t>
      </w:r>
    </w:p>
    <w:p w:rsidR="00466AD3" w:rsidRPr="00F552F0" w:rsidRDefault="00A8160B" w:rsidP="00466AD3">
      <w:pPr>
        <w:spacing w:line="440" w:lineRule="exact"/>
        <w:ind w:firstLine="720"/>
        <w:jc w:val="both"/>
        <w:rPr>
          <w:sz w:val="22"/>
          <w:szCs w:val="22"/>
        </w:rPr>
      </w:pPr>
      <w:r w:rsidRPr="00F552F0">
        <w:rPr>
          <w:color w:val="000000"/>
          <w:sz w:val="22"/>
          <w:szCs w:val="22"/>
        </w:rPr>
        <w:t xml:space="preserve">The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Pr="00F552F0">
        <w:rPr>
          <w:color w:val="000000"/>
          <w:sz w:val="22"/>
          <w:szCs w:val="22"/>
        </w:rPr>
        <w:t xml:space="preserve"> (1998) regressions in</w:t>
      </w:r>
      <w:r w:rsidR="00FE75B4" w:rsidRPr="00F552F0">
        <w:rPr>
          <w:color w:val="000000"/>
          <w:sz w:val="22"/>
          <w:szCs w:val="22"/>
        </w:rPr>
        <w:t xml:space="preserve"> Panel B of Table 5</w:t>
      </w:r>
      <w:r w:rsidRPr="00F552F0">
        <w:rPr>
          <w:color w:val="000000"/>
          <w:sz w:val="22"/>
          <w:szCs w:val="22"/>
        </w:rPr>
        <w:t xml:space="preserve"> also survive a battery of robustness checks, in that</w:t>
      </w:r>
      <w:r w:rsidR="00FE75B4" w:rsidRPr="00F552F0">
        <w:rPr>
          <w:color w:val="000000"/>
          <w:sz w:val="22"/>
          <w:szCs w:val="22"/>
        </w:rPr>
        <w:t xml:space="preserve"> </w:t>
      </w:r>
      <w:r w:rsidR="002C23A8" w:rsidRPr="00F552F0">
        <w:rPr>
          <w:color w:val="000000"/>
          <w:sz w:val="22"/>
          <w:szCs w:val="22"/>
        </w:rPr>
        <w:t xml:space="preserve">the </w:t>
      </w:r>
      <w:r w:rsidR="00FE75B4" w:rsidRPr="00F552F0">
        <w:rPr>
          <w:color w:val="000000"/>
          <w:sz w:val="22"/>
          <w:szCs w:val="22"/>
        </w:rPr>
        <w:t>interaction</w:t>
      </w:r>
      <w:r w:rsidRPr="00F552F0">
        <w:rPr>
          <w:color w:val="000000"/>
          <w:sz w:val="22"/>
          <w:szCs w:val="22"/>
        </w:rPr>
        <w:t>s</w:t>
      </w:r>
      <w:r w:rsidR="00FE75B4" w:rsidRPr="00F552F0">
        <w:rPr>
          <w:color w:val="000000"/>
          <w:sz w:val="22"/>
          <w:szCs w:val="22"/>
        </w:rPr>
        <w:t xml:space="preserve"> of external</w:t>
      </w:r>
      <w:r w:rsidR="006D635D" w:rsidRPr="00F552F0">
        <w:rPr>
          <w:color w:val="000000"/>
          <w:sz w:val="22"/>
          <w:szCs w:val="22"/>
        </w:rPr>
        <w:t>-</w:t>
      </w:r>
      <w:r w:rsidR="00FE75B4" w:rsidRPr="00F552F0">
        <w:rPr>
          <w:color w:val="000000"/>
          <w:sz w:val="22"/>
          <w:szCs w:val="22"/>
        </w:rPr>
        <w:t>financ</w:t>
      </w:r>
      <w:r w:rsidR="006D635D" w:rsidRPr="00F552F0">
        <w:rPr>
          <w:color w:val="000000"/>
          <w:sz w:val="22"/>
          <w:szCs w:val="22"/>
        </w:rPr>
        <w:t>e</w:t>
      </w:r>
      <w:r w:rsidR="00FE75B4" w:rsidRPr="00F552F0">
        <w:rPr>
          <w:color w:val="000000"/>
          <w:sz w:val="22"/>
          <w:szCs w:val="22"/>
        </w:rPr>
        <w:t xml:space="preserve"> </w:t>
      </w:r>
      <w:r w:rsidR="002C23A8" w:rsidRPr="00F552F0">
        <w:rPr>
          <w:color w:val="000000"/>
          <w:sz w:val="22"/>
          <w:szCs w:val="22"/>
        </w:rPr>
        <w:t xml:space="preserve">dependence </w:t>
      </w:r>
      <w:r w:rsidR="00FE75B4" w:rsidRPr="00F552F0">
        <w:rPr>
          <w:color w:val="000000"/>
          <w:sz w:val="22"/>
          <w:szCs w:val="22"/>
        </w:rPr>
        <w:t>with tycoon or</w:t>
      </w:r>
      <w:r w:rsidR="002C23A8" w:rsidRPr="00F552F0">
        <w:rPr>
          <w:color w:val="000000"/>
          <w:sz w:val="22"/>
          <w:szCs w:val="22"/>
        </w:rPr>
        <w:t xml:space="preserve"> family control </w:t>
      </w:r>
      <w:r w:rsidR="00FE75B4" w:rsidRPr="00F552F0">
        <w:rPr>
          <w:color w:val="000000"/>
          <w:sz w:val="22"/>
          <w:szCs w:val="22"/>
        </w:rPr>
        <w:t>over</w:t>
      </w:r>
      <w:r w:rsidR="002C23A8" w:rsidRPr="00F552F0">
        <w:rPr>
          <w:color w:val="000000"/>
          <w:sz w:val="22"/>
          <w:szCs w:val="22"/>
        </w:rPr>
        <w:t xml:space="preserve"> banks</w:t>
      </w:r>
      <w:r w:rsidR="00FE75B4" w:rsidRPr="00F552F0">
        <w:rPr>
          <w:color w:val="000000"/>
          <w:sz w:val="22"/>
          <w:szCs w:val="22"/>
        </w:rPr>
        <w:t xml:space="preserve"> </w:t>
      </w:r>
      <w:r w:rsidRPr="00F552F0">
        <w:rPr>
          <w:color w:val="000000"/>
          <w:sz w:val="22"/>
          <w:szCs w:val="22"/>
        </w:rPr>
        <w:t>retain</w:t>
      </w:r>
      <w:r w:rsidR="00FE75B4" w:rsidRPr="00F552F0">
        <w:rPr>
          <w:color w:val="000000"/>
          <w:sz w:val="22"/>
          <w:szCs w:val="22"/>
        </w:rPr>
        <w:t xml:space="preserve"> negative significant coefficient</w:t>
      </w:r>
      <w:r w:rsidRPr="00F552F0">
        <w:rPr>
          <w:color w:val="000000"/>
          <w:sz w:val="22"/>
          <w:szCs w:val="22"/>
        </w:rPr>
        <w:t>s</w:t>
      </w:r>
      <w:r w:rsidR="00FE75B4" w:rsidRPr="00F552F0">
        <w:rPr>
          <w:color w:val="000000"/>
          <w:sz w:val="22"/>
          <w:szCs w:val="22"/>
        </w:rPr>
        <w:t xml:space="preserve"> in regressions explaining industry-level value-added growth rates.  If tycoons and business families are more prone to control banks in countries at</w:t>
      </w:r>
      <w:r w:rsidR="002C23A8" w:rsidRPr="00F552F0">
        <w:rPr>
          <w:color w:val="000000"/>
          <w:sz w:val="22"/>
          <w:szCs w:val="22"/>
        </w:rPr>
        <w:t xml:space="preserve"> low </w:t>
      </w:r>
      <w:r w:rsidR="00FE75B4" w:rsidRPr="00F552F0">
        <w:rPr>
          <w:color w:val="000000"/>
          <w:sz w:val="22"/>
          <w:szCs w:val="22"/>
        </w:rPr>
        <w:t xml:space="preserve">overall levels of </w:t>
      </w:r>
      <w:r w:rsidR="002C23A8" w:rsidRPr="00F552F0">
        <w:rPr>
          <w:color w:val="000000"/>
          <w:sz w:val="22"/>
          <w:szCs w:val="22"/>
        </w:rPr>
        <w:t xml:space="preserve">financial development, </w:t>
      </w:r>
      <w:r w:rsidR="00FE75B4" w:rsidRPr="00F552F0">
        <w:rPr>
          <w:color w:val="000000"/>
          <w:sz w:val="22"/>
          <w:szCs w:val="22"/>
        </w:rPr>
        <w:t xml:space="preserve">and the latter disproportionately hurts industries that need external finance, the </w:t>
      </w:r>
      <w:proofErr w:type="spellStart"/>
      <w:r w:rsidR="00FE75B4" w:rsidRPr="00F552F0">
        <w:rPr>
          <w:color w:val="000000"/>
          <w:sz w:val="22"/>
          <w:szCs w:val="22"/>
        </w:rPr>
        <w:t>Rajan</w:t>
      </w:r>
      <w:proofErr w:type="spellEnd"/>
      <w:r w:rsidR="00FE75B4" w:rsidRPr="00F552F0">
        <w:rPr>
          <w:color w:val="000000"/>
          <w:sz w:val="22"/>
          <w:szCs w:val="22"/>
        </w:rPr>
        <w:t xml:space="preserve"> </w:t>
      </w:r>
      <w:r w:rsidR="00E82874" w:rsidRPr="00F552F0">
        <w:rPr>
          <w:color w:val="000000"/>
          <w:sz w:val="22"/>
          <w:szCs w:val="22"/>
        </w:rPr>
        <w:t>and</w:t>
      </w:r>
      <w:r w:rsidR="00FE75B4" w:rsidRPr="00F552F0">
        <w:rPr>
          <w:color w:val="000000"/>
          <w:sz w:val="22"/>
          <w:szCs w:val="22"/>
        </w:rPr>
        <w:t xml:space="preserve"> </w:t>
      </w:r>
      <w:proofErr w:type="spellStart"/>
      <w:r w:rsidR="00FE75B4" w:rsidRPr="00F552F0">
        <w:rPr>
          <w:color w:val="000000"/>
          <w:sz w:val="22"/>
          <w:szCs w:val="22"/>
        </w:rPr>
        <w:t>Zingales</w:t>
      </w:r>
      <w:proofErr w:type="spellEnd"/>
      <w:r w:rsidR="00FE75B4" w:rsidRPr="00F552F0">
        <w:rPr>
          <w:color w:val="000000"/>
          <w:sz w:val="22"/>
          <w:szCs w:val="22"/>
        </w:rPr>
        <w:t xml:space="preserve"> (1998) methodology might deliver spurious significance.  </w:t>
      </w:r>
      <w:r w:rsidRPr="00F552F0">
        <w:rPr>
          <w:color w:val="000000"/>
          <w:sz w:val="22"/>
          <w:szCs w:val="22"/>
        </w:rPr>
        <w:t>However, re-estimating</w:t>
      </w:r>
      <w:r w:rsidR="00FE75B4" w:rsidRPr="00F552F0">
        <w:rPr>
          <w:color w:val="000000"/>
          <w:sz w:val="22"/>
          <w:szCs w:val="22"/>
        </w:rPr>
        <w:t xml:space="preserve"> this panel including i</w:t>
      </w:r>
      <w:r w:rsidR="009A0A29" w:rsidRPr="00F552F0">
        <w:rPr>
          <w:color w:val="000000"/>
          <w:sz w:val="22"/>
          <w:szCs w:val="22"/>
        </w:rPr>
        <w:t>nteraction</w:t>
      </w:r>
      <w:r w:rsidR="00FE75B4" w:rsidRPr="00F552F0">
        <w:rPr>
          <w:color w:val="000000"/>
          <w:sz w:val="22"/>
          <w:szCs w:val="22"/>
        </w:rPr>
        <w:t>s</w:t>
      </w:r>
      <w:r w:rsidR="009A0A29" w:rsidRPr="00F552F0">
        <w:rPr>
          <w:color w:val="000000"/>
          <w:sz w:val="22"/>
          <w:szCs w:val="22"/>
        </w:rPr>
        <w:t xml:space="preserve"> of external dependenc</w:t>
      </w:r>
      <w:r w:rsidR="00FE75B4" w:rsidRPr="00F552F0">
        <w:rPr>
          <w:color w:val="000000"/>
          <w:sz w:val="22"/>
          <w:szCs w:val="22"/>
        </w:rPr>
        <w:t>e</w:t>
      </w:r>
      <w:r w:rsidR="009A0A29" w:rsidRPr="00F552F0">
        <w:rPr>
          <w:color w:val="000000"/>
          <w:sz w:val="22"/>
          <w:szCs w:val="22"/>
        </w:rPr>
        <w:t xml:space="preserve"> with </w:t>
      </w:r>
      <w:r w:rsidR="00FE75B4" w:rsidRPr="00F552F0">
        <w:rPr>
          <w:color w:val="000000"/>
          <w:sz w:val="22"/>
          <w:szCs w:val="22"/>
        </w:rPr>
        <w:t>total</w:t>
      </w:r>
      <w:r w:rsidR="009A0A29" w:rsidRPr="00F552F0">
        <w:rPr>
          <w:color w:val="000000"/>
          <w:sz w:val="22"/>
          <w:szCs w:val="22"/>
        </w:rPr>
        <w:t xml:space="preserve"> credit outstanding</w:t>
      </w:r>
      <w:r w:rsidR="003C662C" w:rsidRPr="00F552F0">
        <w:rPr>
          <w:color w:val="000000"/>
          <w:sz w:val="22"/>
          <w:szCs w:val="22"/>
        </w:rPr>
        <w:t>,</w:t>
      </w:r>
      <w:r w:rsidR="009A0A29" w:rsidRPr="00F552F0">
        <w:rPr>
          <w:color w:val="000000"/>
          <w:sz w:val="22"/>
          <w:szCs w:val="22"/>
        </w:rPr>
        <w:t xml:space="preserve"> stock market capitalization</w:t>
      </w:r>
      <w:r w:rsidR="003C662C" w:rsidRPr="00F552F0">
        <w:rPr>
          <w:color w:val="000000"/>
          <w:sz w:val="22"/>
          <w:szCs w:val="22"/>
        </w:rPr>
        <w:t xml:space="preserve"> or summation of the two</w:t>
      </w:r>
      <w:r w:rsidR="00FE75B4" w:rsidRPr="00F552F0">
        <w:rPr>
          <w:color w:val="000000"/>
          <w:sz w:val="22"/>
          <w:szCs w:val="22"/>
        </w:rPr>
        <w:t xml:space="preserve">, </w:t>
      </w:r>
      <w:r w:rsidR="00D45B30" w:rsidRPr="00F552F0">
        <w:rPr>
          <w:color w:val="000000"/>
          <w:sz w:val="22"/>
          <w:szCs w:val="22"/>
        </w:rPr>
        <w:t>all</w:t>
      </w:r>
      <w:r w:rsidR="00FE75B4" w:rsidRPr="00F552F0">
        <w:rPr>
          <w:color w:val="000000"/>
          <w:sz w:val="22"/>
          <w:szCs w:val="22"/>
        </w:rPr>
        <w:t xml:space="preserve"> measured as a fraction of GDP and averaged over 1993 through 200</w:t>
      </w:r>
      <w:r w:rsidRPr="00F552F0">
        <w:rPr>
          <w:color w:val="000000"/>
          <w:sz w:val="22"/>
          <w:szCs w:val="22"/>
        </w:rPr>
        <w:t xml:space="preserve">3, generates qualitatively similar results. </w:t>
      </w:r>
      <w:r w:rsidR="00FC34D5" w:rsidRPr="00F552F0">
        <w:rPr>
          <w:color w:val="000000"/>
          <w:sz w:val="22"/>
          <w:szCs w:val="22"/>
        </w:rPr>
        <w:t xml:space="preserve"> We also control for interaction of </w:t>
      </w:r>
      <w:r w:rsidR="00FC34D5" w:rsidRPr="00F552F0">
        <w:rPr>
          <w:i/>
          <w:color w:val="000000"/>
          <w:sz w:val="22"/>
          <w:szCs w:val="22"/>
        </w:rPr>
        <w:t xml:space="preserve">oligarchy </w:t>
      </w:r>
      <w:r w:rsidR="003A341F" w:rsidRPr="00F552F0">
        <w:rPr>
          <w:color w:val="000000"/>
          <w:sz w:val="22"/>
          <w:szCs w:val="22"/>
        </w:rPr>
        <w:t>and</w:t>
      </w:r>
      <w:r w:rsidR="00FC34D5" w:rsidRPr="00F552F0">
        <w:rPr>
          <w:i/>
          <w:color w:val="000000"/>
          <w:sz w:val="22"/>
          <w:szCs w:val="22"/>
        </w:rPr>
        <w:t xml:space="preserve"> </w:t>
      </w:r>
      <w:r w:rsidR="00FC34D5" w:rsidRPr="00F552F0">
        <w:rPr>
          <w:color w:val="000000"/>
          <w:sz w:val="22"/>
          <w:szCs w:val="22"/>
        </w:rPr>
        <w:t>exte</w:t>
      </w:r>
      <w:r w:rsidR="00794EE0" w:rsidRPr="00F552F0">
        <w:rPr>
          <w:color w:val="000000"/>
          <w:sz w:val="22"/>
          <w:szCs w:val="22"/>
        </w:rPr>
        <w:t>rnal dependence and get</w:t>
      </w:r>
      <w:r w:rsidR="00FC34D5" w:rsidRPr="00F552F0">
        <w:rPr>
          <w:color w:val="000000"/>
          <w:sz w:val="22"/>
          <w:szCs w:val="22"/>
        </w:rPr>
        <w:t xml:space="preserve"> qualitatively similar</w:t>
      </w:r>
      <w:r w:rsidR="00794EE0" w:rsidRPr="00F552F0">
        <w:rPr>
          <w:color w:val="000000"/>
          <w:sz w:val="22"/>
          <w:szCs w:val="22"/>
        </w:rPr>
        <w:t xml:space="preserve"> results</w:t>
      </w:r>
      <w:r w:rsidR="00FC34D5" w:rsidRPr="00F552F0">
        <w:rPr>
          <w:color w:val="000000"/>
          <w:sz w:val="22"/>
          <w:szCs w:val="22"/>
        </w:rPr>
        <w:t xml:space="preserve"> when we use average </w:t>
      </w:r>
      <w:r w:rsidR="003A341F" w:rsidRPr="00F552F0">
        <w:rPr>
          <w:i/>
          <w:color w:val="000000"/>
          <w:sz w:val="22"/>
          <w:szCs w:val="22"/>
        </w:rPr>
        <w:t>oligarchy</w:t>
      </w:r>
      <w:r w:rsidR="00FC34D5" w:rsidRPr="00F552F0">
        <w:rPr>
          <w:color w:val="000000"/>
          <w:sz w:val="22"/>
          <w:szCs w:val="22"/>
        </w:rPr>
        <w:t xml:space="preserve"> values for co</w:t>
      </w:r>
      <w:r w:rsidR="00794EE0" w:rsidRPr="00F552F0">
        <w:rPr>
          <w:color w:val="000000"/>
          <w:sz w:val="22"/>
          <w:szCs w:val="22"/>
        </w:rPr>
        <w:t>untries that have missing data</w:t>
      </w:r>
      <w:r w:rsidR="00FC34D5" w:rsidRPr="00F552F0">
        <w:rPr>
          <w:color w:val="000000"/>
          <w:sz w:val="22"/>
          <w:szCs w:val="22"/>
        </w:rPr>
        <w:t xml:space="preserve">. </w:t>
      </w:r>
      <w:r w:rsidR="00AF40A7" w:rsidRPr="00F552F0">
        <w:rPr>
          <w:color w:val="000000"/>
          <w:sz w:val="22"/>
          <w:szCs w:val="22"/>
        </w:rPr>
        <w:t>The regressions in the panel use nominal value-added growth rates</w:t>
      </w:r>
      <w:r w:rsidR="004D4C2A" w:rsidRPr="00F552F0">
        <w:rPr>
          <w:color w:val="000000"/>
          <w:sz w:val="22"/>
          <w:szCs w:val="22"/>
        </w:rPr>
        <w:t xml:space="preserve">, leaving the country fixed effects to absorb any differences in general inflation rates.  Converting values </w:t>
      </w:r>
      <w:r w:rsidR="004D4C2A" w:rsidRPr="00F552F0">
        <w:rPr>
          <w:color w:val="000000"/>
          <w:sz w:val="22"/>
          <w:szCs w:val="22"/>
        </w:rPr>
        <w:lastRenderedPageBreak/>
        <w:t xml:space="preserve">added to </w:t>
      </w:r>
      <w:r w:rsidR="00AF40A7" w:rsidRPr="00F552F0">
        <w:rPr>
          <w:color w:val="000000"/>
          <w:sz w:val="22"/>
          <w:szCs w:val="22"/>
        </w:rPr>
        <w:t>US</w:t>
      </w:r>
      <w:r w:rsidR="00D45B30" w:rsidRPr="00F552F0">
        <w:rPr>
          <w:color w:val="000000"/>
          <w:sz w:val="22"/>
          <w:szCs w:val="22"/>
        </w:rPr>
        <w:t xml:space="preserve"> current</w:t>
      </w:r>
      <w:r w:rsidR="00AF40A7" w:rsidRPr="00F552F0">
        <w:rPr>
          <w:color w:val="000000"/>
          <w:sz w:val="22"/>
          <w:szCs w:val="22"/>
        </w:rPr>
        <w:t xml:space="preserve"> dollars </w:t>
      </w:r>
      <w:r w:rsidR="00D45B30" w:rsidRPr="00F552F0">
        <w:rPr>
          <w:color w:val="000000"/>
          <w:sz w:val="22"/>
          <w:szCs w:val="22"/>
        </w:rPr>
        <w:t xml:space="preserve">using the year-average exchange rates reported by the IMF’s International Financial Statistics and </w:t>
      </w:r>
      <w:r w:rsidR="00AF40A7" w:rsidRPr="00F552F0">
        <w:rPr>
          <w:color w:val="000000"/>
          <w:sz w:val="22"/>
          <w:szCs w:val="22"/>
        </w:rPr>
        <w:t>deflating these by the</w:t>
      </w:r>
      <w:r w:rsidR="009A0A29" w:rsidRPr="00F552F0">
        <w:rPr>
          <w:color w:val="000000"/>
          <w:sz w:val="22"/>
          <w:szCs w:val="22"/>
        </w:rPr>
        <w:t xml:space="preserve"> US producer price index for finished goods </w:t>
      </w:r>
      <w:r w:rsidR="00AF40A7" w:rsidRPr="00F552F0">
        <w:rPr>
          <w:color w:val="000000"/>
          <w:sz w:val="22"/>
          <w:szCs w:val="22"/>
        </w:rPr>
        <w:t xml:space="preserve">generates qualitatively similar results.  The regressions in the panel use an indicator variable that designates US industries as external financing-dependent if they make more use of external capital than the median US industry. Re-estimating the panel, but instead interacting our bank control measures with mean </w:t>
      </w:r>
      <w:r w:rsidR="00AB3605" w:rsidRPr="00F552F0">
        <w:rPr>
          <w:color w:val="000000"/>
          <w:sz w:val="22"/>
          <w:szCs w:val="22"/>
        </w:rPr>
        <w:t xml:space="preserve">US </w:t>
      </w:r>
      <w:r w:rsidR="00AF40A7" w:rsidRPr="00F552F0">
        <w:rPr>
          <w:color w:val="000000"/>
          <w:sz w:val="22"/>
          <w:szCs w:val="22"/>
        </w:rPr>
        <w:t>fractions of capital spending financed externally</w:t>
      </w:r>
      <w:r w:rsidR="006D635D" w:rsidRPr="00F552F0">
        <w:rPr>
          <w:color w:val="000000"/>
          <w:sz w:val="22"/>
          <w:szCs w:val="22"/>
        </w:rPr>
        <w:t>,</w:t>
      </w:r>
      <w:r w:rsidR="0036782E" w:rsidRPr="00F552F0">
        <w:rPr>
          <w:color w:val="000000"/>
          <w:sz w:val="22"/>
          <w:szCs w:val="22"/>
        </w:rPr>
        <w:t xml:space="preserve"> causes</w:t>
      </w:r>
      <w:r w:rsidR="00820148" w:rsidRPr="00F552F0">
        <w:rPr>
          <w:color w:val="000000"/>
          <w:sz w:val="22"/>
          <w:szCs w:val="22"/>
        </w:rPr>
        <w:t xml:space="preserve"> family control</w:t>
      </w:r>
      <w:r w:rsidR="0036782E" w:rsidRPr="00F552F0">
        <w:rPr>
          <w:color w:val="000000"/>
          <w:sz w:val="22"/>
          <w:szCs w:val="22"/>
        </w:rPr>
        <w:t xml:space="preserve"> to</w:t>
      </w:r>
      <w:r w:rsidR="00820148" w:rsidRPr="00F552F0">
        <w:rPr>
          <w:color w:val="000000"/>
          <w:sz w:val="22"/>
          <w:szCs w:val="22"/>
        </w:rPr>
        <w:t xml:space="preserve"> lose significance</w:t>
      </w:r>
      <w:r w:rsidR="00AB3605" w:rsidRPr="00F552F0">
        <w:rPr>
          <w:color w:val="000000"/>
          <w:sz w:val="22"/>
          <w:szCs w:val="22"/>
        </w:rPr>
        <w:t>; h</w:t>
      </w:r>
      <w:r w:rsidR="00820148" w:rsidRPr="00F552F0">
        <w:rPr>
          <w:color w:val="000000"/>
          <w:sz w:val="22"/>
          <w:szCs w:val="22"/>
        </w:rPr>
        <w:t xml:space="preserve">owever, </w:t>
      </w:r>
      <w:proofErr w:type="spellStart"/>
      <w:r w:rsidR="00820148" w:rsidRPr="00F552F0">
        <w:rPr>
          <w:color w:val="000000"/>
          <w:sz w:val="22"/>
          <w:szCs w:val="22"/>
        </w:rPr>
        <w:t>winsorizing</w:t>
      </w:r>
      <w:proofErr w:type="spellEnd"/>
      <w:r w:rsidR="00820148" w:rsidRPr="00F552F0">
        <w:rPr>
          <w:color w:val="000000"/>
          <w:sz w:val="22"/>
          <w:szCs w:val="22"/>
        </w:rPr>
        <w:t xml:space="preserve"> the interaction term at the 5%</w:t>
      </w:r>
      <w:r w:rsidR="006D635D" w:rsidRPr="00F552F0">
        <w:rPr>
          <w:color w:val="000000"/>
          <w:sz w:val="22"/>
          <w:szCs w:val="22"/>
        </w:rPr>
        <w:t xml:space="preserve"> level</w:t>
      </w:r>
      <w:r w:rsidR="00820148" w:rsidRPr="00F552F0">
        <w:rPr>
          <w:color w:val="000000"/>
          <w:sz w:val="22"/>
          <w:szCs w:val="22"/>
        </w:rPr>
        <w:t xml:space="preserve"> to mitigate the influence of outliers restores significance. </w:t>
      </w:r>
      <w:r w:rsidR="00466AD3" w:rsidRPr="00F552F0">
        <w:rPr>
          <w:color w:val="000000"/>
          <w:sz w:val="22"/>
          <w:szCs w:val="22"/>
        </w:rPr>
        <w:t xml:space="preserve">Using an indicator variable or the fraction of capital spending financed externally based only on young firms, defined as firms listed for ten years or less, in each US industry, which are likely to be most sensitive to difficulties in obtaining external capital </w:t>
      </w:r>
      <w:r w:rsidR="00466AD3" w:rsidRPr="00F552F0">
        <w:rPr>
          <w:sz w:val="22"/>
          <w:szCs w:val="22"/>
        </w:rPr>
        <w:t>(</w:t>
      </w:r>
      <w:proofErr w:type="spellStart"/>
      <w:r w:rsidR="00466AD3" w:rsidRPr="00F552F0">
        <w:rPr>
          <w:sz w:val="22"/>
          <w:szCs w:val="22"/>
        </w:rPr>
        <w:t>Rajan</w:t>
      </w:r>
      <w:proofErr w:type="spellEnd"/>
      <w:r w:rsidR="00466AD3" w:rsidRPr="00F552F0">
        <w:rPr>
          <w:sz w:val="22"/>
          <w:szCs w:val="22"/>
        </w:rPr>
        <w:t xml:space="preserve"> </w:t>
      </w:r>
      <w:r w:rsidR="00E82874" w:rsidRPr="00F552F0">
        <w:rPr>
          <w:sz w:val="22"/>
          <w:szCs w:val="22"/>
        </w:rPr>
        <w:t>and</w:t>
      </w:r>
      <w:r w:rsidR="00466AD3" w:rsidRPr="00F552F0">
        <w:rPr>
          <w:sz w:val="22"/>
          <w:szCs w:val="22"/>
        </w:rPr>
        <w:t xml:space="preserve"> </w:t>
      </w:r>
      <w:proofErr w:type="spellStart"/>
      <w:r w:rsidR="00466AD3" w:rsidRPr="00F552F0">
        <w:rPr>
          <w:sz w:val="22"/>
          <w:szCs w:val="22"/>
        </w:rPr>
        <w:t>Zingales</w:t>
      </w:r>
      <w:proofErr w:type="spellEnd"/>
      <w:r w:rsidR="002C144B" w:rsidRPr="00F552F0">
        <w:rPr>
          <w:sz w:val="22"/>
          <w:szCs w:val="22"/>
        </w:rPr>
        <w:t>,</w:t>
      </w:r>
      <w:r w:rsidR="00466AD3" w:rsidRPr="00F552F0">
        <w:rPr>
          <w:sz w:val="22"/>
          <w:szCs w:val="22"/>
        </w:rPr>
        <w:t xml:space="preserve"> 1998), also generates qualitatively similar results to those shown in the table.  </w:t>
      </w:r>
    </w:p>
    <w:p w:rsidR="001E4697" w:rsidRPr="00F552F0" w:rsidRDefault="00820148" w:rsidP="001E4697">
      <w:pPr>
        <w:spacing w:line="440" w:lineRule="exact"/>
        <w:ind w:firstLine="720"/>
        <w:jc w:val="both"/>
        <w:rPr>
          <w:sz w:val="22"/>
          <w:szCs w:val="22"/>
        </w:rPr>
      </w:pPr>
      <w:r w:rsidRPr="00F552F0">
        <w:rPr>
          <w:sz w:val="22"/>
          <w:szCs w:val="22"/>
        </w:rPr>
        <w:t xml:space="preserve">The results in Panel </w:t>
      </w:r>
      <w:proofErr w:type="gramStart"/>
      <w:r w:rsidRPr="00F552F0">
        <w:rPr>
          <w:sz w:val="22"/>
          <w:szCs w:val="22"/>
        </w:rPr>
        <w:t>A</w:t>
      </w:r>
      <w:proofErr w:type="gramEnd"/>
      <w:r w:rsidRPr="00F552F0">
        <w:rPr>
          <w:sz w:val="22"/>
          <w:szCs w:val="22"/>
        </w:rPr>
        <w:t xml:space="preserve"> of Table 5 are stronger if initial per capita GDP is excluded</w:t>
      </w:r>
      <w:r w:rsidR="00230BB4" w:rsidRPr="00F552F0">
        <w:rPr>
          <w:sz w:val="22"/>
          <w:szCs w:val="22"/>
        </w:rPr>
        <w:t xml:space="preserve">, raising </w:t>
      </w:r>
      <w:r w:rsidR="00BA43E7" w:rsidRPr="00F552F0">
        <w:rPr>
          <w:sz w:val="22"/>
          <w:szCs w:val="22"/>
        </w:rPr>
        <w:t>the possibility that our bank</w:t>
      </w:r>
      <w:r w:rsidR="00230BB4" w:rsidRPr="00F552F0">
        <w:rPr>
          <w:sz w:val="22"/>
          <w:szCs w:val="22"/>
        </w:rPr>
        <w:t>ing system</w:t>
      </w:r>
      <w:r w:rsidR="00BA43E7" w:rsidRPr="00F552F0">
        <w:rPr>
          <w:sz w:val="22"/>
          <w:szCs w:val="22"/>
        </w:rPr>
        <w:t xml:space="preserve"> control </w:t>
      </w:r>
      <w:r w:rsidR="00230BB4" w:rsidRPr="00F552F0">
        <w:rPr>
          <w:sz w:val="22"/>
          <w:szCs w:val="22"/>
        </w:rPr>
        <w:t>measures</w:t>
      </w:r>
      <w:r w:rsidR="00BA43E7" w:rsidRPr="00F552F0">
        <w:rPr>
          <w:sz w:val="22"/>
          <w:szCs w:val="22"/>
        </w:rPr>
        <w:t xml:space="preserve"> </w:t>
      </w:r>
      <w:r w:rsidRPr="00F552F0">
        <w:rPr>
          <w:sz w:val="22"/>
          <w:szCs w:val="22"/>
        </w:rPr>
        <w:t>m</w:t>
      </w:r>
      <w:r w:rsidR="00230BB4" w:rsidRPr="00F552F0">
        <w:rPr>
          <w:sz w:val="22"/>
          <w:szCs w:val="22"/>
        </w:rPr>
        <w:t xml:space="preserve">ight proxy </w:t>
      </w:r>
      <w:r w:rsidRPr="00F552F0">
        <w:rPr>
          <w:sz w:val="22"/>
          <w:szCs w:val="22"/>
        </w:rPr>
        <w:t>for a</w:t>
      </w:r>
      <w:r w:rsidR="00AB3605" w:rsidRPr="00F552F0">
        <w:rPr>
          <w:sz w:val="22"/>
          <w:szCs w:val="22"/>
        </w:rPr>
        <w:t xml:space="preserve"> non</w:t>
      </w:r>
      <w:r w:rsidR="00BA43E7" w:rsidRPr="00F552F0">
        <w:rPr>
          <w:sz w:val="22"/>
          <w:szCs w:val="22"/>
        </w:rPr>
        <w:t>linear</w:t>
      </w:r>
      <w:r w:rsidR="00230BB4" w:rsidRPr="00F552F0">
        <w:rPr>
          <w:sz w:val="22"/>
          <w:szCs w:val="22"/>
        </w:rPr>
        <w:t xml:space="preserve"> effect of initial per capita GDP</w:t>
      </w:r>
      <w:r w:rsidR="00BA43E7" w:rsidRPr="00F552F0">
        <w:rPr>
          <w:sz w:val="22"/>
          <w:szCs w:val="22"/>
        </w:rPr>
        <w:t xml:space="preserve">. To </w:t>
      </w:r>
      <w:r w:rsidR="00230BB4" w:rsidRPr="00F552F0">
        <w:rPr>
          <w:sz w:val="22"/>
          <w:szCs w:val="22"/>
        </w:rPr>
        <w:t>check this,</w:t>
      </w:r>
      <w:r w:rsidR="00BA43E7" w:rsidRPr="00F552F0">
        <w:rPr>
          <w:sz w:val="22"/>
          <w:szCs w:val="22"/>
        </w:rPr>
        <w:t xml:space="preserve"> we repeat our test</w:t>
      </w:r>
      <w:r w:rsidR="00230BB4" w:rsidRPr="00F552F0">
        <w:rPr>
          <w:sz w:val="22"/>
          <w:szCs w:val="22"/>
        </w:rPr>
        <w:t xml:space="preserve">s controlling for </w:t>
      </w:r>
      <w:r w:rsidR="00D51DF0" w:rsidRPr="00F552F0">
        <w:rPr>
          <w:sz w:val="22"/>
          <w:szCs w:val="22"/>
        </w:rPr>
        <w:t>initial</w:t>
      </w:r>
      <w:r w:rsidR="00BA43E7" w:rsidRPr="00F552F0">
        <w:rPr>
          <w:sz w:val="22"/>
          <w:szCs w:val="22"/>
        </w:rPr>
        <w:t xml:space="preserve"> GDP per capita</w:t>
      </w:r>
      <w:r w:rsidR="00230BB4" w:rsidRPr="00F552F0">
        <w:rPr>
          <w:sz w:val="22"/>
          <w:szCs w:val="22"/>
        </w:rPr>
        <w:t xml:space="preserve"> and its square, as well as the </w:t>
      </w:r>
      <w:r w:rsidR="00D51DF0" w:rsidRPr="00F552F0">
        <w:rPr>
          <w:sz w:val="22"/>
          <w:szCs w:val="22"/>
        </w:rPr>
        <w:t>other controls</w:t>
      </w:r>
      <w:r w:rsidR="00BA43E7" w:rsidRPr="00F552F0">
        <w:rPr>
          <w:sz w:val="22"/>
          <w:szCs w:val="22"/>
        </w:rPr>
        <w:t>.</w:t>
      </w:r>
      <w:r w:rsidR="004E35D1" w:rsidRPr="00F552F0">
        <w:rPr>
          <w:sz w:val="22"/>
          <w:szCs w:val="22"/>
        </w:rPr>
        <w:t xml:space="preserve"> </w:t>
      </w:r>
      <w:r w:rsidR="00230BB4" w:rsidRPr="00F552F0">
        <w:rPr>
          <w:sz w:val="22"/>
          <w:szCs w:val="22"/>
        </w:rPr>
        <w:t>Qualitatively similar results ensue, except that the</w:t>
      </w:r>
      <w:r w:rsidR="0022785D" w:rsidRPr="00F552F0">
        <w:rPr>
          <w:sz w:val="22"/>
          <w:szCs w:val="22"/>
        </w:rPr>
        <w:t xml:space="preserve"> bank control variables </w:t>
      </w:r>
      <w:r w:rsidR="00230BB4" w:rsidRPr="00F552F0">
        <w:rPr>
          <w:sz w:val="22"/>
          <w:szCs w:val="22"/>
        </w:rPr>
        <w:t>lose</w:t>
      </w:r>
      <w:r w:rsidR="0022785D" w:rsidRPr="00F552F0">
        <w:rPr>
          <w:sz w:val="22"/>
          <w:szCs w:val="22"/>
        </w:rPr>
        <w:t xml:space="preserve"> significan</w:t>
      </w:r>
      <w:r w:rsidR="00230BB4" w:rsidRPr="00F552F0">
        <w:rPr>
          <w:sz w:val="22"/>
          <w:szCs w:val="22"/>
        </w:rPr>
        <w:t>ce</w:t>
      </w:r>
      <w:r w:rsidR="0022785D" w:rsidRPr="00F552F0">
        <w:rPr>
          <w:sz w:val="22"/>
          <w:szCs w:val="22"/>
        </w:rPr>
        <w:t xml:space="preserve"> in explaining the number of banking crises. </w:t>
      </w:r>
      <w:r w:rsidR="00230BB4" w:rsidRPr="00F552F0">
        <w:rPr>
          <w:sz w:val="22"/>
          <w:szCs w:val="22"/>
        </w:rPr>
        <w:t xml:space="preserve"> </w:t>
      </w:r>
    </w:p>
    <w:p w:rsidR="0051786C" w:rsidRPr="00F552F0" w:rsidRDefault="00230BB4" w:rsidP="00230BB4">
      <w:pPr>
        <w:autoSpaceDE w:val="0"/>
        <w:autoSpaceDN w:val="0"/>
        <w:adjustRightInd w:val="0"/>
        <w:spacing w:line="440" w:lineRule="exact"/>
        <w:ind w:firstLine="720"/>
        <w:jc w:val="both"/>
        <w:rPr>
          <w:color w:val="000000"/>
          <w:sz w:val="22"/>
          <w:szCs w:val="22"/>
        </w:rPr>
      </w:pPr>
      <w:r w:rsidRPr="00F552F0">
        <w:rPr>
          <w:color w:val="000000"/>
          <w:sz w:val="22"/>
          <w:szCs w:val="22"/>
        </w:rPr>
        <w:t xml:space="preserve">The regressions in </w:t>
      </w:r>
      <w:r w:rsidR="0051786C" w:rsidRPr="00F552F0">
        <w:rPr>
          <w:color w:val="000000"/>
          <w:sz w:val="22"/>
          <w:szCs w:val="22"/>
        </w:rPr>
        <w:t xml:space="preserve">Table 6 </w:t>
      </w:r>
      <w:r w:rsidRPr="00F552F0">
        <w:rPr>
          <w:color w:val="000000"/>
          <w:sz w:val="22"/>
          <w:szCs w:val="22"/>
        </w:rPr>
        <w:t>include controls</w:t>
      </w:r>
      <w:r w:rsidR="0051786C" w:rsidRPr="00F552F0">
        <w:rPr>
          <w:color w:val="000000"/>
          <w:sz w:val="22"/>
          <w:szCs w:val="22"/>
        </w:rPr>
        <w:t xml:space="preserve"> commonly used in </w:t>
      </w:r>
      <w:r w:rsidR="0051786C" w:rsidRPr="00F552F0">
        <w:rPr>
          <w:sz w:val="22"/>
          <w:szCs w:val="22"/>
        </w:rPr>
        <w:t xml:space="preserve">the economic growth literature; but others are sometimes added. We therefore repeat the income growth regressions of Table 6 including other controls used in Beck </w:t>
      </w:r>
      <w:r w:rsidR="003D5871" w:rsidRPr="00F552F0">
        <w:rPr>
          <w:sz w:val="22"/>
          <w:szCs w:val="22"/>
        </w:rPr>
        <w:t>et al.</w:t>
      </w:r>
      <w:r w:rsidR="0051786C" w:rsidRPr="00F552F0">
        <w:rPr>
          <w:sz w:val="22"/>
          <w:szCs w:val="22"/>
        </w:rPr>
        <w:t xml:space="preserve"> (2000)</w:t>
      </w:r>
      <w:r w:rsidR="00AB3605" w:rsidRPr="00F552F0">
        <w:rPr>
          <w:sz w:val="22"/>
          <w:szCs w:val="22"/>
        </w:rPr>
        <w:t>:</w:t>
      </w:r>
      <w:r w:rsidR="0051786C" w:rsidRPr="00F552F0">
        <w:rPr>
          <w:sz w:val="22"/>
          <w:szCs w:val="22"/>
        </w:rPr>
        <w:t xml:space="preserve"> </w:t>
      </w:r>
      <w:r w:rsidR="0051786C" w:rsidRPr="00F552F0">
        <w:rPr>
          <w:i/>
          <w:sz w:val="22"/>
          <w:szCs w:val="22"/>
        </w:rPr>
        <w:t>mean</w:t>
      </w:r>
      <w:r w:rsidR="0051786C" w:rsidRPr="00F552F0">
        <w:rPr>
          <w:sz w:val="22"/>
          <w:szCs w:val="22"/>
        </w:rPr>
        <w:t xml:space="preserve"> </w:t>
      </w:r>
      <w:r w:rsidR="0051786C" w:rsidRPr="00F552F0">
        <w:rPr>
          <w:i/>
          <w:color w:val="000000"/>
          <w:sz w:val="22"/>
          <w:szCs w:val="22"/>
        </w:rPr>
        <w:t>inflation rates</w:t>
      </w:r>
      <w:r w:rsidR="0051786C" w:rsidRPr="00F552F0">
        <w:rPr>
          <w:color w:val="000000"/>
          <w:sz w:val="22"/>
          <w:szCs w:val="22"/>
        </w:rPr>
        <w:t xml:space="preserve">, </w:t>
      </w:r>
      <w:r w:rsidR="0051786C" w:rsidRPr="00F552F0">
        <w:rPr>
          <w:i/>
          <w:color w:val="000000"/>
          <w:sz w:val="22"/>
          <w:szCs w:val="22"/>
        </w:rPr>
        <w:t>government as a fraction of GDP</w:t>
      </w:r>
      <w:r w:rsidR="0051786C" w:rsidRPr="00F552F0">
        <w:rPr>
          <w:color w:val="000000"/>
          <w:sz w:val="22"/>
          <w:szCs w:val="22"/>
        </w:rPr>
        <w:t xml:space="preserve">, </w:t>
      </w:r>
      <w:r w:rsidR="0051786C" w:rsidRPr="00F552F0">
        <w:rPr>
          <w:i/>
          <w:color w:val="000000"/>
          <w:sz w:val="22"/>
          <w:szCs w:val="22"/>
        </w:rPr>
        <w:t>black market exchange rate premium</w:t>
      </w:r>
      <w:r w:rsidR="00AB3605" w:rsidRPr="00F552F0">
        <w:rPr>
          <w:i/>
          <w:color w:val="000000"/>
          <w:sz w:val="22"/>
          <w:szCs w:val="22"/>
        </w:rPr>
        <w:t>s</w:t>
      </w:r>
      <w:r w:rsidR="0051786C" w:rsidRPr="00F552F0">
        <w:rPr>
          <w:color w:val="000000"/>
          <w:sz w:val="22"/>
          <w:szCs w:val="22"/>
        </w:rPr>
        <w:t xml:space="preserve">, </w:t>
      </w:r>
      <w:r w:rsidR="0051786C" w:rsidRPr="00F552F0">
        <w:rPr>
          <w:i/>
          <w:color w:val="000000"/>
          <w:sz w:val="22"/>
          <w:szCs w:val="22"/>
        </w:rPr>
        <w:t>number</w:t>
      </w:r>
      <w:r w:rsidR="00AB3605" w:rsidRPr="00F552F0">
        <w:rPr>
          <w:i/>
          <w:color w:val="000000"/>
          <w:sz w:val="22"/>
          <w:szCs w:val="22"/>
        </w:rPr>
        <w:t>s</w:t>
      </w:r>
      <w:r w:rsidR="0051786C" w:rsidRPr="00F552F0">
        <w:rPr>
          <w:i/>
          <w:color w:val="000000"/>
          <w:sz w:val="22"/>
          <w:szCs w:val="22"/>
        </w:rPr>
        <w:t xml:space="preserve"> of coups</w:t>
      </w:r>
      <w:r w:rsidR="0051786C" w:rsidRPr="00F552F0">
        <w:rPr>
          <w:color w:val="000000"/>
          <w:sz w:val="22"/>
          <w:szCs w:val="22"/>
        </w:rPr>
        <w:t xml:space="preserve">, </w:t>
      </w:r>
      <w:r w:rsidR="0051786C" w:rsidRPr="00F552F0">
        <w:rPr>
          <w:i/>
          <w:color w:val="000000"/>
          <w:sz w:val="22"/>
          <w:szCs w:val="22"/>
        </w:rPr>
        <w:t>number</w:t>
      </w:r>
      <w:r w:rsidR="00AB3605" w:rsidRPr="00F552F0">
        <w:rPr>
          <w:i/>
          <w:color w:val="000000"/>
          <w:sz w:val="22"/>
          <w:szCs w:val="22"/>
        </w:rPr>
        <w:t>s</w:t>
      </w:r>
      <w:r w:rsidR="0051786C" w:rsidRPr="00F552F0">
        <w:rPr>
          <w:i/>
          <w:color w:val="000000"/>
          <w:sz w:val="22"/>
          <w:szCs w:val="22"/>
        </w:rPr>
        <w:t xml:space="preserve"> of assassinations, </w:t>
      </w:r>
      <w:r w:rsidR="001E4697" w:rsidRPr="00F552F0">
        <w:rPr>
          <w:color w:val="000000"/>
          <w:sz w:val="22"/>
        </w:rPr>
        <w:t>and</w:t>
      </w:r>
      <w:r w:rsidR="0051786C" w:rsidRPr="00F552F0">
        <w:rPr>
          <w:i/>
          <w:color w:val="000000"/>
          <w:sz w:val="22"/>
          <w:szCs w:val="22"/>
        </w:rPr>
        <w:t xml:space="preserve"> ethnic diversity</w:t>
      </w:r>
      <w:r w:rsidR="006D635D" w:rsidRPr="00F552F0">
        <w:rPr>
          <w:color w:val="000000"/>
          <w:sz w:val="22"/>
          <w:szCs w:val="22"/>
        </w:rPr>
        <w:t>—</w:t>
      </w:r>
      <w:r w:rsidR="00AB3605" w:rsidRPr="00F552F0">
        <w:rPr>
          <w:color w:val="000000"/>
          <w:sz w:val="22"/>
          <w:szCs w:val="22"/>
        </w:rPr>
        <w:t xml:space="preserve"> in</w:t>
      </w:r>
      <w:r w:rsidR="0051786C" w:rsidRPr="00F552F0">
        <w:rPr>
          <w:color w:val="000000"/>
          <w:sz w:val="22"/>
          <w:szCs w:val="22"/>
        </w:rPr>
        <w:t>dividually and all together. Qual</w:t>
      </w:r>
      <w:r w:rsidR="00AB3605" w:rsidRPr="00F552F0">
        <w:rPr>
          <w:color w:val="000000"/>
          <w:sz w:val="22"/>
          <w:szCs w:val="22"/>
        </w:rPr>
        <w:t>itatively similar results ensue</w:t>
      </w:r>
      <w:r w:rsidR="006D635D" w:rsidRPr="00F552F0">
        <w:rPr>
          <w:color w:val="000000"/>
          <w:sz w:val="22"/>
          <w:szCs w:val="22"/>
        </w:rPr>
        <w:t>;</w:t>
      </w:r>
      <w:r w:rsidR="0051786C" w:rsidRPr="00F552F0">
        <w:rPr>
          <w:color w:val="000000"/>
          <w:sz w:val="22"/>
          <w:szCs w:val="22"/>
        </w:rPr>
        <w:t xml:space="preserve"> family control is always negatively significantly associated with growth. </w:t>
      </w:r>
    </w:p>
    <w:p w:rsidR="00230BB4" w:rsidRPr="00F552F0" w:rsidRDefault="00230BB4">
      <w:pPr>
        <w:autoSpaceDE w:val="0"/>
        <w:autoSpaceDN w:val="0"/>
        <w:adjustRightInd w:val="0"/>
        <w:spacing w:line="440" w:lineRule="exact"/>
        <w:jc w:val="both"/>
        <w:rPr>
          <w:b/>
          <w:color w:val="000000"/>
        </w:rPr>
      </w:pPr>
    </w:p>
    <w:p w:rsidR="00FB1035" w:rsidRPr="00F552F0" w:rsidRDefault="003D5871" w:rsidP="00230BB4">
      <w:pPr>
        <w:keepNext/>
        <w:widowControl w:val="0"/>
        <w:autoSpaceDE w:val="0"/>
        <w:autoSpaceDN w:val="0"/>
        <w:adjustRightInd w:val="0"/>
        <w:spacing w:line="440" w:lineRule="exact"/>
        <w:jc w:val="both"/>
        <w:rPr>
          <w:i/>
          <w:color w:val="000000"/>
        </w:rPr>
      </w:pPr>
      <w:r w:rsidRPr="00F552F0">
        <w:rPr>
          <w:i/>
          <w:color w:val="000000"/>
        </w:rPr>
        <w:t>3.3.4.</w:t>
      </w:r>
      <w:r w:rsidRPr="00F552F0">
        <w:rPr>
          <w:i/>
          <w:color w:val="000000"/>
        </w:rPr>
        <w:tab/>
        <w:t>Alternative samples</w:t>
      </w:r>
    </w:p>
    <w:p w:rsidR="00E21501" w:rsidRPr="00F552F0" w:rsidRDefault="002C23A8">
      <w:pPr>
        <w:spacing w:line="440" w:lineRule="exact"/>
        <w:ind w:firstLine="720"/>
        <w:jc w:val="both"/>
        <w:rPr>
          <w:sz w:val="22"/>
          <w:szCs w:val="22"/>
        </w:rPr>
      </w:pPr>
      <w:r w:rsidRPr="00F552F0">
        <w:rPr>
          <w:color w:val="000000"/>
          <w:sz w:val="22"/>
          <w:szCs w:val="22"/>
        </w:rPr>
        <w:t xml:space="preserve">We can obtain data for only a few banks in some countries. If these have only a few banks, this is not necessarily a problem; but if we are missing data for these countries, their banking control measures may be estimated less precisely. We therefore repeat our tests after dropping the countries represented in our data by fewer than three banks: </w:t>
      </w:r>
      <w:smartTag w:uri="urn:schemas-microsoft-com:office:smarttags" w:element="country-region">
        <w:r w:rsidRPr="00F552F0">
          <w:rPr>
            <w:color w:val="000000"/>
            <w:sz w:val="22"/>
            <w:szCs w:val="22"/>
          </w:rPr>
          <w:t>Finland</w:t>
        </w:r>
      </w:smartTag>
      <w:r w:rsidRPr="00F552F0">
        <w:rPr>
          <w:color w:val="000000"/>
          <w:sz w:val="22"/>
          <w:szCs w:val="22"/>
        </w:rPr>
        <w:t xml:space="preserve">, </w:t>
      </w:r>
      <w:smartTag w:uri="urn:schemas-microsoft-com:office:smarttags" w:element="country-region">
        <w:r w:rsidRPr="00F552F0">
          <w:rPr>
            <w:color w:val="000000"/>
            <w:sz w:val="22"/>
            <w:szCs w:val="22"/>
          </w:rPr>
          <w:t>Venezuela</w:t>
        </w:r>
      </w:smartTag>
      <w:r w:rsidRPr="00F552F0">
        <w:rPr>
          <w:color w:val="000000"/>
          <w:sz w:val="22"/>
          <w:szCs w:val="22"/>
        </w:rPr>
        <w:t xml:space="preserve">, and </w:t>
      </w:r>
      <w:smartTag w:uri="urn:schemas-microsoft-com:office:smarttags" w:element="place">
        <w:smartTag w:uri="urn:schemas-microsoft-com:office:smarttags" w:element="country-region">
          <w:r w:rsidRPr="00F552F0">
            <w:rPr>
              <w:color w:val="000000"/>
              <w:sz w:val="22"/>
              <w:szCs w:val="22"/>
            </w:rPr>
            <w:t>Zimbabwe</w:t>
          </w:r>
        </w:smartTag>
      </w:smartTag>
      <w:r w:rsidRPr="00F552F0">
        <w:rPr>
          <w:color w:val="000000"/>
          <w:sz w:val="22"/>
          <w:szCs w:val="22"/>
        </w:rPr>
        <w:t xml:space="preserve">. This exercise </w:t>
      </w:r>
      <w:r w:rsidR="00FA5392" w:rsidRPr="00F552F0">
        <w:rPr>
          <w:color w:val="000000"/>
          <w:sz w:val="22"/>
          <w:szCs w:val="22"/>
        </w:rPr>
        <w:t>yields qualitatively similar results, except that</w:t>
      </w:r>
      <w:r w:rsidRPr="00F552F0">
        <w:rPr>
          <w:color w:val="000000"/>
          <w:sz w:val="22"/>
          <w:szCs w:val="22"/>
        </w:rPr>
        <w:t xml:space="preserve"> our bank control measures</w:t>
      </w:r>
      <w:r w:rsidR="00FA5392" w:rsidRPr="00F552F0">
        <w:rPr>
          <w:color w:val="000000"/>
          <w:sz w:val="22"/>
          <w:szCs w:val="22"/>
        </w:rPr>
        <w:t xml:space="preserve"> become</w:t>
      </w:r>
      <w:r w:rsidRPr="00F552F0">
        <w:rPr>
          <w:color w:val="000000"/>
          <w:sz w:val="22"/>
          <w:szCs w:val="22"/>
        </w:rPr>
        <w:t xml:space="preserve"> insignificant in explaining </w:t>
      </w:r>
      <w:proofErr w:type="spellStart"/>
      <w:r w:rsidR="00FA5392" w:rsidRPr="00F552F0">
        <w:rPr>
          <w:color w:val="000000"/>
          <w:sz w:val="22"/>
          <w:szCs w:val="22"/>
        </w:rPr>
        <w:t>Wurgler’s</w:t>
      </w:r>
      <w:proofErr w:type="spellEnd"/>
      <w:r w:rsidR="00FA5392" w:rsidRPr="00F552F0">
        <w:rPr>
          <w:color w:val="000000"/>
          <w:sz w:val="22"/>
          <w:szCs w:val="22"/>
        </w:rPr>
        <w:t xml:space="preserve"> </w:t>
      </w:r>
      <w:r w:rsidR="00FA5392" w:rsidRPr="00F552F0">
        <w:rPr>
          <w:color w:val="000000"/>
          <w:sz w:val="22"/>
          <w:szCs w:val="22"/>
        </w:rPr>
        <w:lastRenderedPageBreak/>
        <w:t xml:space="preserve">(2000) </w:t>
      </w:r>
      <w:r w:rsidRPr="00F552F0">
        <w:rPr>
          <w:color w:val="000000"/>
          <w:sz w:val="22"/>
          <w:szCs w:val="22"/>
        </w:rPr>
        <w:t xml:space="preserve">capital allocation efficiency </w:t>
      </w:r>
      <w:r w:rsidR="00FA5392" w:rsidRPr="00F552F0">
        <w:rPr>
          <w:color w:val="000000"/>
          <w:sz w:val="22"/>
          <w:szCs w:val="22"/>
        </w:rPr>
        <w:t>estimated using</w:t>
      </w:r>
      <w:r w:rsidRPr="00F552F0">
        <w:rPr>
          <w:color w:val="000000"/>
          <w:sz w:val="22"/>
          <w:szCs w:val="22"/>
        </w:rPr>
        <w:t xml:space="preserve"> the shorter window, though the coefficient magnitudes are roughly preserved</w:t>
      </w:r>
      <w:r w:rsidR="00FA5392" w:rsidRPr="00F552F0">
        <w:rPr>
          <w:color w:val="000000"/>
          <w:sz w:val="22"/>
          <w:szCs w:val="22"/>
        </w:rPr>
        <w:t>, and that the</w:t>
      </w:r>
      <w:r w:rsidRPr="00F552F0">
        <w:rPr>
          <w:color w:val="000000"/>
          <w:sz w:val="22"/>
          <w:szCs w:val="22"/>
        </w:rPr>
        <w:t xml:space="preserve"> interaction of </w:t>
      </w:r>
      <w:r w:rsidRPr="00F552F0">
        <w:rPr>
          <w:sz w:val="22"/>
          <w:szCs w:val="22"/>
        </w:rPr>
        <w:t xml:space="preserve">widely held banks with </w:t>
      </w:r>
      <w:r w:rsidR="006D635D" w:rsidRPr="00F552F0">
        <w:rPr>
          <w:sz w:val="22"/>
          <w:szCs w:val="22"/>
        </w:rPr>
        <w:t>external</w:t>
      </w:r>
      <w:r w:rsidRPr="00F552F0">
        <w:rPr>
          <w:sz w:val="22"/>
          <w:szCs w:val="22"/>
        </w:rPr>
        <w:t xml:space="preserve"> </w:t>
      </w:r>
      <w:r w:rsidR="00663428" w:rsidRPr="00F552F0">
        <w:rPr>
          <w:sz w:val="22"/>
          <w:szCs w:val="22"/>
        </w:rPr>
        <w:t>dependence</w:t>
      </w:r>
      <w:r w:rsidRPr="00F552F0">
        <w:rPr>
          <w:sz w:val="22"/>
          <w:szCs w:val="22"/>
        </w:rPr>
        <w:t xml:space="preserve"> </w:t>
      </w:r>
      <w:r w:rsidR="00FA5392" w:rsidRPr="00F552F0">
        <w:rPr>
          <w:sz w:val="22"/>
          <w:szCs w:val="22"/>
        </w:rPr>
        <w:t xml:space="preserve">becomes </w:t>
      </w:r>
      <w:r w:rsidRPr="00F552F0">
        <w:rPr>
          <w:sz w:val="22"/>
          <w:szCs w:val="22"/>
        </w:rPr>
        <w:t>insignificant in explaining value</w:t>
      </w:r>
      <w:r w:rsidR="006D635D" w:rsidRPr="00F552F0">
        <w:rPr>
          <w:sz w:val="22"/>
          <w:szCs w:val="22"/>
        </w:rPr>
        <w:t>-</w:t>
      </w:r>
      <w:r w:rsidRPr="00F552F0">
        <w:rPr>
          <w:sz w:val="22"/>
          <w:szCs w:val="22"/>
        </w:rPr>
        <w:t xml:space="preserve">added growth. </w:t>
      </w:r>
    </w:p>
    <w:p w:rsidR="00FB1035" w:rsidRPr="00F552F0" w:rsidRDefault="00D37DAA" w:rsidP="00FB1035">
      <w:pPr>
        <w:spacing w:line="440" w:lineRule="exact"/>
        <w:ind w:firstLine="720"/>
        <w:jc w:val="both"/>
        <w:rPr>
          <w:color w:val="000000"/>
          <w:sz w:val="22"/>
          <w:szCs w:val="22"/>
        </w:rPr>
      </w:pPr>
      <w:r w:rsidRPr="00F552F0">
        <w:rPr>
          <w:sz w:val="22"/>
          <w:szCs w:val="22"/>
        </w:rPr>
        <w:t xml:space="preserve">We check that our findings are robust to different time windows.  </w:t>
      </w:r>
      <w:r w:rsidR="00FB1035" w:rsidRPr="00F552F0">
        <w:rPr>
          <w:color w:val="000000"/>
          <w:sz w:val="22"/>
          <w:szCs w:val="22"/>
        </w:rPr>
        <w:t xml:space="preserve">Since the Penn World Tables and UNIDO data are made available with a lag of several years, we cannot extend </w:t>
      </w:r>
      <w:r w:rsidRPr="00F552F0">
        <w:rPr>
          <w:color w:val="000000"/>
          <w:sz w:val="22"/>
          <w:szCs w:val="22"/>
        </w:rPr>
        <w:t xml:space="preserve">the windows used to construct our </w:t>
      </w:r>
      <w:r w:rsidR="00FB1035" w:rsidRPr="00F552F0">
        <w:rPr>
          <w:color w:val="000000"/>
          <w:sz w:val="22"/>
          <w:szCs w:val="22"/>
        </w:rPr>
        <w:t>TFP growth rates</w:t>
      </w:r>
      <w:r w:rsidRPr="00F552F0">
        <w:rPr>
          <w:color w:val="000000"/>
          <w:sz w:val="22"/>
          <w:szCs w:val="22"/>
        </w:rPr>
        <w:t xml:space="preserve"> and</w:t>
      </w:r>
      <w:r w:rsidR="00FB1035" w:rsidRPr="00F552F0">
        <w:rPr>
          <w:color w:val="000000"/>
          <w:sz w:val="22"/>
          <w:szCs w:val="22"/>
        </w:rPr>
        <w:t xml:space="preserve"> capital accumulation rates</w:t>
      </w:r>
      <w:r w:rsidRPr="00F552F0">
        <w:rPr>
          <w:color w:val="000000"/>
          <w:sz w:val="22"/>
          <w:szCs w:val="22"/>
        </w:rPr>
        <w:t xml:space="preserve"> past 2004</w:t>
      </w:r>
      <w:r w:rsidR="00425DF6" w:rsidRPr="00F552F0">
        <w:rPr>
          <w:color w:val="000000"/>
          <w:sz w:val="22"/>
          <w:szCs w:val="22"/>
        </w:rPr>
        <w:t>,</w:t>
      </w:r>
      <w:r w:rsidR="00FB1035" w:rsidRPr="00F552F0">
        <w:rPr>
          <w:color w:val="000000"/>
          <w:sz w:val="22"/>
          <w:szCs w:val="22"/>
        </w:rPr>
        <w:t xml:space="preserve"> </w:t>
      </w:r>
      <w:r w:rsidRPr="00F552F0">
        <w:rPr>
          <w:color w:val="000000"/>
          <w:sz w:val="22"/>
          <w:szCs w:val="22"/>
        </w:rPr>
        <w:t>n</w:t>
      </w:r>
      <w:r w:rsidR="00FB1035" w:rsidRPr="00F552F0">
        <w:rPr>
          <w:color w:val="000000"/>
          <w:sz w:val="22"/>
          <w:szCs w:val="22"/>
        </w:rPr>
        <w:t xml:space="preserve">or </w:t>
      </w:r>
      <w:r w:rsidRPr="00F552F0">
        <w:rPr>
          <w:color w:val="000000"/>
          <w:sz w:val="22"/>
          <w:szCs w:val="22"/>
        </w:rPr>
        <w:t xml:space="preserve">those used </w:t>
      </w:r>
      <w:r w:rsidR="00425DF6" w:rsidRPr="00F552F0">
        <w:rPr>
          <w:color w:val="000000"/>
          <w:sz w:val="22"/>
          <w:szCs w:val="22"/>
        </w:rPr>
        <w:t>to construct</w:t>
      </w:r>
      <w:r w:rsidRPr="00F552F0">
        <w:rPr>
          <w:color w:val="000000"/>
          <w:sz w:val="22"/>
          <w:szCs w:val="22"/>
        </w:rPr>
        <w:t xml:space="preserve"> our </w:t>
      </w:r>
      <w:proofErr w:type="spellStart"/>
      <w:r w:rsidR="00FB1035" w:rsidRPr="00F552F0">
        <w:rPr>
          <w:color w:val="000000"/>
          <w:sz w:val="22"/>
          <w:szCs w:val="22"/>
        </w:rPr>
        <w:t>Wurgler’s</w:t>
      </w:r>
      <w:proofErr w:type="spellEnd"/>
      <w:r w:rsidR="00FB1035" w:rsidRPr="00F552F0">
        <w:rPr>
          <w:color w:val="000000"/>
          <w:sz w:val="22"/>
          <w:szCs w:val="22"/>
        </w:rPr>
        <w:t xml:space="preserve"> </w:t>
      </w:r>
      <w:proofErr w:type="spellStart"/>
      <w:r w:rsidR="00FB1035" w:rsidRPr="00F552F0">
        <w:rPr>
          <w:color w:val="000000"/>
          <w:sz w:val="22"/>
          <w:szCs w:val="22"/>
        </w:rPr>
        <w:t>elasticit</w:t>
      </w:r>
      <w:r w:rsidR="00425DF6" w:rsidRPr="00F552F0">
        <w:rPr>
          <w:color w:val="000000"/>
          <w:sz w:val="22"/>
          <w:szCs w:val="22"/>
        </w:rPr>
        <w:t>ies</w:t>
      </w:r>
      <w:proofErr w:type="spellEnd"/>
      <w:r w:rsidR="004B57AE" w:rsidRPr="00F552F0">
        <w:rPr>
          <w:color w:val="000000"/>
          <w:sz w:val="22"/>
          <w:szCs w:val="22"/>
        </w:rPr>
        <w:t xml:space="preserve"> and industry value added growth rates</w:t>
      </w:r>
      <w:r w:rsidR="00FB1035" w:rsidRPr="00F552F0">
        <w:rPr>
          <w:color w:val="000000"/>
          <w:sz w:val="22"/>
          <w:szCs w:val="22"/>
        </w:rPr>
        <w:t xml:space="preserve"> </w:t>
      </w:r>
      <w:r w:rsidRPr="00F552F0">
        <w:rPr>
          <w:color w:val="000000"/>
          <w:sz w:val="22"/>
          <w:szCs w:val="22"/>
        </w:rPr>
        <w:t xml:space="preserve">past 2003.  </w:t>
      </w:r>
      <w:r w:rsidR="00FB1035" w:rsidRPr="00F552F0">
        <w:rPr>
          <w:color w:val="000000"/>
          <w:sz w:val="22"/>
          <w:szCs w:val="22"/>
        </w:rPr>
        <w:t xml:space="preserve">However, using estimation </w:t>
      </w:r>
      <w:r w:rsidRPr="00F552F0">
        <w:rPr>
          <w:color w:val="000000"/>
          <w:sz w:val="22"/>
          <w:szCs w:val="22"/>
        </w:rPr>
        <w:t>windows ending in 2003 for per capita GDP growth, TFP growth, and capital accumulation</w:t>
      </w:r>
      <w:r w:rsidR="00425DF6" w:rsidRPr="00F552F0">
        <w:rPr>
          <w:color w:val="000000"/>
          <w:sz w:val="22"/>
          <w:szCs w:val="22"/>
        </w:rPr>
        <w:t xml:space="preserve"> </w:t>
      </w:r>
      <w:r w:rsidR="004B57AE" w:rsidRPr="00F552F0">
        <w:rPr>
          <w:color w:val="000000"/>
          <w:sz w:val="22"/>
          <w:szCs w:val="22"/>
        </w:rPr>
        <w:t>(to match the UNIDO</w:t>
      </w:r>
      <w:r w:rsidRPr="00F552F0">
        <w:rPr>
          <w:color w:val="000000"/>
          <w:sz w:val="22"/>
          <w:szCs w:val="22"/>
        </w:rPr>
        <w:t xml:space="preserve"> data) </w:t>
      </w:r>
      <w:r w:rsidR="00FB1035" w:rsidRPr="00F552F0">
        <w:rPr>
          <w:color w:val="000000"/>
          <w:sz w:val="22"/>
          <w:szCs w:val="22"/>
        </w:rPr>
        <w:t xml:space="preserve">generates qualitatively similar results throughout. Data for per capita GDP growth and </w:t>
      </w:r>
      <w:r w:rsidR="00425DF6" w:rsidRPr="00F552F0">
        <w:rPr>
          <w:color w:val="000000"/>
          <w:sz w:val="22"/>
          <w:szCs w:val="22"/>
        </w:rPr>
        <w:t xml:space="preserve">its </w:t>
      </w:r>
      <w:r w:rsidR="00FB1035" w:rsidRPr="00F552F0">
        <w:rPr>
          <w:color w:val="000000"/>
          <w:sz w:val="22"/>
          <w:szCs w:val="22"/>
        </w:rPr>
        <w:t>volatility, and for nonperforming loans, are available through 2007 in the WDI database. We therefore reconstruct these variables using windows from 1993 to 2007, a window extending our data up to six years after our bank control cross</w:t>
      </w:r>
      <w:r w:rsidR="006D635D" w:rsidRPr="00F552F0">
        <w:rPr>
          <w:color w:val="000000"/>
          <w:sz w:val="22"/>
          <w:szCs w:val="22"/>
        </w:rPr>
        <w:t>-</w:t>
      </w:r>
      <w:r w:rsidR="00FB1035" w:rsidRPr="00F552F0">
        <w:rPr>
          <w:color w:val="000000"/>
          <w:sz w:val="22"/>
          <w:szCs w:val="22"/>
        </w:rPr>
        <w:t xml:space="preserve">section. Outlier robust regressions yield qualitatively similar results to those shown. </w:t>
      </w:r>
    </w:p>
    <w:p w:rsidR="00EB3337" w:rsidRPr="00F552F0" w:rsidRDefault="00EB3337" w:rsidP="00EB3337">
      <w:pPr>
        <w:autoSpaceDE w:val="0"/>
        <w:autoSpaceDN w:val="0"/>
        <w:adjustRightInd w:val="0"/>
        <w:spacing w:line="440" w:lineRule="exact"/>
        <w:ind w:firstLine="720"/>
        <w:jc w:val="both"/>
        <w:rPr>
          <w:color w:val="000000"/>
          <w:sz w:val="22"/>
          <w:szCs w:val="22"/>
        </w:rPr>
      </w:pPr>
      <w:proofErr w:type="gramStart"/>
      <w:r w:rsidRPr="00F552F0">
        <w:rPr>
          <w:sz w:val="22"/>
          <w:szCs w:val="22"/>
        </w:rPr>
        <w:t xml:space="preserve">Table 5 shows that including the 2008 financial crisis in our crisis counts greatly weakens the correlations of family control with instability and </w:t>
      </w:r>
      <w:r w:rsidR="00A60B0E" w:rsidRPr="00F552F0">
        <w:rPr>
          <w:sz w:val="22"/>
          <w:szCs w:val="22"/>
        </w:rPr>
        <w:t xml:space="preserve">of </w:t>
      </w:r>
      <w:r w:rsidRPr="00F552F0">
        <w:rPr>
          <w:sz w:val="22"/>
          <w:szCs w:val="22"/>
        </w:rPr>
        <w:t>widely held banks with stability.</w:t>
      </w:r>
      <w:proofErr w:type="gramEnd"/>
      <w:r w:rsidRPr="00F552F0">
        <w:rPr>
          <w:sz w:val="22"/>
          <w:szCs w:val="22"/>
        </w:rPr>
        <w:t xml:space="preserve">  Banking crises are rare events, so further checking the generality of our findings requires extending our time period back in time.  </w:t>
      </w:r>
      <w:r w:rsidRPr="00F552F0">
        <w:rPr>
          <w:color w:val="000000"/>
          <w:sz w:val="22"/>
          <w:szCs w:val="22"/>
        </w:rPr>
        <w:t xml:space="preserve">We do this by counting all the crises covered in </w:t>
      </w:r>
      <w:proofErr w:type="spellStart"/>
      <w:r w:rsidRPr="00F552F0">
        <w:rPr>
          <w:color w:val="000000"/>
          <w:sz w:val="22"/>
          <w:szCs w:val="22"/>
        </w:rPr>
        <w:t>Demirguc-Kunt</w:t>
      </w:r>
      <w:proofErr w:type="spellEnd"/>
      <w:r w:rsidRPr="00F552F0">
        <w:rPr>
          <w:color w:val="000000"/>
          <w:sz w:val="22"/>
          <w:szCs w:val="22"/>
        </w:rPr>
        <w:t xml:space="preserve"> </w:t>
      </w:r>
      <w:r w:rsidR="003D5871" w:rsidRPr="00F552F0">
        <w:rPr>
          <w:color w:val="000000"/>
          <w:sz w:val="22"/>
          <w:szCs w:val="22"/>
        </w:rPr>
        <w:t>et al.</w:t>
      </w:r>
      <w:r w:rsidRPr="00F552F0">
        <w:rPr>
          <w:color w:val="000000"/>
          <w:sz w:val="22"/>
          <w:szCs w:val="22"/>
        </w:rPr>
        <w:t xml:space="preserve"> (2006) plus </w:t>
      </w:r>
      <w:proofErr w:type="spellStart"/>
      <w:r w:rsidRPr="00F552F0">
        <w:rPr>
          <w:color w:val="000000"/>
          <w:sz w:val="22"/>
          <w:szCs w:val="22"/>
        </w:rPr>
        <w:t>Dell'Ariccia</w:t>
      </w:r>
      <w:proofErr w:type="spellEnd"/>
      <w:r w:rsidRPr="00F552F0">
        <w:rPr>
          <w:color w:val="000000"/>
          <w:sz w:val="22"/>
          <w:szCs w:val="22"/>
        </w:rPr>
        <w:t xml:space="preserve"> </w:t>
      </w:r>
      <w:r w:rsidR="003D5871" w:rsidRPr="00F552F0">
        <w:rPr>
          <w:color w:val="000000"/>
          <w:sz w:val="22"/>
          <w:szCs w:val="22"/>
        </w:rPr>
        <w:t>et al.</w:t>
      </w:r>
      <w:r w:rsidRPr="00F552F0">
        <w:rPr>
          <w:color w:val="000000"/>
          <w:sz w:val="22"/>
          <w:szCs w:val="22"/>
        </w:rPr>
        <w:t xml:space="preserve"> (2008), rather than just those dated after 1993. This extends our window back to 1980. We perform this robustness check both with and without</w:t>
      </w:r>
      <w:r w:rsidR="00126499" w:rsidRPr="00F552F0">
        <w:rPr>
          <w:color w:val="000000"/>
          <w:sz w:val="22"/>
          <w:szCs w:val="22"/>
        </w:rPr>
        <w:t xml:space="preserve"> the</w:t>
      </w:r>
      <w:r w:rsidRPr="00F552F0">
        <w:rPr>
          <w:color w:val="000000"/>
          <w:sz w:val="22"/>
          <w:szCs w:val="22"/>
        </w:rPr>
        <w:t xml:space="preserve"> 2008 cris</w:t>
      </w:r>
      <w:r w:rsidR="00126499" w:rsidRPr="00F552F0">
        <w:rPr>
          <w:color w:val="000000"/>
          <w:sz w:val="22"/>
          <w:szCs w:val="22"/>
        </w:rPr>
        <w:t>i</w:t>
      </w:r>
      <w:r w:rsidRPr="00F552F0">
        <w:rPr>
          <w:color w:val="000000"/>
          <w:sz w:val="22"/>
          <w:szCs w:val="22"/>
        </w:rPr>
        <w:t>s added to the total counts.  Both generate qualitatively similar results: family bank control is highly significant in explaining the number of banking crises. For instance, when the 2008 cris</w:t>
      </w:r>
      <w:r w:rsidR="00126499" w:rsidRPr="00F552F0">
        <w:rPr>
          <w:color w:val="000000"/>
          <w:sz w:val="22"/>
          <w:szCs w:val="22"/>
        </w:rPr>
        <w:t>i</w:t>
      </w:r>
      <w:r w:rsidRPr="00F552F0">
        <w:rPr>
          <w:color w:val="000000"/>
          <w:sz w:val="22"/>
          <w:szCs w:val="22"/>
        </w:rPr>
        <w:t>s is included, family bank control has a coefficient of 1.03 (</w:t>
      </w:r>
      <w:r w:rsidR="00BF6193" w:rsidRPr="00F552F0">
        <w:rPr>
          <w:i/>
          <w:color w:val="000000"/>
          <w:sz w:val="22"/>
          <w:szCs w:val="22"/>
        </w:rPr>
        <w:t>p</w:t>
      </w:r>
      <w:r w:rsidRPr="00F552F0">
        <w:rPr>
          <w:color w:val="000000"/>
          <w:sz w:val="22"/>
          <w:szCs w:val="22"/>
        </w:rPr>
        <w:t xml:space="preserve"> = 0.02).  Many factors contribute to financial crises (Allen </w:t>
      </w:r>
      <w:r w:rsidR="00E82874" w:rsidRPr="00F552F0">
        <w:rPr>
          <w:color w:val="000000"/>
          <w:sz w:val="22"/>
          <w:szCs w:val="22"/>
        </w:rPr>
        <w:t>and</w:t>
      </w:r>
      <w:r w:rsidRPr="00F552F0">
        <w:rPr>
          <w:color w:val="000000"/>
          <w:sz w:val="22"/>
          <w:szCs w:val="22"/>
        </w:rPr>
        <w:t xml:space="preserve"> Gale</w:t>
      </w:r>
      <w:r w:rsidR="002C144B" w:rsidRPr="00F552F0">
        <w:rPr>
          <w:color w:val="000000"/>
          <w:sz w:val="22"/>
          <w:szCs w:val="22"/>
        </w:rPr>
        <w:t>,</w:t>
      </w:r>
      <w:r w:rsidRPr="00F552F0">
        <w:rPr>
          <w:color w:val="000000"/>
          <w:sz w:val="22"/>
          <w:szCs w:val="22"/>
        </w:rPr>
        <w:t xml:space="preserve"> 2007); however, this evidence supports bank control being numbered among them (Saunders et al.</w:t>
      </w:r>
      <w:r w:rsidR="002C144B" w:rsidRPr="00F552F0">
        <w:rPr>
          <w:color w:val="000000"/>
          <w:sz w:val="22"/>
          <w:szCs w:val="22"/>
        </w:rPr>
        <w:t>,</w:t>
      </w:r>
      <w:r w:rsidRPr="00F552F0">
        <w:rPr>
          <w:color w:val="000000"/>
          <w:sz w:val="22"/>
          <w:szCs w:val="22"/>
        </w:rPr>
        <w:t xml:space="preserve"> 1990; </w:t>
      </w:r>
      <w:proofErr w:type="spellStart"/>
      <w:r w:rsidRPr="00F552F0">
        <w:rPr>
          <w:color w:val="000000"/>
          <w:sz w:val="22"/>
          <w:szCs w:val="22"/>
        </w:rPr>
        <w:t>Laeven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Levine</w:t>
      </w:r>
      <w:r w:rsidR="002C144B" w:rsidRPr="00F552F0">
        <w:rPr>
          <w:color w:val="000000"/>
          <w:sz w:val="22"/>
          <w:szCs w:val="22"/>
        </w:rPr>
        <w:t>,</w:t>
      </w:r>
      <w:r w:rsidRPr="00F552F0">
        <w:rPr>
          <w:color w:val="000000"/>
          <w:sz w:val="22"/>
          <w:szCs w:val="22"/>
        </w:rPr>
        <w:t xml:space="preserve"> 2009), at least in some time periods and some countries.  </w:t>
      </w:r>
    </w:p>
    <w:p w:rsidR="00953EC2" w:rsidRPr="00F552F0" w:rsidRDefault="00953EC2" w:rsidP="00EB3337">
      <w:pPr>
        <w:autoSpaceDE w:val="0"/>
        <w:autoSpaceDN w:val="0"/>
        <w:adjustRightInd w:val="0"/>
        <w:spacing w:line="440" w:lineRule="exact"/>
        <w:ind w:firstLine="720"/>
        <w:jc w:val="both"/>
        <w:rPr>
          <w:color w:val="000000"/>
          <w:sz w:val="22"/>
          <w:szCs w:val="22"/>
        </w:rPr>
      </w:pPr>
    </w:p>
    <w:p w:rsidR="00E241AF" w:rsidRPr="00F552F0" w:rsidRDefault="003D5871">
      <w:pPr>
        <w:spacing w:line="440" w:lineRule="exact"/>
        <w:jc w:val="both"/>
        <w:rPr>
          <w:sz w:val="22"/>
          <w:szCs w:val="22"/>
        </w:rPr>
      </w:pPr>
      <w:r w:rsidRPr="00F552F0">
        <w:rPr>
          <w:i/>
          <w:color w:val="000000"/>
          <w:szCs w:val="22"/>
        </w:rPr>
        <w:t>3.3.5.</w:t>
      </w:r>
      <w:r w:rsidRPr="00F552F0">
        <w:rPr>
          <w:i/>
          <w:color w:val="000000"/>
          <w:szCs w:val="22"/>
        </w:rPr>
        <w:tab/>
        <w:t>Efficiency versus equality</w:t>
      </w:r>
      <w:r w:rsidR="004F6E90" w:rsidRPr="00F552F0">
        <w:rPr>
          <w:sz w:val="22"/>
          <w:szCs w:val="22"/>
        </w:rPr>
        <w:tab/>
      </w:r>
    </w:p>
    <w:p w:rsidR="00FE3277" w:rsidRPr="00F552F0" w:rsidRDefault="007421A7" w:rsidP="00244B6E">
      <w:pPr>
        <w:spacing w:line="440" w:lineRule="exact"/>
        <w:ind w:firstLine="720"/>
        <w:jc w:val="both"/>
      </w:pPr>
      <w:r w:rsidRPr="00F552F0">
        <w:rPr>
          <w:sz w:val="22"/>
          <w:szCs w:val="22"/>
        </w:rPr>
        <w:t>O</w:t>
      </w:r>
      <w:r w:rsidR="00953EC2" w:rsidRPr="00F552F0">
        <w:rPr>
          <w:sz w:val="22"/>
          <w:szCs w:val="22"/>
        </w:rPr>
        <w:t xml:space="preserve">ur findings above are consistent with family control over banks impairing financial system efficiency and thereby both slowing and destabilizing economic growth. This aligns with arguments that economies are subject to economic entrenchment, sometimes called crony capitalism, wherein incumbent </w:t>
      </w:r>
      <w:r w:rsidR="00953EC2" w:rsidRPr="00F552F0">
        <w:rPr>
          <w:sz w:val="22"/>
          <w:szCs w:val="22"/>
        </w:rPr>
        <w:lastRenderedPageBreak/>
        <w:t xml:space="preserve">business leaders erect barriers to entry that lock in the advantageous (to them) </w:t>
      </w:r>
      <w:r w:rsidR="003D5871" w:rsidRPr="00F552F0">
        <w:rPr>
          <w:sz w:val="22"/>
          <w:szCs w:val="22"/>
        </w:rPr>
        <w:t>status quo</w:t>
      </w:r>
      <w:r w:rsidR="00953EC2" w:rsidRPr="00F552F0">
        <w:rPr>
          <w:sz w:val="22"/>
          <w:szCs w:val="22"/>
        </w:rPr>
        <w:t xml:space="preserve"> to the detriment of their countries (Murphy </w:t>
      </w:r>
      <w:r w:rsidR="003D5871" w:rsidRPr="00F552F0">
        <w:rPr>
          <w:sz w:val="22"/>
          <w:szCs w:val="22"/>
        </w:rPr>
        <w:t>et al.</w:t>
      </w:r>
      <w:r w:rsidR="006F1BEA" w:rsidRPr="00F552F0">
        <w:rPr>
          <w:i/>
          <w:sz w:val="22"/>
          <w:szCs w:val="22"/>
        </w:rPr>
        <w:t>,</w:t>
      </w:r>
      <w:r w:rsidR="00953EC2" w:rsidRPr="00F552F0">
        <w:rPr>
          <w:sz w:val="22"/>
          <w:szCs w:val="22"/>
        </w:rPr>
        <w:t xml:space="preserve"> 1991, 1993; Shleifer </w:t>
      </w:r>
      <w:r w:rsidR="00E82874" w:rsidRPr="00F552F0">
        <w:rPr>
          <w:sz w:val="22"/>
          <w:szCs w:val="22"/>
        </w:rPr>
        <w:t>and</w:t>
      </w:r>
      <w:r w:rsidR="00953EC2" w:rsidRPr="00F552F0">
        <w:rPr>
          <w:sz w:val="22"/>
          <w:szCs w:val="22"/>
        </w:rPr>
        <w:t xml:space="preserve"> </w:t>
      </w:r>
      <w:r w:rsidR="00AE5D28" w:rsidRPr="00F552F0">
        <w:rPr>
          <w:sz w:val="22"/>
          <w:szCs w:val="22"/>
        </w:rPr>
        <w:t>Vishny</w:t>
      </w:r>
      <w:r w:rsidR="006F1BEA" w:rsidRPr="00F552F0">
        <w:rPr>
          <w:sz w:val="22"/>
          <w:szCs w:val="22"/>
        </w:rPr>
        <w:t>,</w:t>
      </w:r>
      <w:r w:rsidR="00AE5D28" w:rsidRPr="00F552F0">
        <w:rPr>
          <w:sz w:val="22"/>
          <w:szCs w:val="22"/>
        </w:rPr>
        <w:t xml:space="preserve"> 1993, 1998). </w:t>
      </w:r>
      <w:r w:rsidR="00953EC2" w:rsidRPr="00F552F0">
        <w:rPr>
          <w:sz w:val="22"/>
          <w:szCs w:val="22"/>
        </w:rPr>
        <w:t xml:space="preserve">Our findings also align with the thesis of </w:t>
      </w:r>
      <w:proofErr w:type="spellStart"/>
      <w:r w:rsidR="00953EC2" w:rsidRPr="00F552F0">
        <w:rPr>
          <w:sz w:val="22"/>
          <w:szCs w:val="22"/>
        </w:rPr>
        <w:t>Rajan</w:t>
      </w:r>
      <w:proofErr w:type="spellEnd"/>
      <w:r w:rsidR="00953EC2" w:rsidRPr="00F552F0">
        <w:rPr>
          <w:sz w:val="22"/>
          <w:szCs w:val="22"/>
        </w:rPr>
        <w:t xml:space="preserve"> </w:t>
      </w:r>
      <w:r w:rsidR="00E82874" w:rsidRPr="00F552F0">
        <w:rPr>
          <w:sz w:val="22"/>
          <w:szCs w:val="22"/>
        </w:rPr>
        <w:t>and</w:t>
      </w:r>
      <w:r w:rsidR="00953EC2" w:rsidRPr="00F552F0">
        <w:rPr>
          <w:sz w:val="22"/>
          <w:szCs w:val="22"/>
        </w:rPr>
        <w:t xml:space="preserve"> </w:t>
      </w:r>
      <w:proofErr w:type="spellStart"/>
      <w:r w:rsidR="00953EC2" w:rsidRPr="00F552F0">
        <w:rPr>
          <w:sz w:val="22"/>
          <w:szCs w:val="22"/>
        </w:rPr>
        <w:t>Zingales</w:t>
      </w:r>
      <w:proofErr w:type="spellEnd"/>
      <w:r w:rsidR="00953EC2" w:rsidRPr="00F552F0">
        <w:rPr>
          <w:sz w:val="22"/>
          <w:szCs w:val="22"/>
        </w:rPr>
        <w:t xml:space="preserve"> (2004) and its supporting country case studies (Haber </w:t>
      </w:r>
      <w:r w:rsidR="00953EC2" w:rsidRPr="00F552F0">
        <w:rPr>
          <w:i/>
          <w:sz w:val="22"/>
          <w:szCs w:val="22"/>
        </w:rPr>
        <w:t>et al</w:t>
      </w:r>
      <w:proofErr w:type="gramStart"/>
      <w:r w:rsidR="006F1BEA" w:rsidRPr="00F552F0">
        <w:rPr>
          <w:i/>
          <w:sz w:val="22"/>
          <w:szCs w:val="22"/>
        </w:rPr>
        <w:t>,</w:t>
      </w:r>
      <w:r w:rsidR="00953EC2" w:rsidRPr="00F552F0">
        <w:rPr>
          <w:i/>
          <w:sz w:val="22"/>
          <w:szCs w:val="22"/>
        </w:rPr>
        <w:t>.</w:t>
      </w:r>
      <w:proofErr w:type="gramEnd"/>
      <w:r w:rsidR="00953EC2" w:rsidRPr="00F552F0">
        <w:rPr>
          <w:sz w:val="22"/>
          <w:szCs w:val="22"/>
        </w:rPr>
        <w:t xml:space="preserve"> 2003; La </w:t>
      </w:r>
      <w:proofErr w:type="spellStart"/>
      <w:r w:rsidR="00953EC2" w:rsidRPr="00F552F0">
        <w:rPr>
          <w:sz w:val="22"/>
          <w:szCs w:val="22"/>
        </w:rPr>
        <w:t>Porta</w:t>
      </w:r>
      <w:proofErr w:type="spellEnd"/>
      <w:r w:rsidR="00953EC2" w:rsidRPr="00F552F0">
        <w:rPr>
          <w:sz w:val="22"/>
          <w:szCs w:val="22"/>
        </w:rPr>
        <w:t xml:space="preserve"> </w:t>
      </w:r>
      <w:r w:rsidR="003D5871" w:rsidRPr="00F552F0">
        <w:rPr>
          <w:sz w:val="22"/>
          <w:szCs w:val="22"/>
        </w:rPr>
        <w:t>et al.</w:t>
      </w:r>
      <w:r w:rsidR="006F1BEA" w:rsidRPr="00F552F0">
        <w:rPr>
          <w:i/>
          <w:sz w:val="22"/>
          <w:szCs w:val="22"/>
        </w:rPr>
        <w:t>,</w:t>
      </w:r>
      <w:r w:rsidR="00953EC2" w:rsidRPr="00F552F0">
        <w:rPr>
          <w:sz w:val="22"/>
          <w:szCs w:val="22"/>
        </w:rPr>
        <w:t xml:space="preserve"> 2003), that this entrenchment can be effected by elite capture of countries’ financial systems. </w:t>
      </w:r>
    </w:p>
    <w:p w:rsidR="00953EC2" w:rsidRPr="00F552F0" w:rsidRDefault="00953EC2" w:rsidP="00953EC2">
      <w:pPr>
        <w:spacing w:line="440" w:lineRule="exact"/>
        <w:ind w:firstLine="720"/>
        <w:jc w:val="both"/>
        <w:rPr>
          <w:sz w:val="22"/>
          <w:szCs w:val="22"/>
        </w:rPr>
      </w:pPr>
      <w:r w:rsidRPr="00F552F0">
        <w:rPr>
          <w:sz w:val="22"/>
          <w:szCs w:val="22"/>
        </w:rPr>
        <w:t>But other explanations of our findings must also be considered.  For example, family-controlled banks might simply be less</w:t>
      </w:r>
      <w:r w:rsidR="00A379E6" w:rsidRPr="00F552F0">
        <w:rPr>
          <w:sz w:val="22"/>
          <w:szCs w:val="22"/>
        </w:rPr>
        <w:t>-</w:t>
      </w:r>
      <w:r w:rsidRPr="00F552F0">
        <w:rPr>
          <w:sz w:val="22"/>
          <w:szCs w:val="22"/>
        </w:rPr>
        <w:t>competent capital allocators. Or, family-controlled banks might elevate social goals, such as equality, above economic efficiency, consistent with the solidarity, or social capital strengthening advantages attributed to family businesses by</w:t>
      </w:r>
      <w:r w:rsidR="00A379E6" w:rsidRPr="00F552F0">
        <w:rPr>
          <w:sz w:val="22"/>
          <w:szCs w:val="22"/>
        </w:rPr>
        <w:t>,</w:t>
      </w:r>
      <w:r w:rsidRPr="00F552F0">
        <w:rPr>
          <w:sz w:val="22"/>
          <w:szCs w:val="22"/>
        </w:rPr>
        <w:t xml:space="preserve"> e.g.</w:t>
      </w:r>
      <w:r w:rsidR="00A379E6" w:rsidRPr="00F552F0">
        <w:rPr>
          <w:sz w:val="22"/>
          <w:szCs w:val="22"/>
        </w:rPr>
        <w:t>,</w:t>
      </w:r>
      <w:r w:rsidRPr="00F552F0">
        <w:rPr>
          <w:sz w:val="22"/>
          <w:szCs w:val="22"/>
        </w:rPr>
        <w:t xml:space="preserve"> Lester </w:t>
      </w:r>
      <w:r w:rsidR="00E82874" w:rsidRPr="00F552F0">
        <w:rPr>
          <w:sz w:val="22"/>
          <w:szCs w:val="22"/>
        </w:rPr>
        <w:t>and</w:t>
      </w:r>
      <w:r w:rsidRPr="00F552F0">
        <w:rPr>
          <w:sz w:val="22"/>
          <w:szCs w:val="22"/>
        </w:rPr>
        <w:t xml:space="preserve"> </w:t>
      </w:r>
      <w:proofErr w:type="spellStart"/>
      <w:r w:rsidRPr="00F552F0">
        <w:rPr>
          <w:sz w:val="22"/>
          <w:szCs w:val="22"/>
        </w:rPr>
        <w:t>Cannella</w:t>
      </w:r>
      <w:proofErr w:type="spellEnd"/>
      <w:r w:rsidRPr="00F552F0">
        <w:rPr>
          <w:sz w:val="22"/>
          <w:szCs w:val="22"/>
        </w:rPr>
        <w:t xml:space="preserve"> (2006). However, both of these seem implausible given that </w:t>
      </w:r>
      <w:proofErr w:type="spellStart"/>
      <w:r w:rsidRPr="00F552F0">
        <w:rPr>
          <w:sz w:val="22"/>
          <w:szCs w:val="22"/>
        </w:rPr>
        <w:t>Caprio</w:t>
      </w:r>
      <w:proofErr w:type="spellEnd"/>
      <w:r w:rsidRPr="00F552F0">
        <w:rPr>
          <w:sz w:val="22"/>
          <w:szCs w:val="22"/>
        </w:rPr>
        <w:t xml:space="preserve"> </w:t>
      </w:r>
      <w:r w:rsidR="003D5871" w:rsidRPr="00F552F0">
        <w:rPr>
          <w:sz w:val="22"/>
          <w:szCs w:val="22"/>
        </w:rPr>
        <w:t>et al.</w:t>
      </w:r>
      <w:r w:rsidRPr="00F552F0">
        <w:rPr>
          <w:sz w:val="22"/>
          <w:szCs w:val="22"/>
        </w:rPr>
        <w:t xml:space="preserve"> (2007) find higher valuations for banks with controlling shareholders.</w:t>
      </w:r>
    </w:p>
    <w:p w:rsidR="00953EC2" w:rsidRPr="00F552F0" w:rsidRDefault="00953EC2" w:rsidP="00953EC2">
      <w:pPr>
        <w:spacing w:line="440" w:lineRule="exact"/>
        <w:ind w:firstLine="720"/>
        <w:jc w:val="both"/>
        <w:rPr>
          <w:sz w:val="22"/>
          <w:szCs w:val="22"/>
        </w:rPr>
      </w:pPr>
      <w:r w:rsidRPr="00F552F0">
        <w:rPr>
          <w:sz w:val="22"/>
          <w:szCs w:val="22"/>
        </w:rPr>
        <w:t xml:space="preserve">We apply Ockham’s razor by testing for links between family-controlled banking systems and economy characteristics correlated with crony capitalism. First, crony capitalism is associated with extreme inequality.  If family bank control abets crony capitalism, it should therefore correlate negatively with measures of equality.  Crony capitalism is also associated with high barriers to entry. Thus, if control of the banking system alone is insufficient to achieve crony capitalism, family bank control should be positively correlated with barriers to entry. Family bank incompetence, in contrast, has no clear prediction regarding these variables; and the solidarity explanation would presumably imply greater income equality and equality of opportunity.  </w:t>
      </w:r>
    </w:p>
    <w:p w:rsidR="00953EC2" w:rsidRPr="00F552F0" w:rsidRDefault="00953EC2" w:rsidP="00953EC2">
      <w:pPr>
        <w:spacing w:line="440" w:lineRule="exact"/>
        <w:jc w:val="both"/>
        <w:rPr>
          <w:sz w:val="22"/>
          <w:szCs w:val="22"/>
        </w:rPr>
      </w:pPr>
    </w:p>
    <w:p w:rsidR="00953EC2" w:rsidRPr="00F552F0" w:rsidRDefault="00953EC2" w:rsidP="00953EC2">
      <w:pPr>
        <w:spacing w:line="440" w:lineRule="exact"/>
        <w:jc w:val="both"/>
        <w:rPr>
          <w:sz w:val="22"/>
          <w:szCs w:val="22"/>
        </w:rPr>
      </w:pPr>
      <w:r w:rsidRPr="00F552F0">
        <w:rPr>
          <w:sz w:val="22"/>
          <w:szCs w:val="22"/>
        </w:rPr>
        <w:t>[Table 7 about here]</w:t>
      </w:r>
    </w:p>
    <w:p w:rsidR="00953EC2" w:rsidRPr="00F552F0" w:rsidRDefault="00953EC2" w:rsidP="00953EC2">
      <w:pPr>
        <w:spacing w:line="440" w:lineRule="exact"/>
        <w:jc w:val="both"/>
        <w:rPr>
          <w:sz w:val="22"/>
          <w:szCs w:val="22"/>
        </w:rPr>
      </w:pPr>
    </w:p>
    <w:p w:rsidR="00953EC2" w:rsidRPr="00F552F0" w:rsidRDefault="00953EC2" w:rsidP="00953EC2">
      <w:pPr>
        <w:pStyle w:val="FootnoteText"/>
        <w:spacing w:line="440" w:lineRule="exact"/>
        <w:ind w:firstLine="720"/>
        <w:jc w:val="both"/>
        <w:rPr>
          <w:sz w:val="22"/>
          <w:szCs w:val="22"/>
        </w:rPr>
      </w:pPr>
      <w:r w:rsidRPr="00F552F0">
        <w:rPr>
          <w:color w:val="000000"/>
          <w:sz w:val="22"/>
          <w:szCs w:val="22"/>
        </w:rPr>
        <w:t xml:space="preserve">The first two columns of Table 7, employing </w:t>
      </w:r>
      <w:r w:rsidRPr="00F552F0">
        <w:rPr>
          <w:i/>
          <w:color w:val="000000"/>
          <w:sz w:val="22"/>
          <w:szCs w:val="22"/>
        </w:rPr>
        <w:t>income inequality</w:t>
      </w:r>
      <w:r w:rsidRPr="00F552F0">
        <w:rPr>
          <w:color w:val="000000"/>
          <w:sz w:val="22"/>
          <w:szCs w:val="22"/>
        </w:rPr>
        <w:t xml:space="preserve"> (</w:t>
      </w:r>
      <w:proofErr w:type="spellStart"/>
      <w:r w:rsidRPr="00F552F0">
        <w:rPr>
          <w:i/>
          <w:color w:val="000000"/>
          <w:sz w:val="22"/>
          <w:szCs w:val="22"/>
        </w:rPr>
        <w:t>Gini</w:t>
      </w:r>
      <w:proofErr w:type="spellEnd"/>
      <w:r w:rsidRPr="00F552F0">
        <w:rPr>
          <w:i/>
          <w:color w:val="000000"/>
          <w:sz w:val="22"/>
          <w:szCs w:val="22"/>
        </w:rPr>
        <w:t xml:space="preserve"> coefficients), </w:t>
      </w:r>
      <w:r w:rsidRPr="00F552F0">
        <w:rPr>
          <w:color w:val="000000"/>
          <w:sz w:val="22"/>
          <w:szCs w:val="22"/>
        </w:rPr>
        <w:t>reveal significantly less egalitarian income distributions in countries whose banking systems are more extensively controlled by families. In contrast, state-controlled banking systems significantly correlate with more egalitarianism in income distributions, as do widely held banking systems. The remaining columns use various measures of equality of opportunity. Family</w:t>
      </w:r>
      <w:r w:rsidR="00A379E6" w:rsidRPr="00F552F0">
        <w:rPr>
          <w:color w:val="000000"/>
          <w:sz w:val="22"/>
          <w:szCs w:val="22"/>
        </w:rPr>
        <w:t>-</w:t>
      </w:r>
      <w:r w:rsidRPr="00F552F0">
        <w:rPr>
          <w:color w:val="000000"/>
          <w:sz w:val="22"/>
          <w:szCs w:val="22"/>
        </w:rPr>
        <w:t xml:space="preserve">control over banks correlates negatively with </w:t>
      </w:r>
      <w:r w:rsidR="00A379E6" w:rsidRPr="00F552F0">
        <w:rPr>
          <w:color w:val="000000"/>
          <w:sz w:val="22"/>
          <w:szCs w:val="22"/>
        </w:rPr>
        <w:t>personal computer</w:t>
      </w:r>
      <w:r w:rsidRPr="00F552F0">
        <w:rPr>
          <w:color w:val="000000"/>
          <w:sz w:val="22"/>
          <w:szCs w:val="22"/>
        </w:rPr>
        <w:t>s per thousand people, a measure of the breadth of access to new economy employment and market opportunities. Alternative measures</w:t>
      </w:r>
      <w:r w:rsidR="00A379E6" w:rsidRPr="00F552F0">
        <w:rPr>
          <w:color w:val="000000"/>
          <w:sz w:val="22"/>
          <w:szCs w:val="22"/>
        </w:rPr>
        <w:t>—</w:t>
      </w:r>
      <w:r w:rsidRPr="00F552F0">
        <w:rPr>
          <w:color w:val="000000"/>
          <w:sz w:val="22"/>
          <w:szCs w:val="22"/>
        </w:rPr>
        <w:t xml:space="preserve">car ownership, internet connections, and </w:t>
      </w:r>
      <w:r w:rsidRPr="00F552F0">
        <w:rPr>
          <w:color w:val="000000"/>
          <w:sz w:val="22"/>
          <w:szCs w:val="22"/>
        </w:rPr>
        <w:lastRenderedPageBreak/>
        <w:t>telephone lines per capita</w:t>
      </w:r>
      <w:r w:rsidR="00A379E6" w:rsidRPr="00F552F0">
        <w:rPr>
          <w:color w:val="000000"/>
          <w:sz w:val="22"/>
          <w:szCs w:val="22"/>
        </w:rPr>
        <w:t>—</w:t>
      </w:r>
      <w:r w:rsidRPr="00F552F0">
        <w:rPr>
          <w:color w:val="000000"/>
          <w:sz w:val="22"/>
          <w:szCs w:val="22"/>
        </w:rPr>
        <w:t xml:space="preserve">generate qualitatively similar results (not reported). Family-controlled banks correlate with fewer, not more opportunities. Since these measures also likely correlate with middle class purchasing power, they </w:t>
      </w:r>
      <w:r w:rsidR="00A60B0E" w:rsidRPr="00F552F0">
        <w:rPr>
          <w:color w:val="000000"/>
          <w:sz w:val="22"/>
          <w:szCs w:val="22"/>
        </w:rPr>
        <w:t xml:space="preserve">can also be interpreted as </w:t>
      </w:r>
      <w:r w:rsidRPr="00F552F0">
        <w:rPr>
          <w:color w:val="000000"/>
          <w:sz w:val="22"/>
          <w:szCs w:val="22"/>
        </w:rPr>
        <w:t>reinforc</w:t>
      </w:r>
      <w:r w:rsidR="00A60B0E" w:rsidRPr="00F552F0">
        <w:rPr>
          <w:color w:val="000000"/>
          <w:sz w:val="22"/>
          <w:szCs w:val="22"/>
        </w:rPr>
        <w:t>ing</w:t>
      </w:r>
      <w:r w:rsidRPr="00F552F0">
        <w:rPr>
          <w:color w:val="000000"/>
          <w:sz w:val="22"/>
          <w:szCs w:val="22"/>
        </w:rPr>
        <w:t xml:space="preserve"> our finding, based on </w:t>
      </w:r>
      <w:proofErr w:type="spellStart"/>
      <w:r w:rsidRPr="00F552F0">
        <w:rPr>
          <w:color w:val="000000"/>
          <w:sz w:val="22"/>
          <w:szCs w:val="22"/>
        </w:rPr>
        <w:t>Gini</w:t>
      </w:r>
      <w:proofErr w:type="spellEnd"/>
      <w:r w:rsidRPr="00F552F0">
        <w:rPr>
          <w:color w:val="000000"/>
          <w:sz w:val="22"/>
          <w:szCs w:val="22"/>
        </w:rPr>
        <w:t xml:space="preserve"> </w:t>
      </w:r>
      <w:proofErr w:type="gramStart"/>
      <w:r w:rsidRPr="00F552F0">
        <w:rPr>
          <w:color w:val="000000"/>
          <w:sz w:val="22"/>
          <w:szCs w:val="22"/>
        </w:rPr>
        <w:t>coefficients, that</w:t>
      </w:r>
      <w:proofErr w:type="gramEnd"/>
      <w:r w:rsidRPr="00F552F0">
        <w:rPr>
          <w:color w:val="000000"/>
          <w:sz w:val="22"/>
          <w:szCs w:val="22"/>
        </w:rPr>
        <w:t xml:space="preserve"> family-controlled banking correlates with worse income inequality. </w:t>
      </w:r>
    </w:p>
    <w:p w:rsidR="001E4697" w:rsidRPr="00F552F0" w:rsidRDefault="00953EC2" w:rsidP="001E4697">
      <w:pPr>
        <w:spacing w:line="440" w:lineRule="exact"/>
        <w:ind w:firstLine="720"/>
        <w:jc w:val="both"/>
        <w:rPr>
          <w:sz w:val="22"/>
          <w:szCs w:val="22"/>
        </w:rPr>
      </w:pPr>
      <w:r w:rsidRPr="00F552F0">
        <w:rPr>
          <w:sz w:val="22"/>
          <w:szCs w:val="22"/>
        </w:rPr>
        <w:t>The last six columns relate banking system control to measures of barriers to entry directly due to government bureaucratic procedures. All three measures</w:t>
      </w:r>
      <w:r w:rsidR="00A379E6" w:rsidRPr="00F552F0">
        <w:rPr>
          <w:sz w:val="22"/>
          <w:szCs w:val="22"/>
        </w:rPr>
        <w:t>—</w:t>
      </w:r>
      <w:r w:rsidRPr="00F552F0">
        <w:rPr>
          <w:sz w:val="22"/>
          <w:szCs w:val="22"/>
        </w:rPr>
        <w:t xml:space="preserve">the </w:t>
      </w:r>
      <w:r w:rsidRPr="00F552F0">
        <w:rPr>
          <w:i/>
          <w:sz w:val="22"/>
          <w:szCs w:val="22"/>
        </w:rPr>
        <w:t>number of procedures, time</w:t>
      </w:r>
      <w:r w:rsidR="00A379E6" w:rsidRPr="00F552F0">
        <w:rPr>
          <w:i/>
          <w:sz w:val="22"/>
          <w:szCs w:val="22"/>
        </w:rPr>
        <w:t>,</w:t>
      </w:r>
      <w:r w:rsidRPr="00F552F0">
        <w:rPr>
          <w:i/>
          <w:sz w:val="22"/>
          <w:szCs w:val="22"/>
        </w:rPr>
        <w:t xml:space="preserve"> </w:t>
      </w:r>
      <w:r w:rsidRPr="00F552F0">
        <w:rPr>
          <w:sz w:val="22"/>
          <w:szCs w:val="22"/>
        </w:rPr>
        <w:t xml:space="preserve">and </w:t>
      </w:r>
      <w:r w:rsidRPr="00F552F0">
        <w:rPr>
          <w:i/>
          <w:sz w:val="22"/>
          <w:szCs w:val="22"/>
        </w:rPr>
        <w:t>cost</w:t>
      </w:r>
      <w:r w:rsidRPr="00F552F0">
        <w:rPr>
          <w:sz w:val="22"/>
          <w:szCs w:val="22"/>
        </w:rPr>
        <w:t xml:space="preserve"> required to set up a new company legally</w:t>
      </w:r>
      <w:r w:rsidR="00A379E6" w:rsidRPr="00F552F0">
        <w:rPr>
          <w:sz w:val="22"/>
          <w:szCs w:val="22"/>
        </w:rPr>
        <w:t>—</w:t>
      </w:r>
      <w:r w:rsidRPr="00F552F0">
        <w:rPr>
          <w:sz w:val="22"/>
          <w:szCs w:val="22"/>
        </w:rPr>
        <w:t xml:space="preserve">correlate positively with family-controlled banking and negatively with widely held banking systems. In contrast, state control over banks is insignificant, except for correlating with a higher cost of setting up a new firm. </w:t>
      </w:r>
    </w:p>
    <w:p w:rsidR="00953EC2" w:rsidRPr="00F552F0" w:rsidRDefault="00953EC2" w:rsidP="00953EC2">
      <w:pPr>
        <w:spacing w:line="440" w:lineRule="exact"/>
        <w:ind w:firstLine="720"/>
        <w:jc w:val="both"/>
        <w:rPr>
          <w:sz w:val="22"/>
          <w:szCs w:val="22"/>
        </w:rPr>
      </w:pPr>
      <w:r w:rsidRPr="00F552F0">
        <w:rPr>
          <w:sz w:val="22"/>
          <w:szCs w:val="22"/>
        </w:rPr>
        <w:t>The correlation</w:t>
      </w:r>
      <w:r w:rsidR="0043301C" w:rsidRPr="00F552F0">
        <w:rPr>
          <w:sz w:val="22"/>
          <w:szCs w:val="22"/>
        </w:rPr>
        <w:t>s</w:t>
      </w:r>
      <w:r w:rsidRPr="00F552F0">
        <w:rPr>
          <w:sz w:val="22"/>
          <w:szCs w:val="22"/>
        </w:rPr>
        <w:t xml:space="preserve"> of family control with income inequality and inequality of opportunity survive the battery of robustness checks enumerated in the previous section. All the robustness checks used above generate qualitatively similar results to those shown in the table with the following exceptions. If we restrict “family control” to mean control by tycoons or families who also control other firms, family control </w:t>
      </w:r>
      <w:r w:rsidR="0043301C" w:rsidRPr="00F552F0">
        <w:rPr>
          <w:sz w:val="22"/>
          <w:szCs w:val="22"/>
        </w:rPr>
        <w:t>loses significance</w:t>
      </w:r>
      <w:r w:rsidRPr="00F552F0">
        <w:rPr>
          <w:sz w:val="22"/>
          <w:szCs w:val="22"/>
        </w:rPr>
        <w:t xml:space="preserve"> in regressions of the cost of starting a new business.  In regressions controlling for privatizations</w:t>
      </w:r>
      <w:r w:rsidR="0043301C" w:rsidRPr="00F552F0">
        <w:rPr>
          <w:sz w:val="22"/>
          <w:szCs w:val="22"/>
        </w:rPr>
        <w:t>,</w:t>
      </w:r>
      <w:r w:rsidRPr="00F552F0">
        <w:rPr>
          <w:sz w:val="22"/>
          <w:szCs w:val="22"/>
        </w:rPr>
        <w:t xml:space="preserve"> family control lose</w:t>
      </w:r>
      <w:r w:rsidR="00A379E6" w:rsidRPr="00F552F0">
        <w:rPr>
          <w:sz w:val="22"/>
          <w:szCs w:val="22"/>
        </w:rPr>
        <w:t>,</w:t>
      </w:r>
      <w:r w:rsidRPr="00F552F0">
        <w:rPr>
          <w:sz w:val="22"/>
          <w:szCs w:val="22"/>
        </w:rPr>
        <w:t xml:space="preserve"> significance in explaining the number of procedures and the time required to start a new business. In regressions that control for </w:t>
      </w:r>
      <w:r w:rsidRPr="00F552F0">
        <w:rPr>
          <w:i/>
          <w:sz w:val="22"/>
          <w:szCs w:val="22"/>
        </w:rPr>
        <w:t>oligarchy</w:t>
      </w:r>
      <w:r w:rsidRPr="00F552F0">
        <w:rPr>
          <w:sz w:val="22"/>
          <w:szCs w:val="22"/>
        </w:rPr>
        <w:t xml:space="preserve">, family control </w:t>
      </w:r>
      <w:r w:rsidRPr="00F552F0">
        <w:rPr>
          <w:color w:val="000000"/>
          <w:sz w:val="22"/>
          <w:szCs w:val="22"/>
        </w:rPr>
        <w:t xml:space="preserve">loses significance in explaining time and cost required to set up a new company, </w:t>
      </w:r>
      <w:r w:rsidR="0043301C" w:rsidRPr="00F552F0">
        <w:rPr>
          <w:color w:val="000000"/>
          <w:sz w:val="22"/>
          <w:szCs w:val="22"/>
        </w:rPr>
        <w:t>though</w:t>
      </w:r>
      <w:r w:rsidRPr="00F552F0">
        <w:rPr>
          <w:color w:val="000000"/>
          <w:sz w:val="22"/>
          <w:szCs w:val="22"/>
        </w:rPr>
        <w:t xml:space="preserve"> </w:t>
      </w:r>
      <w:r w:rsidRPr="00F552F0">
        <w:rPr>
          <w:i/>
          <w:color w:val="000000"/>
          <w:sz w:val="22"/>
          <w:szCs w:val="22"/>
        </w:rPr>
        <w:t>F</w:t>
      </w:r>
      <w:r w:rsidR="00A379E6" w:rsidRPr="00F552F0">
        <w:rPr>
          <w:color w:val="000000"/>
          <w:sz w:val="22"/>
          <w:szCs w:val="22"/>
        </w:rPr>
        <w:t>-</w:t>
      </w:r>
      <w:r w:rsidRPr="00F552F0">
        <w:rPr>
          <w:color w:val="000000"/>
          <w:sz w:val="22"/>
          <w:szCs w:val="22"/>
        </w:rPr>
        <w:t xml:space="preserve">statistics </w:t>
      </w:r>
      <w:r w:rsidR="0043301C" w:rsidRPr="00F552F0">
        <w:rPr>
          <w:color w:val="000000"/>
          <w:sz w:val="22"/>
          <w:szCs w:val="22"/>
        </w:rPr>
        <w:t xml:space="preserve">indicate joint significance obscured by </w:t>
      </w:r>
      <w:proofErr w:type="spellStart"/>
      <w:r w:rsidRPr="00F552F0">
        <w:rPr>
          <w:color w:val="000000"/>
          <w:sz w:val="22"/>
          <w:szCs w:val="22"/>
        </w:rPr>
        <w:t>multicollinearity</w:t>
      </w:r>
      <w:proofErr w:type="spellEnd"/>
      <w:r w:rsidRPr="00F552F0">
        <w:rPr>
          <w:color w:val="000000"/>
          <w:sz w:val="22"/>
          <w:szCs w:val="22"/>
        </w:rPr>
        <w:t>.</w:t>
      </w:r>
    </w:p>
    <w:p w:rsidR="0064777C" w:rsidRPr="00F552F0" w:rsidRDefault="00953EC2" w:rsidP="0064777C">
      <w:pPr>
        <w:autoSpaceDE w:val="0"/>
        <w:autoSpaceDN w:val="0"/>
        <w:adjustRightInd w:val="0"/>
        <w:spacing w:line="440" w:lineRule="exact"/>
        <w:ind w:firstLine="720"/>
        <w:jc w:val="both"/>
        <w:rPr>
          <w:sz w:val="22"/>
          <w:szCs w:val="22"/>
        </w:rPr>
      </w:pPr>
      <w:r w:rsidRPr="00F552F0">
        <w:rPr>
          <w:sz w:val="22"/>
          <w:szCs w:val="22"/>
        </w:rPr>
        <w:t>Family control correlates positively with inequality, regardless of which dimension of inequality we measure.  Of course, correlations do not resolve causation</w:t>
      </w:r>
      <w:r w:rsidR="0043301C" w:rsidRPr="00F552F0">
        <w:rPr>
          <w:sz w:val="22"/>
          <w:szCs w:val="22"/>
        </w:rPr>
        <w:t>. H</w:t>
      </w:r>
      <w:r w:rsidRPr="00F552F0">
        <w:rPr>
          <w:sz w:val="22"/>
          <w:szCs w:val="22"/>
        </w:rPr>
        <w:t>owever</w:t>
      </w:r>
      <w:r w:rsidR="0043301C" w:rsidRPr="00F552F0">
        <w:rPr>
          <w:sz w:val="22"/>
          <w:szCs w:val="22"/>
        </w:rPr>
        <w:t>,</w:t>
      </w:r>
      <w:r w:rsidRPr="00F552F0">
        <w:rPr>
          <w:sz w:val="22"/>
          <w:szCs w:val="22"/>
        </w:rPr>
        <w:t xml:space="preserve"> correlations with third variables</w:t>
      </w:r>
      <w:r w:rsidR="0043301C" w:rsidRPr="00F552F0">
        <w:rPr>
          <w:sz w:val="22"/>
          <w:szCs w:val="22"/>
        </w:rPr>
        <w:t>, such as those above, which are</w:t>
      </w:r>
      <w:r w:rsidRPr="00F552F0">
        <w:rPr>
          <w:sz w:val="22"/>
          <w:szCs w:val="22"/>
        </w:rPr>
        <w:t xml:space="preserve"> relevant to one causal explanation and not others</w:t>
      </w:r>
      <w:r w:rsidR="0043301C" w:rsidRPr="00F552F0">
        <w:rPr>
          <w:sz w:val="22"/>
          <w:szCs w:val="22"/>
        </w:rPr>
        <w:t>,</w:t>
      </w:r>
      <w:r w:rsidRPr="00F552F0">
        <w:rPr>
          <w:sz w:val="22"/>
          <w:szCs w:val="22"/>
        </w:rPr>
        <w:t xml:space="preserve"> can further sharpen Ockham’s razor.  We interpret these findings as reinforcing the plausibility of family control over banking systems reflecting crony capitalism</w:t>
      </w:r>
      <w:r w:rsidR="0064777C" w:rsidRPr="00F552F0">
        <w:rPr>
          <w:sz w:val="22"/>
          <w:szCs w:val="22"/>
        </w:rPr>
        <w:t xml:space="preserve"> </w:t>
      </w:r>
      <w:r w:rsidR="0064777C" w:rsidRPr="00F552F0">
        <w:rPr>
          <w:color w:val="000000"/>
          <w:sz w:val="22"/>
          <w:szCs w:val="22"/>
        </w:rPr>
        <w:t>(Murphy et al.</w:t>
      </w:r>
      <w:r w:rsidR="006F1BEA" w:rsidRPr="00F552F0">
        <w:rPr>
          <w:color w:val="000000"/>
          <w:sz w:val="22"/>
          <w:szCs w:val="22"/>
        </w:rPr>
        <w:t>,</w:t>
      </w:r>
      <w:r w:rsidR="0064777C" w:rsidRPr="00F552F0">
        <w:rPr>
          <w:color w:val="000000"/>
          <w:sz w:val="22"/>
          <w:szCs w:val="22"/>
        </w:rPr>
        <w:t xml:space="preserve"> 1991, 1993; Shleifer </w:t>
      </w:r>
      <w:r w:rsidR="00E82874" w:rsidRPr="00F552F0">
        <w:rPr>
          <w:color w:val="000000"/>
          <w:sz w:val="22"/>
          <w:szCs w:val="22"/>
        </w:rPr>
        <w:t>and</w:t>
      </w:r>
      <w:r w:rsidR="0064777C" w:rsidRPr="00F552F0">
        <w:rPr>
          <w:color w:val="000000"/>
          <w:sz w:val="22"/>
          <w:szCs w:val="22"/>
        </w:rPr>
        <w:t xml:space="preserve"> Vishny</w:t>
      </w:r>
      <w:r w:rsidR="006F1BEA" w:rsidRPr="00F552F0">
        <w:rPr>
          <w:color w:val="000000"/>
          <w:sz w:val="22"/>
          <w:szCs w:val="22"/>
        </w:rPr>
        <w:t>,</w:t>
      </w:r>
      <w:r w:rsidR="0064777C" w:rsidRPr="00F552F0">
        <w:rPr>
          <w:color w:val="000000"/>
          <w:sz w:val="22"/>
          <w:szCs w:val="22"/>
        </w:rPr>
        <w:t xml:space="preserve"> 1993; Shleifer </w:t>
      </w:r>
      <w:r w:rsidR="00E82874" w:rsidRPr="00F552F0">
        <w:rPr>
          <w:color w:val="000000"/>
          <w:sz w:val="22"/>
          <w:szCs w:val="22"/>
        </w:rPr>
        <w:t>and</w:t>
      </w:r>
      <w:r w:rsidR="0064777C" w:rsidRPr="00F552F0">
        <w:rPr>
          <w:color w:val="000000"/>
          <w:sz w:val="22"/>
          <w:szCs w:val="22"/>
        </w:rPr>
        <w:t xml:space="preserve"> Vishny</w:t>
      </w:r>
      <w:r w:rsidR="006F1BEA" w:rsidRPr="00F552F0">
        <w:rPr>
          <w:color w:val="000000"/>
          <w:sz w:val="22"/>
          <w:szCs w:val="22"/>
        </w:rPr>
        <w:t>,</w:t>
      </w:r>
      <w:r w:rsidR="00BE7518" w:rsidRPr="00F552F0">
        <w:rPr>
          <w:color w:val="000000"/>
          <w:sz w:val="22"/>
          <w:szCs w:val="22"/>
        </w:rPr>
        <w:t xml:space="preserve"> 1998</w:t>
      </w:r>
      <w:r w:rsidR="0064777C" w:rsidRPr="00F552F0">
        <w:rPr>
          <w:color w:val="000000"/>
          <w:sz w:val="22"/>
          <w:szCs w:val="22"/>
        </w:rPr>
        <w:t>; Haber</w:t>
      </w:r>
      <w:r w:rsidR="006F1BEA" w:rsidRPr="00F552F0">
        <w:rPr>
          <w:color w:val="000000"/>
          <w:sz w:val="22"/>
          <w:szCs w:val="22"/>
        </w:rPr>
        <w:t>,</w:t>
      </w:r>
      <w:r w:rsidR="0064777C" w:rsidRPr="00F552F0">
        <w:rPr>
          <w:color w:val="000000"/>
          <w:sz w:val="22"/>
          <w:szCs w:val="22"/>
        </w:rPr>
        <w:t xml:space="preserve"> 2002; Krueger</w:t>
      </w:r>
      <w:r w:rsidR="006F1BEA" w:rsidRPr="00F552F0">
        <w:rPr>
          <w:color w:val="000000"/>
          <w:sz w:val="22"/>
          <w:szCs w:val="22"/>
        </w:rPr>
        <w:t>,</w:t>
      </w:r>
      <w:r w:rsidR="0064777C" w:rsidRPr="00F552F0">
        <w:rPr>
          <w:color w:val="000000"/>
          <w:sz w:val="22"/>
          <w:szCs w:val="22"/>
        </w:rPr>
        <w:t xml:space="preserve"> 2002; </w:t>
      </w:r>
      <w:proofErr w:type="spellStart"/>
      <w:r w:rsidR="0064777C" w:rsidRPr="00F552F0">
        <w:rPr>
          <w:color w:val="000000"/>
          <w:sz w:val="22"/>
          <w:szCs w:val="22"/>
        </w:rPr>
        <w:t>Rajan</w:t>
      </w:r>
      <w:proofErr w:type="spellEnd"/>
      <w:r w:rsidR="0064777C" w:rsidRPr="00F552F0">
        <w:rPr>
          <w:color w:val="000000"/>
          <w:sz w:val="22"/>
          <w:szCs w:val="22"/>
        </w:rPr>
        <w:t xml:space="preserve"> </w:t>
      </w:r>
      <w:r w:rsidR="00E82874" w:rsidRPr="00F552F0">
        <w:rPr>
          <w:color w:val="000000"/>
          <w:sz w:val="22"/>
          <w:szCs w:val="22"/>
        </w:rPr>
        <w:t>and</w:t>
      </w:r>
      <w:r w:rsidR="0064777C" w:rsidRPr="00F552F0">
        <w:rPr>
          <w:color w:val="000000"/>
          <w:sz w:val="22"/>
          <w:szCs w:val="22"/>
        </w:rPr>
        <w:t xml:space="preserve"> </w:t>
      </w:r>
      <w:proofErr w:type="spellStart"/>
      <w:r w:rsidR="0064777C" w:rsidRPr="00F552F0">
        <w:rPr>
          <w:color w:val="000000"/>
          <w:sz w:val="22"/>
          <w:szCs w:val="22"/>
        </w:rPr>
        <w:t>Zingales</w:t>
      </w:r>
      <w:proofErr w:type="spellEnd"/>
      <w:r w:rsidR="006F1BEA" w:rsidRPr="00F552F0">
        <w:rPr>
          <w:color w:val="000000"/>
          <w:sz w:val="22"/>
          <w:szCs w:val="22"/>
        </w:rPr>
        <w:t>,</w:t>
      </w:r>
      <w:r w:rsidR="0064777C" w:rsidRPr="00F552F0">
        <w:rPr>
          <w:color w:val="000000"/>
          <w:sz w:val="22"/>
          <w:szCs w:val="22"/>
        </w:rPr>
        <w:t xml:space="preserve"> 2004; Daniels </w:t>
      </w:r>
      <w:r w:rsidR="00E82874" w:rsidRPr="00F552F0">
        <w:rPr>
          <w:color w:val="000000"/>
          <w:sz w:val="22"/>
          <w:szCs w:val="22"/>
        </w:rPr>
        <w:t>and</w:t>
      </w:r>
      <w:r w:rsidR="0064777C" w:rsidRPr="00F552F0">
        <w:rPr>
          <w:color w:val="000000"/>
          <w:sz w:val="22"/>
          <w:szCs w:val="22"/>
        </w:rPr>
        <w:t xml:space="preserve"> </w:t>
      </w:r>
      <w:proofErr w:type="spellStart"/>
      <w:r w:rsidR="0064777C" w:rsidRPr="00F552F0">
        <w:rPr>
          <w:color w:val="000000"/>
          <w:sz w:val="22"/>
          <w:szCs w:val="22"/>
        </w:rPr>
        <w:t>Trebilcock</w:t>
      </w:r>
      <w:proofErr w:type="spellEnd"/>
      <w:r w:rsidR="006F1BEA" w:rsidRPr="00F552F0">
        <w:rPr>
          <w:color w:val="000000"/>
          <w:sz w:val="22"/>
          <w:szCs w:val="22"/>
        </w:rPr>
        <w:t>,</w:t>
      </w:r>
      <w:r w:rsidR="0064777C" w:rsidRPr="00F552F0">
        <w:rPr>
          <w:color w:val="000000"/>
          <w:sz w:val="22"/>
          <w:szCs w:val="22"/>
        </w:rPr>
        <w:t xml:space="preserve"> 2008; </w:t>
      </w:r>
      <w:proofErr w:type="spellStart"/>
      <w:r w:rsidR="0064777C" w:rsidRPr="00F552F0">
        <w:rPr>
          <w:color w:val="000000"/>
          <w:sz w:val="22"/>
          <w:szCs w:val="22"/>
        </w:rPr>
        <w:t>Fisman</w:t>
      </w:r>
      <w:proofErr w:type="spellEnd"/>
      <w:r w:rsidR="0064777C" w:rsidRPr="00F552F0">
        <w:rPr>
          <w:color w:val="000000"/>
          <w:sz w:val="22"/>
          <w:szCs w:val="22"/>
        </w:rPr>
        <w:t xml:space="preserve"> </w:t>
      </w:r>
      <w:r w:rsidR="00E82874" w:rsidRPr="00F552F0">
        <w:rPr>
          <w:color w:val="000000"/>
          <w:sz w:val="22"/>
          <w:szCs w:val="22"/>
        </w:rPr>
        <w:t>and</w:t>
      </w:r>
      <w:r w:rsidR="0064777C" w:rsidRPr="00F552F0">
        <w:rPr>
          <w:color w:val="000000"/>
          <w:sz w:val="22"/>
          <w:szCs w:val="22"/>
        </w:rPr>
        <w:t xml:space="preserve"> Miguel</w:t>
      </w:r>
      <w:r w:rsidR="006F1BEA" w:rsidRPr="00F552F0">
        <w:rPr>
          <w:color w:val="000000"/>
          <w:sz w:val="22"/>
          <w:szCs w:val="22"/>
        </w:rPr>
        <w:t>,</w:t>
      </w:r>
      <w:r w:rsidR="0064777C" w:rsidRPr="00F552F0">
        <w:rPr>
          <w:color w:val="000000"/>
          <w:sz w:val="22"/>
          <w:szCs w:val="22"/>
        </w:rPr>
        <w:t xml:space="preserve"> 2008; and others).</w:t>
      </w:r>
    </w:p>
    <w:p w:rsidR="00EF22E6" w:rsidRPr="00F552F0" w:rsidRDefault="00433A5B" w:rsidP="00EB3337">
      <w:pPr>
        <w:autoSpaceDE w:val="0"/>
        <w:autoSpaceDN w:val="0"/>
        <w:adjustRightInd w:val="0"/>
        <w:spacing w:line="440" w:lineRule="exact"/>
        <w:ind w:firstLine="720"/>
        <w:jc w:val="both"/>
        <w:rPr>
          <w:color w:val="000000"/>
          <w:sz w:val="22"/>
          <w:szCs w:val="22"/>
        </w:rPr>
      </w:pPr>
      <w:r w:rsidRPr="00F552F0">
        <w:rPr>
          <w:color w:val="000000"/>
          <w:sz w:val="22"/>
          <w:szCs w:val="22"/>
        </w:rPr>
        <w:t xml:space="preserve"> </w:t>
      </w:r>
    </w:p>
    <w:p w:rsidR="00EF22E6" w:rsidRPr="00F552F0" w:rsidRDefault="003D5871" w:rsidP="00EF22E6">
      <w:pPr>
        <w:autoSpaceDE w:val="0"/>
        <w:autoSpaceDN w:val="0"/>
        <w:adjustRightInd w:val="0"/>
        <w:spacing w:line="440" w:lineRule="exact"/>
        <w:jc w:val="both"/>
        <w:rPr>
          <w:i/>
          <w:color w:val="000000"/>
          <w:sz w:val="22"/>
          <w:szCs w:val="22"/>
        </w:rPr>
      </w:pPr>
      <w:r w:rsidRPr="00F552F0">
        <w:rPr>
          <w:i/>
          <w:color w:val="000000"/>
          <w:szCs w:val="22"/>
        </w:rPr>
        <w:t>3.3.6.</w:t>
      </w:r>
      <w:r w:rsidRPr="00F552F0">
        <w:rPr>
          <w:i/>
          <w:color w:val="000000"/>
          <w:szCs w:val="22"/>
        </w:rPr>
        <w:tab/>
        <w:t>Causation</w:t>
      </w:r>
    </w:p>
    <w:p w:rsidR="00E21501" w:rsidRPr="00F552F0" w:rsidRDefault="00A801EA">
      <w:pPr>
        <w:autoSpaceDE w:val="0"/>
        <w:autoSpaceDN w:val="0"/>
        <w:adjustRightInd w:val="0"/>
        <w:spacing w:line="440" w:lineRule="exact"/>
        <w:ind w:firstLine="720"/>
        <w:jc w:val="both"/>
        <w:rPr>
          <w:color w:val="000000"/>
          <w:sz w:val="22"/>
          <w:szCs w:val="22"/>
        </w:rPr>
      </w:pPr>
      <w:r w:rsidRPr="00F552F0">
        <w:rPr>
          <w:color w:val="000000"/>
          <w:sz w:val="22"/>
          <w:szCs w:val="22"/>
        </w:rPr>
        <w:t xml:space="preserve">We posit that </w:t>
      </w:r>
      <w:r w:rsidR="00433A5B" w:rsidRPr="00F552F0">
        <w:rPr>
          <w:color w:val="000000"/>
          <w:sz w:val="22"/>
          <w:szCs w:val="22"/>
        </w:rPr>
        <w:t xml:space="preserve">banks without controlling shareholders allocate capital more efficiently than banks with </w:t>
      </w:r>
      <w:r w:rsidR="00E66B30" w:rsidRPr="00F552F0">
        <w:rPr>
          <w:color w:val="000000"/>
          <w:sz w:val="22"/>
          <w:szCs w:val="22"/>
        </w:rPr>
        <w:t xml:space="preserve">tycoons and </w:t>
      </w:r>
      <w:r w:rsidR="00433A5B" w:rsidRPr="00F552F0">
        <w:rPr>
          <w:color w:val="000000"/>
          <w:sz w:val="22"/>
          <w:szCs w:val="22"/>
        </w:rPr>
        <w:t>families</w:t>
      </w:r>
      <w:r w:rsidRPr="00F552F0">
        <w:rPr>
          <w:color w:val="000000"/>
          <w:sz w:val="22"/>
          <w:szCs w:val="22"/>
        </w:rPr>
        <w:t xml:space="preserve"> </w:t>
      </w:r>
      <w:r w:rsidR="00433A5B" w:rsidRPr="00F552F0">
        <w:rPr>
          <w:color w:val="000000"/>
          <w:sz w:val="22"/>
          <w:szCs w:val="22"/>
        </w:rPr>
        <w:t xml:space="preserve">as </w:t>
      </w:r>
      <w:r w:rsidR="0051379B" w:rsidRPr="00F552F0">
        <w:rPr>
          <w:color w:val="000000"/>
          <w:sz w:val="22"/>
          <w:szCs w:val="22"/>
        </w:rPr>
        <w:t>controlling shareholders</w:t>
      </w:r>
      <w:r w:rsidR="00433A5B" w:rsidRPr="00F552F0">
        <w:rPr>
          <w:color w:val="000000"/>
          <w:sz w:val="22"/>
          <w:szCs w:val="22"/>
        </w:rPr>
        <w:t xml:space="preserve">.  </w:t>
      </w:r>
      <w:r w:rsidR="00E66B30" w:rsidRPr="00F552F0">
        <w:rPr>
          <w:color w:val="000000"/>
          <w:sz w:val="22"/>
          <w:szCs w:val="22"/>
        </w:rPr>
        <w:t xml:space="preserve">However, we must consider the possibility that </w:t>
      </w:r>
      <w:r w:rsidR="00E66B30" w:rsidRPr="00F552F0">
        <w:rPr>
          <w:color w:val="000000"/>
          <w:sz w:val="22"/>
          <w:szCs w:val="22"/>
        </w:rPr>
        <w:lastRenderedPageBreak/>
        <w:t xml:space="preserve">causation is reversed, that inefficient capital allocation </w:t>
      </w:r>
      <w:r w:rsidR="00433A5B" w:rsidRPr="00F552F0">
        <w:rPr>
          <w:color w:val="000000"/>
          <w:sz w:val="22"/>
          <w:szCs w:val="22"/>
        </w:rPr>
        <w:t>cause</w:t>
      </w:r>
      <w:r w:rsidR="00E66B30" w:rsidRPr="00F552F0">
        <w:rPr>
          <w:color w:val="000000"/>
          <w:sz w:val="22"/>
          <w:szCs w:val="22"/>
        </w:rPr>
        <w:t>s</w:t>
      </w:r>
      <w:r w:rsidR="00433A5B" w:rsidRPr="00F552F0">
        <w:rPr>
          <w:color w:val="000000"/>
          <w:sz w:val="22"/>
          <w:szCs w:val="22"/>
        </w:rPr>
        <w:t xml:space="preserve"> </w:t>
      </w:r>
      <w:r w:rsidR="00E66B30" w:rsidRPr="00F552F0">
        <w:rPr>
          <w:color w:val="000000"/>
          <w:sz w:val="22"/>
          <w:szCs w:val="22"/>
        </w:rPr>
        <w:t xml:space="preserve">tycoons and </w:t>
      </w:r>
      <w:r w:rsidR="00433A5B" w:rsidRPr="00F552F0">
        <w:rPr>
          <w:color w:val="000000"/>
          <w:sz w:val="22"/>
          <w:szCs w:val="22"/>
        </w:rPr>
        <w:t xml:space="preserve">families to </w:t>
      </w:r>
      <w:r w:rsidR="00E66B30" w:rsidRPr="00F552F0">
        <w:rPr>
          <w:color w:val="000000"/>
          <w:sz w:val="22"/>
          <w:szCs w:val="22"/>
        </w:rPr>
        <w:t>acquire control blocks in</w:t>
      </w:r>
      <w:r w:rsidR="00433A5B" w:rsidRPr="00F552F0">
        <w:rPr>
          <w:color w:val="000000"/>
          <w:sz w:val="22"/>
          <w:szCs w:val="22"/>
        </w:rPr>
        <w:t xml:space="preserve"> banks</w:t>
      </w:r>
      <w:r w:rsidR="00E66B30" w:rsidRPr="00F552F0">
        <w:rPr>
          <w:color w:val="000000"/>
          <w:sz w:val="22"/>
          <w:szCs w:val="22"/>
        </w:rPr>
        <w:t xml:space="preserve"> to access capital for their </w:t>
      </w:r>
      <w:r w:rsidR="00E30FC9" w:rsidRPr="00F552F0">
        <w:rPr>
          <w:color w:val="000000"/>
          <w:sz w:val="22"/>
          <w:szCs w:val="22"/>
        </w:rPr>
        <w:t xml:space="preserve">other firms.  </w:t>
      </w:r>
      <w:r w:rsidR="00EF22E6" w:rsidRPr="00F552F0">
        <w:rPr>
          <w:color w:val="000000"/>
          <w:sz w:val="22"/>
          <w:szCs w:val="22"/>
        </w:rPr>
        <w:t xml:space="preserve">We can preclude </w:t>
      </w:r>
      <w:r w:rsidR="001D1609" w:rsidRPr="00F552F0">
        <w:rPr>
          <w:color w:val="000000"/>
          <w:sz w:val="22"/>
          <w:szCs w:val="22"/>
        </w:rPr>
        <w:t xml:space="preserve">neither </w:t>
      </w:r>
      <w:r w:rsidR="00EF22E6" w:rsidRPr="00F552F0">
        <w:rPr>
          <w:color w:val="000000"/>
          <w:sz w:val="22"/>
          <w:szCs w:val="22"/>
        </w:rPr>
        <w:t>absolutely. Neither event studies nor Granger causality tests are viable because</w:t>
      </w:r>
      <w:r w:rsidR="004B57AE" w:rsidRPr="00F552F0">
        <w:rPr>
          <w:color w:val="000000"/>
          <w:sz w:val="22"/>
          <w:szCs w:val="22"/>
        </w:rPr>
        <w:t xml:space="preserve"> banks very rarely switch</w:t>
      </w:r>
      <w:r w:rsidR="00EF22E6" w:rsidRPr="00F552F0">
        <w:rPr>
          <w:color w:val="000000"/>
          <w:sz w:val="22"/>
          <w:szCs w:val="22"/>
        </w:rPr>
        <w:t xml:space="preserve"> </w:t>
      </w:r>
      <w:r w:rsidR="0043301C" w:rsidRPr="00F552F0">
        <w:rPr>
          <w:color w:val="000000"/>
          <w:sz w:val="22"/>
          <w:szCs w:val="22"/>
        </w:rPr>
        <w:t>from on</w:t>
      </w:r>
      <w:r w:rsidR="004B57AE" w:rsidRPr="00F552F0">
        <w:rPr>
          <w:color w:val="000000"/>
          <w:sz w:val="22"/>
          <w:szCs w:val="22"/>
        </w:rPr>
        <w:t>e</w:t>
      </w:r>
      <w:r w:rsidR="0043301C" w:rsidRPr="00F552F0">
        <w:rPr>
          <w:color w:val="000000"/>
          <w:sz w:val="22"/>
          <w:szCs w:val="22"/>
        </w:rPr>
        <w:t xml:space="preserve"> </w:t>
      </w:r>
      <w:r w:rsidR="00F148A2" w:rsidRPr="00F552F0">
        <w:rPr>
          <w:color w:val="000000"/>
          <w:sz w:val="22"/>
          <w:szCs w:val="22"/>
        </w:rPr>
        <w:t>ultimate controlling shareholder</w:t>
      </w:r>
      <w:r w:rsidR="00D30DC2" w:rsidRPr="00F552F0">
        <w:rPr>
          <w:color w:val="000000"/>
          <w:sz w:val="22"/>
          <w:szCs w:val="22"/>
        </w:rPr>
        <w:t xml:space="preserve"> category</w:t>
      </w:r>
      <w:r w:rsidR="00EF22E6" w:rsidRPr="00F552F0">
        <w:rPr>
          <w:color w:val="000000"/>
          <w:sz w:val="22"/>
          <w:szCs w:val="22"/>
        </w:rPr>
        <w:t xml:space="preserve"> </w:t>
      </w:r>
      <w:r w:rsidR="0043301C" w:rsidRPr="00F552F0">
        <w:rPr>
          <w:color w:val="000000"/>
          <w:sz w:val="22"/>
          <w:szCs w:val="22"/>
        </w:rPr>
        <w:t>to another</w:t>
      </w:r>
      <w:r w:rsidR="00EF22E6" w:rsidRPr="00F552F0">
        <w:rPr>
          <w:color w:val="000000"/>
          <w:sz w:val="22"/>
          <w:szCs w:val="22"/>
        </w:rPr>
        <w:t>.  Also, the number of control variables we can use is limited because we must use country-level variables, most of which are highly persistent</w:t>
      </w:r>
      <w:r w:rsidR="0018372B" w:rsidRPr="00F552F0">
        <w:rPr>
          <w:color w:val="000000"/>
          <w:sz w:val="22"/>
          <w:szCs w:val="22"/>
        </w:rPr>
        <w:t>, so controlling for all potential latent factors is infeasible.</w:t>
      </w:r>
      <w:r w:rsidR="00EF22E6" w:rsidRPr="00F552F0">
        <w:rPr>
          <w:color w:val="000000"/>
          <w:sz w:val="22"/>
          <w:szCs w:val="22"/>
        </w:rPr>
        <w:t xml:space="preserve"> Finally, plausibly exogenous potential instruments, such as legal origin and majority religion, are unlikely to act exclusively through banking system control.  </w:t>
      </w:r>
      <w:r w:rsidR="0018372B" w:rsidRPr="00F552F0">
        <w:rPr>
          <w:color w:val="000000"/>
          <w:sz w:val="22"/>
          <w:szCs w:val="22"/>
        </w:rPr>
        <w:t>Despite these daunting problems, our tests can eliminate some potential chains of reverse causation and many latent factors</w:t>
      </w:r>
      <w:r w:rsidR="00953EC2" w:rsidRPr="00F552F0">
        <w:rPr>
          <w:color w:val="000000"/>
          <w:sz w:val="22"/>
          <w:szCs w:val="22"/>
        </w:rPr>
        <w:t>. In addition,</w:t>
      </w:r>
      <w:r w:rsidR="0018372B" w:rsidRPr="00F552F0">
        <w:rPr>
          <w:color w:val="000000"/>
          <w:sz w:val="22"/>
          <w:szCs w:val="22"/>
        </w:rPr>
        <w:t xml:space="preserve"> a large body of circumstantial evidence from country historical studies and empirical work in adjacent areas makes an </w:t>
      </w:r>
      <w:r w:rsidR="003D5871" w:rsidRPr="00F552F0">
        <w:rPr>
          <w:color w:val="000000"/>
          <w:sz w:val="22"/>
          <w:szCs w:val="22"/>
        </w:rPr>
        <w:t>a priori</w:t>
      </w:r>
      <w:r w:rsidR="0018372B" w:rsidRPr="00F552F0">
        <w:rPr>
          <w:color w:val="000000"/>
          <w:sz w:val="22"/>
          <w:szCs w:val="22"/>
        </w:rPr>
        <w:t xml:space="preserve"> plausible case for causation running as we posit.  </w:t>
      </w:r>
    </w:p>
    <w:p w:rsidR="0018372B" w:rsidRPr="00F552F0" w:rsidRDefault="00AB44C2">
      <w:pPr>
        <w:autoSpaceDE w:val="0"/>
        <w:autoSpaceDN w:val="0"/>
        <w:adjustRightInd w:val="0"/>
        <w:spacing w:line="440" w:lineRule="exact"/>
        <w:jc w:val="both"/>
        <w:rPr>
          <w:color w:val="000000"/>
          <w:sz w:val="22"/>
          <w:szCs w:val="22"/>
        </w:rPr>
      </w:pPr>
      <w:r w:rsidRPr="00F552F0">
        <w:rPr>
          <w:color w:val="000000"/>
          <w:sz w:val="22"/>
          <w:szCs w:val="22"/>
        </w:rPr>
        <w:tab/>
        <w:t xml:space="preserve"> Our econometric tests allow us to limit the scope </w:t>
      </w:r>
      <w:r w:rsidR="0018372B" w:rsidRPr="00F552F0">
        <w:rPr>
          <w:color w:val="000000"/>
          <w:sz w:val="22"/>
          <w:szCs w:val="22"/>
        </w:rPr>
        <w:t>for latent factors and</w:t>
      </w:r>
      <w:r w:rsidRPr="00F552F0">
        <w:rPr>
          <w:color w:val="000000"/>
          <w:sz w:val="22"/>
          <w:szCs w:val="22"/>
        </w:rPr>
        <w:t xml:space="preserve"> reverse causality.  When we use the approach of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Pr="00F552F0">
        <w:rPr>
          <w:color w:val="000000"/>
          <w:sz w:val="22"/>
          <w:szCs w:val="22"/>
        </w:rPr>
        <w:t xml:space="preserve"> (1998) to gauge capital allocation efficiency, we include both industry-level and country-level fixed effects, and exploit only cross-industry variation within countries.  These tests are therefore robust to country-level and industry-level latent variables</w:t>
      </w:r>
      <w:r w:rsidR="0018372B" w:rsidRPr="00F552F0">
        <w:rPr>
          <w:color w:val="000000"/>
          <w:sz w:val="22"/>
          <w:szCs w:val="22"/>
        </w:rPr>
        <w:t xml:space="preserve"> that do not</w:t>
      </w:r>
      <w:r w:rsidRPr="00F552F0">
        <w:rPr>
          <w:color w:val="000000"/>
          <w:sz w:val="22"/>
          <w:szCs w:val="22"/>
        </w:rPr>
        <w:t xml:space="preserve"> interact with </w:t>
      </w:r>
      <w:r w:rsidR="006D635D" w:rsidRPr="00F552F0">
        <w:rPr>
          <w:color w:val="000000"/>
          <w:sz w:val="22"/>
          <w:szCs w:val="22"/>
        </w:rPr>
        <w:t>external-finance</w:t>
      </w:r>
      <w:r w:rsidR="0018372B" w:rsidRPr="00F552F0">
        <w:rPr>
          <w:color w:val="000000"/>
          <w:sz w:val="22"/>
          <w:szCs w:val="22"/>
        </w:rPr>
        <w:t xml:space="preserve"> dependence, and also eliminate factors that should induce an interaction with the wrong sign</w:t>
      </w:r>
      <w:r w:rsidRPr="00F552F0">
        <w:rPr>
          <w:color w:val="000000"/>
          <w:sz w:val="22"/>
          <w:szCs w:val="22"/>
        </w:rPr>
        <w:t xml:space="preserve">. </w:t>
      </w:r>
      <w:r w:rsidR="0018372B" w:rsidRPr="00F552F0">
        <w:rPr>
          <w:color w:val="000000"/>
          <w:sz w:val="22"/>
          <w:szCs w:val="22"/>
        </w:rPr>
        <w:t xml:space="preserve">For example, if weak institutions caused </w:t>
      </w:r>
      <w:r w:rsidR="000B4565" w:rsidRPr="00F552F0">
        <w:rPr>
          <w:color w:val="000000"/>
          <w:sz w:val="22"/>
          <w:szCs w:val="22"/>
        </w:rPr>
        <w:t xml:space="preserve">tycoons and </w:t>
      </w:r>
      <w:r w:rsidR="0018372B" w:rsidRPr="00F552F0">
        <w:rPr>
          <w:color w:val="000000"/>
          <w:sz w:val="22"/>
          <w:szCs w:val="22"/>
        </w:rPr>
        <w:t xml:space="preserve">families to </w:t>
      </w:r>
      <w:r w:rsidR="000B4565" w:rsidRPr="00F552F0">
        <w:rPr>
          <w:color w:val="000000"/>
          <w:sz w:val="22"/>
          <w:szCs w:val="22"/>
        </w:rPr>
        <w:t>acquire</w:t>
      </w:r>
      <w:r w:rsidR="0018372B" w:rsidRPr="00F552F0">
        <w:rPr>
          <w:color w:val="000000"/>
          <w:sz w:val="22"/>
          <w:szCs w:val="22"/>
        </w:rPr>
        <w:t xml:space="preserve"> banks </w:t>
      </w:r>
      <w:r w:rsidR="000B4565" w:rsidRPr="00F552F0">
        <w:rPr>
          <w:color w:val="000000"/>
          <w:sz w:val="22"/>
          <w:szCs w:val="22"/>
        </w:rPr>
        <w:t xml:space="preserve">so as </w:t>
      </w:r>
      <w:r w:rsidR="0018372B" w:rsidRPr="00F552F0">
        <w:rPr>
          <w:color w:val="000000"/>
          <w:sz w:val="22"/>
          <w:szCs w:val="22"/>
        </w:rPr>
        <w:t>to capitalize their firms in external</w:t>
      </w:r>
      <w:r w:rsidR="0076000B" w:rsidRPr="00F552F0">
        <w:rPr>
          <w:color w:val="000000"/>
          <w:sz w:val="22"/>
          <w:szCs w:val="22"/>
        </w:rPr>
        <w:t>-</w:t>
      </w:r>
      <w:r w:rsidR="0018372B" w:rsidRPr="00F552F0">
        <w:rPr>
          <w:color w:val="000000"/>
          <w:sz w:val="22"/>
          <w:szCs w:val="22"/>
        </w:rPr>
        <w:t>finance</w:t>
      </w:r>
      <w:r w:rsidR="0076000B" w:rsidRPr="00F552F0">
        <w:rPr>
          <w:color w:val="000000"/>
          <w:sz w:val="22"/>
          <w:szCs w:val="22"/>
        </w:rPr>
        <w:t xml:space="preserve"> </w:t>
      </w:r>
      <w:r w:rsidR="000B4565" w:rsidRPr="00F552F0">
        <w:rPr>
          <w:color w:val="000000"/>
          <w:sz w:val="22"/>
          <w:szCs w:val="22"/>
        </w:rPr>
        <w:t>dependent sectors, more predominantly family-controlled banking system</w:t>
      </w:r>
      <w:r w:rsidR="00126499" w:rsidRPr="00F552F0">
        <w:rPr>
          <w:color w:val="000000"/>
          <w:sz w:val="22"/>
          <w:szCs w:val="22"/>
        </w:rPr>
        <w:t>s</w:t>
      </w:r>
      <w:r w:rsidR="000B4565" w:rsidRPr="00F552F0">
        <w:rPr>
          <w:color w:val="000000"/>
          <w:sz w:val="22"/>
          <w:szCs w:val="22"/>
        </w:rPr>
        <w:t xml:space="preserve"> </w:t>
      </w:r>
      <w:r w:rsidR="0018372B" w:rsidRPr="00F552F0">
        <w:rPr>
          <w:color w:val="000000"/>
          <w:sz w:val="22"/>
          <w:szCs w:val="22"/>
        </w:rPr>
        <w:t xml:space="preserve">should correlate with faster growth in </w:t>
      </w:r>
      <w:r w:rsidR="000B4565" w:rsidRPr="00F552F0">
        <w:rPr>
          <w:color w:val="000000"/>
          <w:sz w:val="22"/>
          <w:szCs w:val="22"/>
        </w:rPr>
        <w:t>those sectors</w:t>
      </w:r>
      <w:r w:rsidR="0018372B" w:rsidRPr="00F552F0">
        <w:rPr>
          <w:color w:val="000000"/>
          <w:sz w:val="22"/>
          <w:szCs w:val="22"/>
        </w:rPr>
        <w:t xml:space="preserve"> after controlling for institutional development</w:t>
      </w:r>
      <w:r w:rsidR="00ED29AC" w:rsidRPr="00F552F0">
        <w:rPr>
          <w:color w:val="000000"/>
          <w:sz w:val="22"/>
          <w:szCs w:val="22"/>
        </w:rPr>
        <w:t xml:space="preserve"> (country dummies)</w:t>
      </w:r>
      <w:r w:rsidR="000B4565" w:rsidRPr="00F552F0">
        <w:rPr>
          <w:color w:val="000000"/>
          <w:sz w:val="22"/>
          <w:szCs w:val="22"/>
        </w:rPr>
        <w:t>; however, the opposite interaction is observed</w:t>
      </w:r>
      <w:r w:rsidR="00AE5D28" w:rsidRPr="00F552F0">
        <w:rPr>
          <w:color w:val="000000"/>
          <w:sz w:val="22"/>
          <w:szCs w:val="22"/>
        </w:rPr>
        <w:t>.</w:t>
      </w:r>
      <w:r w:rsidR="00953EC2" w:rsidRPr="00F552F0">
        <w:rPr>
          <w:rStyle w:val="FootnoteReference"/>
          <w:color w:val="000000"/>
          <w:sz w:val="22"/>
          <w:szCs w:val="22"/>
        </w:rPr>
        <w:footnoteReference w:id="5"/>
      </w:r>
      <w:r w:rsidR="000B4565" w:rsidRPr="00F552F0">
        <w:rPr>
          <w:color w:val="000000"/>
          <w:sz w:val="22"/>
          <w:szCs w:val="22"/>
        </w:rPr>
        <w:t xml:space="preserve">  </w:t>
      </w:r>
      <w:r w:rsidR="0018372B" w:rsidRPr="00F552F0">
        <w:rPr>
          <w:color w:val="000000"/>
          <w:sz w:val="22"/>
          <w:szCs w:val="22"/>
        </w:rPr>
        <w:t xml:space="preserve"> </w:t>
      </w:r>
    </w:p>
    <w:p w:rsidR="00A801EA" w:rsidRPr="00F552F0" w:rsidRDefault="000B4565">
      <w:pPr>
        <w:autoSpaceDE w:val="0"/>
        <w:autoSpaceDN w:val="0"/>
        <w:adjustRightInd w:val="0"/>
        <w:spacing w:line="440" w:lineRule="exact"/>
        <w:jc w:val="both"/>
        <w:rPr>
          <w:color w:val="000000"/>
          <w:sz w:val="22"/>
          <w:szCs w:val="22"/>
        </w:rPr>
      </w:pPr>
      <w:r w:rsidRPr="00F552F0">
        <w:rPr>
          <w:color w:val="000000"/>
          <w:sz w:val="22"/>
          <w:szCs w:val="22"/>
        </w:rPr>
        <w:tab/>
        <w:t xml:space="preserve">If we use the popular instrumental variables </w:t>
      </w:r>
      <w:r w:rsidR="00AB44C2" w:rsidRPr="00F552F0">
        <w:rPr>
          <w:color w:val="000000"/>
          <w:sz w:val="22"/>
          <w:szCs w:val="22"/>
        </w:rPr>
        <w:t xml:space="preserve">legal origin, latitude, and major religion to estimate exogenous components of our bank control measures, and </w:t>
      </w:r>
      <w:r w:rsidRPr="00F552F0">
        <w:rPr>
          <w:color w:val="000000"/>
          <w:sz w:val="22"/>
          <w:szCs w:val="22"/>
        </w:rPr>
        <w:t>use</w:t>
      </w:r>
      <w:r w:rsidR="00AB44C2" w:rsidRPr="00F552F0">
        <w:rPr>
          <w:color w:val="000000"/>
          <w:sz w:val="22"/>
          <w:szCs w:val="22"/>
        </w:rPr>
        <w:t xml:space="preserve"> </w:t>
      </w:r>
      <w:r w:rsidRPr="00F552F0">
        <w:rPr>
          <w:color w:val="000000"/>
          <w:sz w:val="22"/>
          <w:szCs w:val="22"/>
        </w:rPr>
        <w:t>these to re-estimate the tables</w:t>
      </w:r>
      <w:r w:rsidR="0043301C" w:rsidRPr="00F552F0">
        <w:rPr>
          <w:color w:val="000000"/>
          <w:sz w:val="22"/>
          <w:szCs w:val="22"/>
        </w:rPr>
        <w:t xml:space="preserve"> in second stage regressions</w:t>
      </w:r>
      <w:r w:rsidRPr="00F552F0">
        <w:rPr>
          <w:color w:val="000000"/>
          <w:sz w:val="22"/>
          <w:szCs w:val="22"/>
        </w:rPr>
        <w:t xml:space="preserve">, we obtain </w:t>
      </w:r>
      <w:r w:rsidR="00AB44C2" w:rsidRPr="00F552F0">
        <w:rPr>
          <w:color w:val="000000"/>
          <w:sz w:val="22"/>
          <w:szCs w:val="22"/>
        </w:rPr>
        <w:t>qualitatively similar results</w:t>
      </w:r>
      <w:r w:rsidRPr="00F552F0">
        <w:rPr>
          <w:color w:val="000000"/>
          <w:sz w:val="22"/>
          <w:szCs w:val="22"/>
        </w:rPr>
        <w:t xml:space="preserve">. </w:t>
      </w:r>
      <w:r w:rsidR="00AB44C2" w:rsidRPr="00F552F0">
        <w:rPr>
          <w:color w:val="000000"/>
          <w:sz w:val="22"/>
          <w:szCs w:val="22"/>
        </w:rPr>
        <w:t xml:space="preserve">Although </w:t>
      </w:r>
      <w:r w:rsidRPr="00F552F0">
        <w:rPr>
          <w:color w:val="000000"/>
          <w:sz w:val="22"/>
          <w:szCs w:val="22"/>
        </w:rPr>
        <w:t>these instruments</w:t>
      </w:r>
      <w:r w:rsidR="00AB44C2" w:rsidRPr="00F552F0">
        <w:rPr>
          <w:color w:val="000000"/>
          <w:sz w:val="22"/>
          <w:szCs w:val="22"/>
        </w:rPr>
        <w:t xml:space="preserve"> pass standard weak instruments tests, </w:t>
      </w:r>
      <w:r w:rsidRPr="00F552F0">
        <w:rPr>
          <w:color w:val="000000"/>
          <w:sz w:val="22"/>
          <w:szCs w:val="22"/>
        </w:rPr>
        <w:t>they plausibly</w:t>
      </w:r>
      <w:r w:rsidR="00AB44C2" w:rsidRPr="00F552F0">
        <w:rPr>
          <w:color w:val="000000"/>
          <w:sz w:val="22"/>
          <w:szCs w:val="22"/>
        </w:rPr>
        <w:t xml:space="preserve"> affect economy outcomes through many channels, and </w:t>
      </w:r>
      <w:r w:rsidRPr="00F552F0">
        <w:rPr>
          <w:color w:val="000000"/>
          <w:sz w:val="22"/>
          <w:szCs w:val="22"/>
        </w:rPr>
        <w:t xml:space="preserve">therefore </w:t>
      </w:r>
      <w:r w:rsidR="00AB44C2" w:rsidRPr="00F552F0">
        <w:rPr>
          <w:color w:val="000000"/>
          <w:sz w:val="22"/>
          <w:szCs w:val="22"/>
        </w:rPr>
        <w:t xml:space="preserve">cannot be regarded as valid instruments. </w:t>
      </w:r>
      <w:r w:rsidRPr="00F552F0">
        <w:rPr>
          <w:color w:val="000000"/>
          <w:sz w:val="22"/>
          <w:szCs w:val="22"/>
        </w:rPr>
        <w:t>Nonetheless, this exercise indicates that</w:t>
      </w:r>
      <w:r w:rsidR="00AB44C2" w:rsidRPr="00F552F0">
        <w:rPr>
          <w:color w:val="000000"/>
          <w:sz w:val="22"/>
          <w:szCs w:val="22"/>
        </w:rPr>
        <w:t xml:space="preserve"> exogenous elements </w:t>
      </w:r>
      <w:r w:rsidRPr="00F552F0">
        <w:rPr>
          <w:color w:val="000000"/>
          <w:sz w:val="22"/>
          <w:szCs w:val="22"/>
        </w:rPr>
        <w:t>correlated</w:t>
      </w:r>
      <w:r w:rsidR="00AB44C2" w:rsidRPr="00F552F0">
        <w:rPr>
          <w:color w:val="000000"/>
          <w:sz w:val="22"/>
          <w:szCs w:val="22"/>
        </w:rPr>
        <w:t xml:space="preserve"> with bank</w:t>
      </w:r>
      <w:r w:rsidRPr="00F552F0">
        <w:rPr>
          <w:color w:val="000000"/>
          <w:sz w:val="22"/>
          <w:szCs w:val="22"/>
        </w:rPr>
        <w:t>ing system</w:t>
      </w:r>
      <w:r w:rsidR="00AB44C2" w:rsidRPr="00F552F0">
        <w:rPr>
          <w:color w:val="000000"/>
          <w:sz w:val="22"/>
          <w:szCs w:val="22"/>
        </w:rPr>
        <w:t xml:space="preserve"> control affect the economy-level outcomes we study</w:t>
      </w:r>
      <w:r w:rsidRPr="00F552F0">
        <w:rPr>
          <w:color w:val="000000"/>
          <w:sz w:val="22"/>
          <w:szCs w:val="22"/>
        </w:rPr>
        <w:t xml:space="preserve">.  </w:t>
      </w:r>
    </w:p>
    <w:p w:rsidR="0003694A" w:rsidRPr="00F552F0" w:rsidRDefault="00A801EA" w:rsidP="00D403D0">
      <w:pPr>
        <w:autoSpaceDE w:val="0"/>
        <w:autoSpaceDN w:val="0"/>
        <w:adjustRightInd w:val="0"/>
        <w:spacing w:line="440" w:lineRule="exact"/>
        <w:jc w:val="both"/>
        <w:rPr>
          <w:color w:val="000000"/>
          <w:sz w:val="22"/>
          <w:szCs w:val="22"/>
        </w:rPr>
      </w:pPr>
      <w:r w:rsidRPr="00F552F0">
        <w:rPr>
          <w:color w:val="000000"/>
          <w:sz w:val="22"/>
          <w:szCs w:val="22"/>
        </w:rPr>
        <w:lastRenderedPageBreak/>
        <w:tab/>
        <w:t xml:space="preserve"> </w:t>
      </w:r>
      <w:r w:rsidR="00C25C94" w:rsidRPr="00F552F0">
        <w:rPr>
          <w:color w:val="000000"/>
          <w:sz w:val="22"/>
          <w:szCs w:val="22"/>
        </w:rPr>
        <w:t>This ambiguity is further qualified by</w:t>
      </w:r>
      <w:r w:rsidR="007924A4" w:rsidRPr="00F552F0">
        <w:rPr>
          <w:color w:val="000000"/>
          <w:sz w:val="22"/>
          <w:szCs w:val="22"/>
        </w:rPr>
        <w:t xml:space="preserve"> large bod</w:t>
      </w:r>
      <w:r w:rsidR="00D403D0" w:rsidRPr="00F552F0">
        <w:rPr>
          <w:color w:val="000000"/>
          <w:sz w:val="22"/>
          <w:szCs w:val="22"/>
        </w:rPr>
        <w:t>ies</w:t>
      </w:r>
      <w:r w:rsidR="007924A4" w:rsidRPr="00F552F0">
        <w:rPr>
          <w:color w:val="000000"/>
          <w:sz w:val="22"/>
          <w:szCs w:val="22"/>
        </w:rPr>
        <w:t xml:space="preserve"> of theory</w:t>
      </w:r>
      <w:r w:rsidR="0046223A" w:rsidRPr="00F552F0">
        <w:rPr>
          <w:color w:val="000000"/>
          <w:sz w:val="22"/>
          <w:szCs w:val="22"/>
        </w:rPr>
        <w:t xml:space="preserve"> (Schumpeter</w:t>
      </w:r>
      <w:r w:rsidR="006F1BEA" w:rsidRPr="00F552F0">
        <w:rPr>
          <w:color w:val="000000"/>
          <w:sz w:val="22"/>
          <w:szCs w:val="22"/>
        </w:rPr>
        <w:t>,</w:t>
      </w:r>
      <w:r w:rsidR="0046223A" w:rsidRPr="00F552F0">
        <w:rPr>
          <w:color w:val="000000"/>
          <w:sz w:val="22"/>
          <w:szCs w:val="22"/>
        </w:rPr>
        <w:t xml:space="preserve"> 1912; </w:t>
      </w:r>
      <w:r w:rsidR="009244BF" w:rsidRPr="00F552F0">
        <w:rPr>
          <w:color w:val="000000"/>
          <w:sz w:val="22"/>
          <w:szCs w:val="22"/>
        </w:rPr>
        <w:t xml:space="preserve">Greenwood </w:t>
      </w:r>
      <w:r w:rsidR="00E82874" w:rsidRPr="00F552F0">
        <w:rPr>
          <w:color w:val="000000"/>
          <w:sz w:val="22"/>
          <w:szCs w:val="22"/>
        </w:rPr>
        <w:t>and</w:t>
      </w:r>
      <w:r w:rsidR="004B57AE" w:rsidRPr="00F552F0">
        <w:rPr>
          <w:color w:val="000000"/>
          <w:sz w:val="22"/>
          <w:szCs w:val="22"/>
        </w:rPr>
        <w:t xml:space="preserve"> </w:t>
      </w:r>
      <w:proofErr w:type="spellStart"/>
      <w:r w:rsidR="009244BF" w:rsidRPr="00F552F0">
        <w:rPr>
          <w:color w:val="000000"/>
          <w:sz w:val="22"/>
          <w:szCs w:val="22"/>
        </w:rPr>
        <w:t>Jovanovic</w:t>
      </w:r>
      <w:proofErr w:type="spellEnd"/>
      <w:r w:rsidR="006F1BEA" w:rsidRPr="00F552F0">
        <w:rPr>
          <w:color w:val="000000"/>
          <w:sz w:val="22"/>
          <w:szCs w:val="22"/>
        </w:rPr>
        <w:t>,</w:t>
      </w:r>
      <w:r w:rsidR="009244BF" w:rsidRPr="00F552F0">
        <w:rPr>
          <w:color w:val="000000"/>
          <w:sz w:val="22"/>
          <w:szCs w:val="22"/>
        </w:rPr>
        <w:t xml:space="preserve"> 1990; </w:t>
      </w:r>
      <w:r w:rsidR="005B4364" w:rsidRPr="00F552F0">
        <w:rPr>
          <w:color w:val="000000"/>
          <w:sz w:val="22"/>
          <w:szCs w:val="22"/>
        </w:rPr>
        <w:t xml:space="preserve">King </w:t>
      </w:r>
      <w:r w:rsidR="00E82874" w:rsidRPr="00F552F0">
        <w:rPr>
          <w:color w:val="000000"/>
          <w:sz w:val="22"/>
          <w:szCs w:val="22"/>
        </w:rPr>
        <w:t>and</w:t>
      </w:r>
      <w:r w:rsidR="005B4364" w:rsidRPr="00F552F0">
        <w:rPr>
          <w:color w:val="000000"/>
          <w:sz w:val="22"/>
          <w:szCs w:val="22"/>
        </w:rPr>
        <w:t xml:space="preserve"> Levine</w:t>
      </w:r>
      <w:r w:rsidR="006F1BEA" w:rsidRPr="00F552F0">
        <w:rPr>
          <w:color w:val="000000"/>
          <w:sz w:val="22"/>
          <w:szCs w:val="22"/>
        </w:rPr>
        <w:t>,</w:t>
      </w:r>
      <w:r w:rsidR="005B4364" w:rsidRPr="00F552F0">
        <w:rPr>
          <w:color w:val="000000"/>
          <w:sz w:val="22"/>
          <w:szCs w:val="22"/>
        </w:rPr>
        <w:t xml:space="preserve"> 1993b; </w:t>
      </w:r>
      <w:proofErr w:type="spellStart"/>
      <w:r w:rsidR="000B4565" w:rsidRPr="00F552F0">
        <w:rPr>
          <w:color w:val="000000"/>
          <w:sz w:val="22"/>
          <w:szCs w:val="22"/>
        </w:rPr>
        <w:t>Rajan</w:t>
      </w:r>
      <w:proofErr w:type="spellEnd"/>
      <w:r w:rsidR="006F1BEA" w:rsidRPr="00F552F0">
        <w:rPr>
          <w:color w:val="000000"/>
          <w:sz w:val="22"/>
          <w:szCs w:val="22"/>
        </w:rPr>
        <w:t>,</w:t>
      </w:r>
      <w:r w:rsidR="000B4565" w:rsidRPr="00F552F0">
        <w:rPr>
          <w:color w:val="000000"/>
          <w:sz w:val="22"/>
          <w:szCs w:val="22"/>
        </w:rPr>
        <w:t xml:space="preserve"> </w:t>
      </w:r>
      <w:r w:rsidR="00D05AE7" w:rsidRPr="00F552F0">
        <w:rPr>
          <w:color w:val="000000"/>
          <w:sz w:val="22"/>
          <w:szCs w:val="22"/>
        </w:rPr>
        <w:t>1994</w:t>
      </w:r>
      <w:r w:rsidR="007B0930" w:rsidRPr="00F552F0">
        <w:rPr>
          <w:color w:val="000000"/>
          <w:sz w:val="22"/>
          <w:szCs w:val="22"/>
        </w:rPr>
        <w:t xml:space="preserve">; </w:t>
      </w:r>
      <w:r w:rsidR="005B4364" w:rsidRPr="00F552F0">
        <w:rPr>
          <w:color w:val="000000"/>
          <w:sz w:val="22"/>
          <w:szCs w:val="22"/>
        </w:rPr>
        <w:t>Krueger</w:t>
      </w:r>
      <w:r w:rsidR="006F1BEA" w:rsidRPr="00F552F0">
        <w:rPr>
          <w:color w:val="000000"/>
          <w:sz w:val="22"/>
          <w:szCs w:val="22"/>
        </w:rPr>
        <w:t>,</w:t>
      </w:r>
      <w:r w:rsidR="005B4364" w:rsidRPr="00F552F0">
        <w:rPr>
          <w:color w:val="000000"/>
          <w:sz w:val="22"/>
          <w:szCs w:val="22"/>
        </w:rPr>
        <w:t xml:space="preserve"> 2002; </w:t>
      </w:r>
      <w:proofErr w:type="spellStart"/>
      <w:r w:rsidR="007B0930" w:rsidRPr="00F552F0">
        <w:rPr>
          <w:color w:val="000000"/>
          <w:sz w:val="22"/>
          <w:szCs w:val="22"/>
        </w:rPr>
        <w:t>Aghion</w:t>
      </w:r>
      <w:proofErr w:type="spellEnd"/>
      <w:r w:rsidR="007B0930" w:rsidRPr="00F552F0">
        <w:rPr>
          <w:color w:val="000000"/>
          <w:sz w:val="22"/>
          <w:szCs w:val="22"/>
        </w:rPr>
        <w:t xml:space="preserve"> et al.</w:t>
      </w:r>
      <w:r w:rsidR="006F1BEA" w:rsidRPr="00F552F0">
        <w:rPr>
          <w:color w:val="000000"/>
          <w:sz w:val="22"/>
          <w:szCs w:val="22"/>
        </w:rPr>
        <w:t>,</w:t>
      </w:r>
      <w:r w:rsidR="007B0930" w:rsidRPr="00F552F0">
        <w:rPr>
          <w:color w:val="000000"/>
          <w:sz w:val="22"/>
          <w:szCs w:val="22"/>
        </w:rPr>
        <w:t xml:space="preserve"> 2005; </w:t>
      </w:r>
      <w:r w:rsidR="009244BF" w:rsidRPr="00F552F0">
        <w:rPr>
          <w:color w:val="000000"/>
          <w:sz w:val="22"/>
          <w:szCs w:val="22"/>
        </w:rPr>
        <w:t>and others</w:t>
      </w:r>
      <w:r w:rsidR="000B4565" w:rsidRPr="00F552F0">
        <w:rPr>
          <w:color w:val="000000"/>
          <w:sz w:val="22"/>
          <w:szCs w:val="22"/>
        </w:rPr>
        <w:t xml:space="preserve">) </w:t>
      </w:r>
      <w:r w:rsidR="0046223A" w:rsidRPr="00F552F0">
        <w:rPr>
          <w:color w:val="000000"/>
          <w:sz w:val="22"/>
          <w:szCs w:val="22"/>
        </w:rPr>
        <w:t>and empirical evidence</w:t>
      </w:r>
      <w:r w:rsidR="00493496" w:rsidRPr="00F552F0">
        <w:rPr>
          <w:color w:val="000000"/>
          <w:sz w:val="22"/>
          <w:szCs w:val="22"/>
        </w:rPr>
        <w:t xml:space="preserve"> (King </w:t>
      </w:r>
      <w:r w:rsidR="00E82874" w:rsidRPr="00F552F0">
        <w:rPr>
          <w:color w:val="000000"/>
          <w:sz w:val="22"/>
          <w:szCs w:val="22"/>
        </w:rPr>
        <w:t>and</w:t>
      </w:r>
      <w:r w:rsidR="00493496" w:rsidRPr="00F552F0">
        <w:rPr>
          <w:color w:val="000000"/>
          <w:sz w:val="22"/>
          <w:szCs w:val="22"/>
        </w:rPr>
        <w:t xml:space="preserve"> Levine</w:t>
      </w:r>
      <w:r w:rsidR="006F1BEA" w:rsidRPr="00F552F0">
        <w:rPr>
          <w:color w:val="000000"/>
          <w:sz w:val="22"/>
          <w:szCs w:val="22"/>
        </w:rPr>
        <w:t>,</w:t>
      </w:r>
      <w:r w:rsidR="00493496" w:rsidRPr="00F552F0">
        <w:rPr>
          <w:color w:val="000000"/>
          <w:sz w:val="22"/>
          <w:szCs w:val="22"/>
        </w:rPr>
        <w:t xml:space="preserve"> 1993a;</w:t>
      </w:r>
      <w:r w:rsidR="00493496" w:rsidRPr="00F552F0">
        <w:rPr>
          <w:sz w:val="22"/>
          <w:szCs w:val="22"/>
        </w:rPr>
        <w:t xml:space="preserve"> </w:t>
      </w:r>
      <w:proofErr w:type="spellStart"/>
      <w:r w:rsidR="00493496" w:rsidRPr="00F552F0">
        <w:rPr>
          <w:sz w:val="22"/>
          <w:szCs w:val="22"/>
        </w:rPr>
        <w:t>Jayaratn</w:t>
      </w:r>
      <w:r w:rsidR="00C70BC2" w:rsidRPr="00F552F0">
        <w:rPr>
          <w:sz w:val="22"/>
          <w:szCs w:val="22"/>
        </w:rPr>
        <w:t>e</w:t>
      </w:r>
      <w:proofErr w:type="spellEnd"/>
      <w:r w:rsidR="00C70BC2" w:rsidRPr="00F552F0">
        <w:rPr>
          <w:sz w:val="22"/>
          <w:szCs w:val="22"/>
        </w:rPr>
        <w:t xml:space="preserve"> </w:t>
      </w:r>
      <w:r w:rsidR="00E82874" w:rsidRPr="00F552F0">
        <w:rPr>
          <w:sz w:val="22"/>
          <w:szCs w:val="22"/>
        </w:rPr>
        <w:t>and</w:t>
      </w:r>
      <w:r w:rsidR="00493496" w:rsidRPr="00F552F0">
        <w:rPr>
          <w:sz w:val="22"/>
          <w:szCs w:val="22"/>
        </w:rPr>
        <w:t xml:space="preserve"> </w:t>
      </w:r>
      <w:proofErr w:type="spellStart"/>
      <w:r w:rsidR="00493496" w:rsidRPr="00F552F0">
        <w:rPr>
          <w:sz w:val="22"/>
          <w:szCs w:val="22"/>
        </w:rPr>
        <w:t>Strahan</w:t>
      </w:r>
      <w:proofErr w:type="spellEnd"/>
      <w:r w:rsidR="00493496" w:rsidRPr="00F552F0">
        <w:rPr>
          <w:sz w:val="22"/>
          <w:szCs w:val="22"/>
        </w:rPr>
        <w:t xml:space="preserve">, 1996; </w:t>
      </w:r>
      <w:r w:rsidR="000D065F" w:rsidRPr="00F552F0">
        <w:rPr>
          <w:sz w:val="22"/>
          <w:szCs w:val="22"/>
        </w:rPr>
        <w:t>Levine</w:t>
      </w:r>
      <w:r w:rsidR="006F1BEA" w:rsidRPr="00F552F0">
        <w:rPr>
          <w:sz w:val="22"/>
          <w:szCs w:val="22"/>
        </w:rPr>
        <w:t>,</w:t>
      </w:r>
      <w:r w:rsidR="000D065F" w:rsidRPr="00F552F0">
        <w:rPr>
          <w:sz w:val="22"/>
          <w:szCs w:val="22"/>
        </w:rPr>
        <w:t xml:space="preserve"> 1997; </w:t>
      </w:r>
      <w:proofErr w:type="spellStart"/>
      <w:r w:rsidR="00C70BC2" w:rsidRPr="00F552F0">
        <w:rPr>
          <w:sz w:val="22"/>
          <w:szCs w:val="22"/>
        </w:rPr>
        <w:t>Demirguc-Kunt</w:t>
      </w:r>
      <w:proofErr w:type="spellEnd"/>
      <w:r w:rsidR="00C70BC2" w:rsidRPr="00F552F0">
        <w:rPr>
          <w:sz w:val="22"/>
          <w:szCs w:val="22"/>
        </w:rPr>
        <w:t xml:space="preserve"> </w:t>
      </w:r>
      <w:r w:rsidR="00E82874" w:rsidRPr="00F552F0">
        <w:rPr>
          <w:sz w:val="22"/>
          <w:szCs w:val="22"/>
        </w:rPr>
        <w:t>and</w:t>
      </w:r>
      <w:r w:rsidR="00493496" w:rsidRPr="00F552F0">
        <w:rPr>
          <w:sz w:val="22"/>
          <w:szCs w:val="22"/>
        </w:rPr>
        <w:t xml:space="preserve"> </w:t>
      </w:r>
      <w:proofErr w:type="spellStart"/>
      <w:r w:rsidR="00493496" w:rsidRPr="00F552F0">
        <w:rPr>
          <w:sz w:val="22"/>
          <w:szCs w:val="22"/>
        </w:rPr>
        <w:t>Maksimovic</w:t>
      </w:r>
      <w:proofErr w:type="spellEnd"/>
      <w:r w:rsidR="00493496" w:rsidRPr="00F552F0">
        <w:rPr>
          <w:sz w:val="22"/>
          <w:szCs w:val="22"/>
        </w:rPr>
        <w:t xml:space="preserve">, 1998; </w:t>
      </w:r>
      <w:r w:rsidR="00696033" w:rsidRPr="00F552F0">
        <w:rPr>
          <w:sz w:val="22"/>
          <w:szCs w:val="22"/>
        </w:rPr>
        <w:t>Beck et al.</w:t>
      </w:r>
      <w:r w:rsidR="006F1BEA" w:rsidRPr="00F552F0">
        <w:rPr>
          <w:sz w:val="22"/>
          <w:szCs w:val="22"/>
        </w:rPr>
        <w:t>,</w:t>
      </w:r>
      <w:r w:rsidR="00696033" w:rsidRPr="00F552F0">
        <w:rPr>
          <w:sz w:val="22"/>
          <w:szCs w:val="22"/>
        </w:rPr>
        <w:t xml:space="preserve"> 2000, 2002, 2008; </w:t>
      </w:r>
      <w:r w:rsidR="005B4364" w:rsidRPr="00F552F0">
        <w:rPr>
          <w:sz w:val="22"/>
          <w:szCs w:val="22"/>
        </w:rPr>
        <w:t>Levine et al.</w:t>
      </w:r>
      <w:r w:rsidR="006F1BEA" w:rsidRPr="00F552F0">
        <w:rPr>
          <w:sz w:val="22"/>
          <w:szCs w:val="22"/>
        </w:rPr>
        <w:t>,</w:t>
      </w:r>
      <w:r w:rsidR="005B4364" w:rsidRPr="00F552F0">
        <w:rPr>
          <w:sz w:val="22"/>
          <w:szCs w:val="22"/>
        </w:rPr>
        <w:t xml:space="preserve"> 2000; </w:t>
      </w:r>
      <w:proofErr w:type="spellStart"/>
      <w:r w:rsidR="00D05AE7" w:rsidRPr="00F552F0">
        <w:rPr>
          <w:sz w:val="22"/>
          <w:szCs w:val="22"/>
        </w:rPr>
        <w:t>Rajan</w:t>
      </w:r>
      <w:proofErr w:type="spellEnd"/>
      <w:r w:rsidR="00D05AE7" w:rsidRPr="00F552F0">
        <w:rPr>
          <w:sz w:val="22"/>
          <w:szCs w:val="22"/>
        </w:rPr>
        <w:t xml:space="preserve"> </w:t>
      </w:r>
      <w:r w:rsidR="00E82874" w:rsidRPr="00F552F0">
        <w:rPr>
          <w:sz w:val="22"/>
          <w:szCs w:val="22"/>
        </w:rPr>
        <w:t>and</w:t>
      </w:r>
      <w:r w:rsidR="00D05AE7" w:rsidRPr="00F552F0">
        <w:rPr>
          <w:sz w:val="22"/>
          <w:szCs w:val="22"/>
        </w:rPr>
        <w:t xml:space="preserve"> </w:t>
      </w:r>
      <w:proofErr w:type="spellStart"/>
      <w:r w:rsidR="00D05AE7" w:rsidRPr="00F552F0">
        <w:rPr>
          <w:sz w:val="22"/>
          <w:szCs w:val="22"/>
        </w:rPr>
        <w:t>Zingales</w:t>
      </w:r>
      <w:proofErr w:type="spellEnd"/>
      <w:r w:rsidR="006F1BEA" w:rsidRPr="00F552F0">
        <w:rPr>
          <w:sz w:val="22"/>
          <w:szCs w:val="22"/>
        </w:rPr>
        <w:t>,</w:t>
      </w:r>
      <w:r w:rsidR="00D05AE7" w:rsidRPr="00F552F0">
        <w:rPr>
          <w:sz w:val="22"/>
          <w:szCs w:val="22"/>
        </w:rPr>
        <w:t xml:space="preserve"> 2001; </w:t>
      </w:r>
      <w:r w:rsidR="000D065F" w:rsidRPr="00F552F0">
        <w:rPr>
          <w:sz w:val="22"/>
          <w:szCs w:val="22"/>
        </w:rPr>
        <w:t>Beck and Levine</w:t>
      </w:r>
      <w:r w:rsidR="006F1BEA" w:rsidRPr="00F552F0">
        <w:rPr>
          <w:sz w:val="22"/>
          <w:szCs w:val="22"/>
        </w:rPr>
        <w:t>,</w:t>
      </w:r>
      <w:r w:rsidR="000D065F" w:rsidRPr="00F552F0">
        <w:rPr>
          <w:sz w:val="22"/>
          <w:szCs w:val="22"/>
        </w:rPr>
        <w:t xml:space="preserve"> 2004; </w:t>
      </w:r>
      <w:r w:rsidR="00493496" w:rsidRPr="00F552F0">
        <w:rPr>
          <w:color w:val="000000"/>
          <w:sz w:val="22"/>
          <w:szCs w:val="22"/>
        </w:rPr>
        <w:t xml:space="preserve">Durnev </w:t>
      </w:r>
      <w:r w:rsidR="00493496" w:rsidRPr="00F552F0">
        <w:rPr>
          <w:i/>
          <w:color w:val="000000"/>
          <w:sz w:val="22"/>
          <w:szCs w:val="22"/>
        </w:rPr>
        <w:t>et al</w:t>
      </w:r>
      <w:r w:rsidR="006F1BEA" w:rsidRPr="00F552F0">
        <w:rPr>
          <w:i/>
          <w:color w:val="000000"/>
          <w:sz w:val="22"/>
          <w:szCs w:val="22"/>
        </w:rPr>
        <w:t>,</w:t>
      </w:r>
      <w:r w:rsidR="00493496" w:rsidRPr="00F552F0">
        <w:rPr>
          <w:color w:val="000000"/>
          <w:sz w:val="22"/>
          <w:szCs w:val="22"/>
        </w:rPr>
        <w:t xml:space="preserve"> 2004</w:t>
      </w:r>
      <w:r w:rsidR="000D065F" w:rsidRPr="00F552F0">
        <w:rPr>
          <w:color w:val="000000"/>
          <w:sz w:val="22"/>
          <w:szCs w:val="22"/>
        </w:rPr>
        <w:t xml:space="preserve">; </w:t>
      </w:r>
      <w:proofErr w:type="spellStart"/>
      <w:r w:rsidR="000D065F" w:rsidRPr="00F552F0">
        <w:rPr>
          <w:color w:val="000000"/>
          <w:sz w:val="22"/>
          <w:szCs w:val="22"/>
        </w:rPr>
        <w:t>Djankov</w:t>
      </w:r>
      <w:proofErr w:type="spellEnd"/>
      <w:r w:rsidR="000D065F" w:rsidRPr="00F552F0">
        <w:rPr>
          <w:color w:val="000000"/>
          <w:sz w:val="22"/>
          <w:szCs w:val="22"/>
        </w:rPr>
        <w:t xml:space="preserve"> et al.</w:t>
      </w:r>
      <w:r w:rsidR="006F1BEA" w:rsidRPr="00F552F0">
        <w:rPr>
          <w:color w:val="000000"/>
          <w:sz w:val="22"/>
          <w:szCs w:val="22"/>
        </w:rPr>
        <w:t>,</w:t>
      </w:r>
      <w:r w:rsidR="000D065F" w:rsidRPr="00F552F0">
        <w:rPr>
          <w:color w:val="000000"/>
          <w:sz w:val="22"/>
          <w:szCs w:val="22"/>
        </w:rPr>
        <w:t xml:space="preserve"> 2008</w:t>
      </w:r>
      <w:r w:rsidR="00BF68B5" w:rsidRPr="00F552F0">
        <w:rPr>
          <w:color w:val="000000"/>
          <w:sz w:val="22"/>
          <w:szCs w:val="22"/>
        </w:rPr>
        <w:t>; and others</w:t>
      </w:r>
      <w:r w:rsidR="00493496" w:rsidRPr="00F552F0">
        <w:rPr>
          <w:color w:val="000000"/>
          <w:sz w:val="22"/>
          <w:szCs w:val="22"/>
        </w:rPr>
        <w:t>)</w:t>
      </w:r>
      <w:r w:rsidR="000B4565" w:rsidRPr="00F552F0">
        <w:rPr>
          <w:color w:val="000000"/>
          <w:sz w:val="22"/>
          <w:szCs w:val="22"/>
        </w:rPr>
        <w:t xml:space="preserve"> </w:t>
      </w:r>
      <w:r w:rsidR="00BF68B5" w:rsidRPr="00F552F0">
        <w:rPr>
          <w:color w:val="000000"/>
          <w:sz w:val="22"/>
          <w:szCs w:val="22"/>
        </w:rPr>
        <w:t xml:space="preserve">that </w:t>
      </w:r>
      <w:r w:rsidR="000B4565" w:rsidRPr="00F552F0">
        <w:rPr>
          <w:color w:val="000000"/>
          <w:sz w:val="22"/>
          <w:szCs w:val="22"/>
        </w:rPr>
        <w:t>point to financial development facilitating economic growth</w:t>
      </w:r>
      <w:r w:rsidR="00493496" w:rsidRPr="00F552F0">
        <w:rPr>
          <w:color w:val="000000"/>
          <w:sz w:val="22"/>
          <w:szCs w:val="22"/>
        </w:rPr>
        <w:t xml:space="preserve">. </w:t>
      </w:r>
      <w:r w:rsidR="00C70BC2" w:rsidRPr="00F552F0">
        <w:rPr>
          <w:color w:val="000000"/>
          <w:sz w:val="22"/>
          <w:szCs w:val="22"/>
        </w:rPr>
        <w:t>In particular</w:t>
      </w:r>
      <w:r w:rsidR="00D05AE7" w:rsidRPr="00F552F0">
        <w:rPr>
          <w:color w:val="000000"/>
          <w:sz w:val="22"/>
          <w:szCs w:val="22"/>
        </w:rPr>
        <w:t>,</w:t>
      </w:r>
      <w:r w:rsidR="00C70BC2" w:rsidRPr="00F552F0">
        <w:rPr>
          <w:color w:val="000000"/>
          <w:sz w:val="22"/>
          <w:szCs w:val="22"/>
        </w:rPr>
        <w:t xml:space="preserve"> developed financial systems ease financing constraints (</w:t>
      </w:r>
      <w:proofErr w:type="spellStart"/>
      <w:r w:rsidR="00C70BC2" w:rsidRPr="00F552F0">
        <w:rPr>
          <w:color w:val="000000"/>
          <w:sz w:val="22"/>
          <w:szCs w:val="22"/>
        </w:rPr>
        <w:t>Rajan</w:t>
      </w:r>
      <w:proofErr w:type="spellEnd"/>
      <w:r w:rsidR="00C70BC2" w:rsidRPr="00F552F0">
        <w:rPr>
          <w:color w:val="000000"/>
          <w:sz w:val="22"/>
          <w:szCs w:val="22"/>
        </w:rPr>
        <w:t xml:space="preserve"> </w:t>
      </w:r>
      <w:r w:rsidR="00E82874" w:rsidRPr="00F552F0">
        <w:rPr>
          <w:color w:val="000000"/>
          <w:sz w:val="22"/>
          <w:szCs w:val="22"/>
        </w:rPr>
        <w:t>and</w:t>
      </w:r>
      <w:r w:rsidR="00C70BC2" w:rsidRPr="00F552F0">
        <w:rPr>
          <w:color w:val="000000"/>
          <w:sz w:val="22"/>
          <w:szCs w:val="22"/>
        </w:rPr>
        <w:t xml:space="preserve"> </w:t>
      </w:r>
      <w:proofErr w:type="spellStart"/>
      <w:r w:rsidR="00C70BC2" w:rsidRPr="00F552F0">
        <w:rPr>
          <w:color w:val="000000"/>
          <w:sz w:val="22"/>
          <w:szCs w:val="22"/>
        </w:rPr>
        <w:t>Zingales</w:t>
      </w:r>
      <w:proofErr w:type="spellEnd"/>
      <w:r w:rsidR="006F1BEA" w:rsidRPr="00F552F0">
        <w:rPr>
          <w:color w:val="000000"/>
          <w:sz w:val="22"/>
          <w:szCs w:val="22"/>
        </w:rPr>
        <w:t>,</w:t>
      </w:r>
      <w:r w:rsidR="00C70BC2" w:rsidRPr="00F552F0">
        <w:rPr>
          <w:color w:val="000000"/>
          <w:sz w:val="22"/>
          <w:szCs w:val="22"/>
        </w:rPr>
        <w:t xml:space="preserve"> 1998</w:t>
      </w:r>
      <w:r w:rsidR="00D05AE7" w:rsidRPr="00F552F0">
        <w:rPr>
          <w:color w:val="000000"/>
          <w:sz w:val="22"/>
          <w:szCs w:val="22"/>
        </w:rPr>
        <w:t xml:space="preserve">; </w:t>
      </w:r>
      <w:proofErr w:type="spellStart"/>
      <w:r w:rsidR="00D05AE7" w:rsidRPr="00F552F0">
        <w:rPr>
          <w:color w:val="000000"/>
          <w:sz w:val="22"/>
          <w:szCs w:val="22"/>
        </w:rPr>
        <w:t>Aghion</w:t>
      </w:r>
      <w:proofErr w:type="spellEnd"/>
      <w:r w:rsidR="00D05AE7" w:rsidRPr="00F552F0">
        <w:rPr>
          <w:color w:val="000000"/>
          <w:sz w:val="22"/>
          <w:szCs w:val="22"/>
        </w:rPr>
        <w:t xml:space="preserve"> et al.</w:t>
      </w:r>
      <w:r w:rsidR="006F1BEA" w:rsidRPr="00F552F0">
        <w:rPr>
          <w:color w:val="000000"/>
          <w:sz w:val="22"/>
          <w:szCs w:val="22"/>
        </w:rPr>
        <w:t>,</w:t>
      </w:r>
      <w:r w:rsidR="00D05AE7" w:rsidRPr="00F552F0">
        <w:rPr>
          <w:color w:val="000000"/>
          <w:sz w:val="22"/>
          <w:szCs w:val="22"/>
        </w:rPr>
        <w:t xml:space="preserve"> 2005</w:t>
      </w:r>
      <w:r w:rsidR="00C70BC2" w:rsidRPr="00F552F0">
        <w:rPr>
          <w:color w:val="000000"/>
          <w:sz w:val="22"/>
          <w:szCs w:val="22"/>
        </w:rPr>
        <w:t xml:space="preserve">) </w:t>
      </w:r>
      <w:r w:rsidR="00372D43" w:rsidRPr="00F552F0">
        <w:rPr>
          <w:color w:val="000000"/>
          <w:sz w:val="22"/>
          <w:szCs w:val="22"/>
        </w:rPr>
        <w:t>and</w:t>
      </w:r>
      <w:r w:rsidR="00C70BC2" w:rsidRPr="00F552F0">
        <w:rPr>
          <w:color w:val="000000"/>
          <w:sz w:val="22"/>
          <w:szCs w:val="22"/>
        </w:rPr>
        <w:t xml:space="preserve"> better allocate capital to </w:t>
      </w:r>
      <w:r w:rsidR="00372D43" w:rsidRPr="00F552F0">
        <w:rPr>
          <w:color w:val="000000"/>
          <w:sz w:val="22"/>
          <w:szCs w:val="22"/>
        </w:rPr>
        <w:t xml:space="preserve">industries with higher </w:t>
      </w:r>
      <w:r w:rsidR="00C70BC2" w:rsidRPr="00F552F0">
        <w:rPr>
          <w:color w:val="000000"/>
          <w:sz w:val="22"/>
          <w:szCs w:val="22"/>
        </w:rPr>
        <w:t>value</w:t>
      </w:r>
      <w:r w:rsidR="00372D43" w:rsidRPr="00F552F0">
        <w:rPr>
          <w:color w:val="000000"/>
          <w:sz w:val="22"/>
          <w:szCs w:val="22"/>
        </w:rPr>
        <w:t>-</w:t>
      </w:r>
      <w:r w:rsidR="00C70BC2" w:rsidRPr="00F552F0">
        <w:rPr>
          <w:color w:val="000000"/>
          <w:sz w:val="22"/>
          <w:szCs w:val="22"/>
        </w:rPr>
        <w:t xml:space="preserve">added growth </w:t>
      </w:r>
      <w:r w:rsidR="00372D43" w:rsidRPr="00F552F0">
        <w:rPr>
          <w:color w:val="000000"/>
          <w:sz w:val="22"/>
          <w:szCs w:val="22"/>
        </w:rPr>
        <w:t>rates</w:t>
      </w:r>
      <w:r w:rsidR="00C70BC2" w:rsidRPr="00F552F0">
        <w:rPr>
          <w:color w:val="000000"/>
          <w:sz w:val="22"/>
          <w:szCs w:val="22"/>
        </w:rPr>
        <w:t xml:space="preserve"> (</w:t>
      </w:r>
      <w:proofErr w:type="spellStart"/>
      <w:r w:rsidR="00C70BC2" w:rsidRPr="00F552F0">
        <w:rPr>
          <w:color w:val="000000"/>
          <w:sz w:val="22"/>
          <w:szCs w:val="22"/>
        </w:rPr>
        <w:t>Wurgler</w:t>
      </w:r>
      <w:proofErr w:type="spellEnd"/>
      <w:r w:rsidR="006F1BEA" w:rsidRPr="00F552F0">
        <w:rPr>
          <w:color w:val="000000"/>
          <w:sz w:val="22"/>
          <w:szCs w:val="22"/>
        </w:rPr>
        <w:t>,</w:t>
      </w:r>
      <w:r w:rsidR="00C70BC2" w:rsidRPr="00F552F0">
        <w:rPr>
          <w:color w:val="000000"/>
          <w:sz w:val="22"/>
          <w:szCs w:val="22"/>
        </w:rPr>
        <w:t xml:space="preserve"> 2000).</w:t>
      </w:r>
      <w:r w:rsidR="00D05AE7" w:rsidRPr="00F552F0">
        <w:rPr>
          <w:color w:val="000000"/>
          <w:sz w:val="22"/>
          <w:szCs w:val="22"/>
        </w:rPr>
        <w:t xml:space="preserve"> Beck (2003) also shows that financial development may be a source of comparative advantage in trade, which </w:t>
      </w:r>
      <w:proofErr w:type="spellStart"/>
      <w:r w:rsidR="00D05AE7" w:rsidRPr="00F552F0">
        <w:rPr>
          <w:color w:val="000000"/>
          <w:sz w:val="22"/>
          <w:szCs w:val="22"/>
        </w:rPr>
        <w:t>Rajan</w:t>
      </w:r>
      <w:proofErr w:type="spellEnd"/>
      <w:r w:rsidR="00D05AE7" w:rsidRPr="00F552F0">
        <w:rPr>
          <w:color w:val="000000"/>
          <w:sz w:val="22"/>
          <w:szCs w:val="22"/>
        </w:rPr>
        <w:t xml:space="preserve"> and </w:t>
      </w:r>
      <w:proofErr w:type="spellStart"/>
      <w:r w:rsidR="00D05AE7" w:rsidRPr="00F552F0">
        <w:rPr>
          <w:color w:val="000000"/>
          <w:sz w:val="22"/>
          <w:szCs w:val="22"/>
        </w:rPr>
        <w:t>Zingales</w:t>
      </w:r>
      <w:proofErr w:type="spellEnd"/>
      <w:r w:rsidR="00BF68B5" w:rsidRPr="00F552F0">
        <w:rPr>
          <w:color w:val="000000"/>
          <w:sz w:val="22"/>
          <w:szCs w:val="22"/>
        </w:rPr>
        <w:t xml:space="preserve"> (2001)</w:t>
      </w:r>
      <w:r w:rsidR="00D05AE7" w:rsidRPr="00F552F0">
        <w:rPr>
          <w:color w:val="000000"/>
          <w:sz w:val="22"/>
          <w:szCs w:val="22"/>
        </w:rPr>
        <w:t xml:space="preserve"> note is evidence of a causal link to economy-level outcomes. </w:t>
      </w:r>
      <w:r w:rsidR="00C70BC2" w:rsidRPr="00F552F0">
        <w:rPr>
          <w:color w:val="000000"/>
          <w:sz w:val="22"/>
          <w:szCs w:val="22"/>
        </w:rPr>
        <w:t xml:space="preserve"> </w:t>
      </w:r>
      <w:r w:rsidR="005B4364" w:rsidRPr="00F552F0">
        <w:rPr>
          <w:color w:val="000000"/>
          <w:sz w:val="22"/>
          <w:szCs w:val="22"/>
        </w:rPr>
        <w:t>Privatization studies show that state control clearly affects the quality of banks’ lending decisions</w:t>
      </w:r>
      <w:r w:rsidR="00963F42" w:rsidRPr="00F552F0">
        <w:rPr>
          <w:color w:val="000000"/>
          <w:sz w:val="22"/>
          <w:szCs w:val="22"/>
        </w:rPr>
        <w:t xml:space="preserve"> (</w:t>
      </w:r>
      <w:proofErr w:type="spellStart"/>
      <w:r w:rsidR="00963F42" w:rsidRPr="00F552F0">
        <w:rPr>
          <w:color w:val="000000"/>
          <w:sz w:val="22"/>
          <w:szCs w:val="22"/>
        </w:rPr>
        <w:t>Megginson</w:t>
      </w:r>
      <w:proofErr w:type="spellEnd"/>
      <w:r w:rsidR="00963F42" w:rsidRPr="00F552F0">
        <w:rPr>
          <w:color w:val="000000"/>
          <w:sz w:val="22"/>
          <w:szCs w:val="22"/>
        </w:rPr>
        <w:t>, 2005)</w:t>
      </w:r>
      <w:r w:rsidR="005B4364" w:rsidRPr="00F552F0">
        <w:rPr>
          <w:color w:val="000000"/>
          <w:sz w:val="22"/>
          <w:szCs w:val="22"/>
        </w:rPr>
        <w:t xml:space="preserve">, so family control might </w:t>
      </w:r>
      <w:r w:rsidR="00963F42" w:rsidRPr="00F552F0">
        <w:rPr>
          <w:color w:val="000000"/>
          <w:sz w:val="22"/>
          <w:szCs w:val="22"/>
        </w:rPr>
        <w:t xml:space="preserve">plausibly </w:t>
      </w:r>
      <w:r w:rsidR="005B4364" w:rsidRPr="00F552F0">
        <w:rPr>
          <w:color w:val="000000"/>
          <w:sz w:val="22"/>
          <w:szCs w:val="22"/>
        </w:rPr>
        <w:t xml:space="preserve">do </w:t>
      </w:r>
      <w:r w:rsidR="00963F42" w:rsidRPr="00F552F0">
        <w:rPr>
          <w:color w:val="000000"/>
          <w:sz w:val="22"/>
          <w:szCs w:val="22"/>
        </w:rPr>
        <w:t>so too</w:t>
      </w:r>
      <w:r w:rsidR="005B4364" w:rsidRPr="00F552F0">
        <w:rPr>
          <w:color w:val="000000"/>
          <w:sz w:val="22"/>
          <w:szCs w:val="22"/>
        </w:rPr>
        <w:t xml:space="preserve"> (Krueger</w:t>
      </w:r>
      <w:r w:rsidR="006F1BEA" w:rsidRPr="00F552F0">
        <w:rPr>
          <w:color w:val="000000"/>
          <w:sz w:val="22"/>
          <w:szCs w:val="22"/>
        </w:rPr>
        <w:t>,</w:t>
      </w:r>
      <w:r w:rsidR="005B4364" w:rsidRPr="00F552F0">
        <w:rPr>
          <w:color w:val="000000"/>
          <w:sz w:val="22"/>
          <w:szCs w:val="22"/>
        </w:rPr>
        <w:t xml:space="preserve"> 2002).</w:t>
      </w:r>
      <w:r w:rsidR="00372D43" w:rsidRPr="00F552F0">
        <w:rPr>
          <w:color w:val="000000"/>
          <w:sz w:val="22"/>
          <w:szCs w:val="22"/>
        </w:rPr>
        <w:t xml:space="preserve"> F</w:t>
      </w:r>
      <w:r w:rsidR="00C70BC2" w:rsidRPr="00F552F0">
        <w:rPr>
          <w:color w:val="000000"/>
          <w:sz w:val="22"/>
          <w:szCs w:val="22"/>
        </w:rPr>
        <w:t>am</w:t>
      </w:r>
      <w:r w:rsidR="00712BBA" w:rsidRPr="00F552F0">
        <w:rPr>
          <w:color w:val="000000"/>
          <w:sz w:val="22"/>
          <w:szCs w:val="22"/>
        </w:rPr>
        <w:t xml:space="preserve">ily control </w:t>
      </w:r>
      <w:r w:rsidR="00372D43" w:rsidRPr="00F552F0">
        <w:rPr>
          <w:color w:val="000000"/>
          <w:sz w:val="22"/>
          <w:szCs w:val="22"/>
        </w:rPr>
        <w:t xml:space="preserve">clearly </w:t>
      </w:r>
      <w:r w:rsidR="00712BBA" w:rsidRPr="00F552F0">
        <w:rPr>
          <w:color w:val="000000"/>
          <w:sz w:val="22"/>
          <w:szCs w:val="22"/>
        </w:rPr>
        <w:t>aff</w:t>
      </w:r>
      <w:r w:rsidR="00695C49" w:rsidRPr="00F552F0">
        <w:rPr>
          <w:color w:val="000000"/>
          <w:sz w:val="22"/>
          <w:szCs w:val="22"/>
        </w:rPr>
        <w:t xml:space="preserve">ects </w:t>
      </w:r>
      <w:r w:rsidR="005B4364" w:rsidRPr="00F552F0">
        <w:rPr>
          <w:color w:val="000000"/>
          <w:sz w:val="22"/>
          <w:szCs w:val="22"/>
        </w:rPr>
        <w:t xml:space="preserve">other </w:t>
      </w:r>
      <w:r w:rsidR="00695C49" w:rsidRPr="00F552F0">
        <w:rPr>
          <w:color w:val="000000"/>
          <w:sz w:val="22"/>
          <w:szCs w:val="22"/>
        </w:rPr>
        <w:t>firms’ decisions and performance</w:t>
      </w:r>
      <w:r w:rsidR="00712BBA" w:rsidRPr="00F552F0">
        <w:rPr>
          <w:color w:val="000000"/>
          <w:sz w:val="22"/>
          <w:szCs w:val="22"/>
        </w:rPr>
        <w:t xml:space="preserve"> (Smith and Amoako-Adu</w:t>
      </w:r>
      <w:r w:rsidR="006F1BEA" w:rsidRPr="00F552F0">
        <w:rPr>
          <w:color w:val="000000"/>
          <w:sz w:val="22"/>
          <w:szCs w:val="22"/>
        </w:rPr>
        <w:t>,</w:t>
      </w:r>
      <w:r w:rsidR="00712BBA" w:rsidRPr="00F552F0">
        <w:rPr>
          <w:color w:val="000000"/>
          <w:sz w:val="22"/>
          <w:szCs w:val="22"/>
        </w:rPr>
        <w:t xml:space="preserve"> 2005; Perez-Gonzales</w:t>
      </w:r>
      <w:r w:rsidR="006F1BEA" w:rsidRPr="00F552F0">
        <w:rPr>
          <w:color w:val="000000"/>
          <w:sz w:val="22"/>
          <w:szCs w:val="22"/>
        </w:rPr>
        <w:t>,</w:t>
      </w:r>
      <w:r w:rsidR="00712BBA" w:rsidRPr="00F552F0">
        <w:rPr>
          <w:color w:val="000000"/>
          <w:sz w:val="22"/>
          <w:szCs w:val="22"/>
        </w:rPr>
        <w:t xml:space="preserve"> 2006; Bennedsen</w:t>
      </w:r>
      <w:r w:rsidR="006F1BEA" w:rsidRPr="00F552F0">
        <w:rPr>
          <w:color w:val="000000"/>
          <w:sz w:val="22"/>
          <w:szCs w:val="22"/>
        </w:rPr>
        <w:t>,</w:t>
      </w:r>
      <w:r w:rsidR="00712BBA" w:rsidRPr="00F552F0">
        <w:rPr>
          <w:color w:val="000000"/>
          <w:sz w:val="22"/>
          <w:szCs w:val="22"/>
        </w:rPr>
        <w:t xml:space="preserve"> 200</w:t>
      </w:r>
      <w:r w:rsidR="00126499" w:rsidRPr="00F552F0">
        <w:rPr>
          <w:color w:val="000000"/>
          <w:sz w:val="22"/>
          <w:szCs w:val="22"/>
        </w:rPr>
        <w:t>7</w:t>
      </w:r>
      <w:r w:rsidR="00712BBA" w:rsidRPr="00F552F0">
        <w:rPr>
          <w:color w:val="000000"/>
          <w:sz w:val="22"/>
          <w:szCs w:val="22"/>
        </w:rPr>
        <w:t>)</w:t>
      </w:r>
      <w:r w:rsidR="007924A4" w:rsidRPr="00F552F0">
        <w:rPr>
          <w:color w:val="000000"/>
          <w:sz w:val="22"/>
          <w:szCs w:val="22"/>
        </w:rPr>
        <w:t>; and banks</w:t>
      </w:r>
      <w:r w:rsidR="00126499" w:rsidRPr="00F552F0">
        <w:rPr>
          <w:color w:val="000000"/>
          <w:sz w:val="22"/>
          <w:szCs w:val="22"/>
        </w:rPr>
        <w:t>’</w:t>
      </w:r>
      <w:r w:rsidR="007924A4" w:rsidRPr="00F552F0">
        <w:rPr>
          <w:color w:val="000000"/>
          <w:sz w:val="22"/>
          <w:szCs w:val="22"/>
        </w:rPr>
        <w:t xml:space="preserve"> decisions have externalities that affect capital allocation and economy performance (</w:t>
      </w:r>
      <w:r w:rsidR="00696033" w:rsidRPr="00F552F0">
        <w:rPr>
          <w:color w:val="000000"/>
          <w:sz w:val="22"/>
          <w:szCs w:val="22"/>
        </w:rPr>
        <w:t>Saunders et al.</w:t>
      </w:r>
      <w:r w:rsidR="006F1BEA" w:rsidRPr="00F552F0">
        <w:rPr>
          <w:color w:val="000000"/>
          <w:sz w:val="22"/>
          <w:szCs w:val="22"/>
        </w:rPr>
        <w:t>,</w:t>
      </w:r>
      <w:r w:rsidR="00696033" w:rsidRPr="00F552F0">
        <w:rPr>
          <w:color w:val="000000"/>
          <w:sz w:val="22"/>
          <w:szCs w:val="22"/>
        </w:rPr>
        <w:t xml:space="preserve"> 1990; </w:t>
      </w:r>
      <w:r w:rsidR="0043646D" w:rsidRPr="00F552F0">
        <w:rPr>
          <w:color w:val="000000"/>
          <w:sz w:val="22"/>
          <w:szCs w:val="22"/>
        </w:rPr>
        <w:t xml:space="preserve">Almeida and </w:t>
      </w:r>
      <w:proofErr w:type="spellStart"/>
      <w:r w:rsidR="0043646D" w:rsidRPr="00F552F0">
        <w:rPr>
          <w:color w:val="000000"/>
          <w:sz w:val="22"/>
          <w:szCs w:val="22"/>
        </w:rPr>
        <w:t>Wolfenz</w:t>
      </w:r>
      <w:r w:rsidR="00695C49" w:rsidRPr="00F552F0">
        <w:rPr>
          <w:color w:val="000000"/>
          <w:sz w:val="22"/>
          <w:szCs w:val="22"/>
        </w:rPr>
        <w:t>on</w:t>
      </w:r>
      <w:proofErr w:type="spellEnd"/>
      <w:r w:rsidR="006F1BEA" w:rsidRPr="00F552F0">
        <w:rPr>
          <w:color w:val="000000"/>
          <w:sz w:val="22"/>
          <w:szCs w:val="22"/>
        </w:rPr>
        <w:t>,</w:t>
      </w:r>
      <w:r w:rsidR="00695C49" w:rsidRPr="00F552F0">
        <w:rPr>
          <w:color w:val="000000"/>
          <w:sz w:val="22"/>
          <w:szCs w:val="22"/>
        </w:rPr>
        <w:t xml:space="preserve"> 200</w:t>
      </w:r>
      <w:r w:rsidR="00126499" w:rsidRPr="00F552F0">
        <w:rPr>
          <w:color w:val="000000"/>
          <w:sz w:val="22"/>
          <w:szCs w:val="22"/>
        </w:rPr>
        <w:t>6</w:t>
      </w:r>
      <w:r w:rsidR="00BE7518" w:rsidRPr="00F552F0">
        <w:rPr>
          <w:color w:val="000000"/>
          <w:sz w:val="22"/>
          <w:szCs w:val="22"/>
        </w:rPr>
        <w:t>b</w:t>
      </w:r>
      <w:r w:rsidR="0046223A" w:rsidRPr="00F552F0">
        <w:rPr>
          <w:color w:val="000000"/>
          <w:sz w:val="22"/>
          <w:szCs w:val="22"/>
        </w:rPr>
        <w:t xml:space="preserve">; </w:t>
      </w:r>
      <w:proofErr w:type="spellStart"/>
      <w:r w:rsidR="0046223A" w:rsidRPr="00F552F0">
        <w:rPr>
          <w:color w:val="000000"/>
          <w:sz w:val="22"/>
          <w:szCs w:val="22"/>
        </w:rPr>
        <w:t>Laven</w:t>
      </w:r>
      <w:proofErr w:type="spellEnd"/>
      <w:r w:rsidR="0046223A" w:rsidRPr="00F552F0">
        <w:rPr>
          <w:color w:val="000000"/>
          <w:sz w:val="22"/>
          <w:szCs w:val="22"/>
        </w:rPr>
        <w:t xml:space="preserve"> and Levine</w:t>
      </w:r>
      <w:r w:rsidR="006F1BEA" w:rsidRPr="00F552F0">
        <w:rPr>
          <w:color w:val="000000"/>
          <w:sz w:val="22"/>
          <w:szCs w:val="22"/>
        </w:rPr>
        <w:t>,</w:t>
      </w:r>
      <w:r w:rsidR="0046223A" w:rsidRPr="00F552F0">
        <w:rPr>
          <w:color w:val="000000"/>
          <w:sz w:val="22"/>
          <w:szCs w:val="22"/>
        </w:rPr>
        <w:t xml:space="preserve"> 2009</w:t>
      </w:r>
      <w:r w:rsidR="00D403D0" w:rsidRPr="00F552F0">
        <w:rPr>
          <w:color w:val="000000"/>
          <w:sz w:val="22"/>
          <w:szCs w:val="22"/>
        </w:rPr>
        <w:t xml:space="preserve">; </w:t>
      </w:r>
      <w:proofErr w:type="spellStart"/>
      <w:r w:rsidR="00D403D0" w:rsidRPr="00F552F0">
        <w:rPr>
          <w:color w:val="000000"/>
          <w:sz w:val="22"/>
          <w:szCs w:val="22"/>
        </w:rPr>
        <w:t>Dell'Ariccia</w:t>
      </w:r>
      <w:proofErr w:type="spellEnd"/>
      <w:r w:rsidR="00D403D0" w:rsidRPr="00F552F0">
        <w:rPr>
          <w:color w:val="000000"/>
          <w:sz w:val="22"/>
          <w:szCs w:val="22"/>
        </w:rPr>
        <w:t xml:space="preserve"> et al.</w:t>
      </w:r>
      <w:r w:rsidR="006F1BEA" w:rsidRPr="00F552F0">
        <w:rPr>
          <w:color w:val="000000"/>
          <w:sz w:val="22"/>
          <w:szCs w:val="22"/>
        </w:rPr>
        <w:t>,</w:t>
      </w:r>
      <w:r w:rsidR="00D403D0" w:rsidRPr="00F552F0">
        <w:rPr>
          <w:color w:val="000000"/>
          <w:sz w:val="22"/>
          <w:szCs w:val="22"/>
        </w:rPr>
        <w:t xml:space="preserve"> 2008</w:t>
      </w:r>
      <w:r w:rsidR="00695C49" w:rsidRPr="00F552F0">
        <w:rPr>
          <w:color w:val="000000"/>
          <w:sz w:val="22"/>
          <w:szCs w:val="22"/>
        </w:rPr>
        <w:t>)</w:t>
      </w:r>
      <w:r w:rsidR="00963F42" w:rsidRPr="00F552F0">
        <w:rPr>
          <w:color w:val="000000"/>
          <w:sz w:val="22"/>
          <w:szCs w:val="22"/>
        </w:rPr>
        <w:t>.</w:t>
      </w:r>
      <w:r w:rsidR="007924A4" w:rsidRPr="00F552F0">
        <w:rPr>
          <w:color w:val="000000"/>
          <w:sz w:val="22"/>
          <w:szCs w:val="22"/>
        </w:rPr>
        <w:t xml:space="preserve"> </w:t>
      </w:r>
      <w:r w:rsidR="007B0930" w:rsidRPr="00F552F0">
        <w:rPr>
          <w:color w:val="000000"/>
          <w:sz w:val="22"/>
          <w:szCs w:val="22"/>
        </w:rPr>
        <w:t xml:space="preserve"> </w:t>
      </w:r>
      <w:proofErr w:type="spellStart"/>
      <w:r w:rsidR="00696033" w:rsidRPr="00F552F0">
        <w:rPr>
          <w:color w:val="000000"/>
          <w:sz w:val="22"/>
          <w:szCs w:val="22"/>
        </w:rPr>
        <w:t>Rajan</w:t>
      </w:r>
      <w:proofErr w:type="spellEnd"/>
      <w:r w:rsidR="00696033" w:rsidRPr="00F552F0">
        <w:rPr>
          <w:color w:val="000000"/>
          <w:sz w:val="22"/>
          <w:szCs w:val="22"/>
        </w:rPr>
        <w:t xml:space="preserve"> and </w:t>
      </w:r>
      <w:proofErr w:type="spellStart"/>
      <w:r w:rsidR="00696033" w:rsidRPr="00F552F0">
        <w:rPr>
          <w:color w:val="000000"/>
          <w:sz w:val="22"/>
          <w:szCs w:val="22"/>
        </w:rPr>
        <w:t>Zingales</w:t>
      </w:r>
      <w:proofErr w:type="spellEnd"/>
      <w:r w:rsidR="00696033" w:rsidRPr="00F552F0">
        <w:rPr>
          <w:color w:val="000000"/>
          <w:sz w:val="22"/>
          <w:szCs w:val="22"/>
        </w:rPr>
        <w:t xml:space="preserve"> (2003, 2004) present a host of econometric and historical evidence from a broad cross</w:t>
      </w:r>
      <w:r w:rsidR="00126499" w:rsidRPr="00F552F0">
        <w:rPr>
          <w:color w:val="000000"/>
          <w:sz w:val="22"/>
          <w:szCs w:val="22"/>
        </w:rPr>
        <w:t>-</w:t>
      </w:r>
      <w:r w:rsidR="00696033" w:rsidRPr="00F552F0">
        <w:rPr>
          <w:color w:val="000000"/>
          <w:sz w:val="22"/>
          <w:szCs w:val="22"/>
        </w:rPr>
        <w:t xml:space="preserve">section of countries </w:t>
      </w:r>
      <w:r w:rsidR="007B0930" w:rsidRPr="00F552F0">
        <w:rPr>
          <w:color w:val="000000"/>
          <w:sz w:val="22"/>
          <w:szCs w:val="22"/>
        </w:rPr>
        <w:t xml:space="preserve">supporting their thesis that </w:t>
      </w:r>
      <w:proofErr w:type="gramStart"/>
      <w:r w:rsidR="007B0930" w:rsidRPr="00F552F0">
        <w:rPr>
          <w:color w:val="000000"/>
          <w:sz w:val="22"/>
          <w:szCs w:val="22"/>
        </w:rPr>
        <w:t>a</w:t>
      </w:r>
      <w:r w:rsidR="00953EC2" w:rsidRPr="00F552F0">
        <w:rPr>
          <w:color w:val="000000"/>
          <w:sz w:val="22"/>
          <w:szCs w:val="22"/>
        </w:rPr>
        <w:t xml:space="preserve"> </w:t>
      </w:r>
      <w:r w:rsidR="007B0930" w:rsidRPr="00F552F0">
        <w:rPr>
          <w:color w:val="000000"/>
          <w:sz w:val="22"/>
          <w:szCs w:val="22"/>
        </w:rPr>
        <w:t>general</w:t>
      </w:r>
      <w:proofErr w:type="gramEnd"/>
      <w:r w:rsidR="007B0930" w:rsidRPr="00F552F0">
        <w:rPr>
          <w:color w:val="000000"/>
          <w:sz w:val="22"/>
          <w:szCs w:val="22"/>
        </w:rPr>
        <w:t xml:space="preserve"> </w:t>
      </w:r>
      <w:r w:rsidR="00696033" w:rsidRPr="00F552F0">
        <w:rPr>
          <w:color w:val="000000"/>
          <w:sz w:val="22"/>
          <w:szCs w:val="22"/>
        </w:rPr>
        <w:t xml:space="preserve">financial system deterioration </w:t>
      </w:r>
      <w:r w:rsidR="007B0930" w:rsidRPr="00F552F0">
        <w:rPr>
          <w:color w:val="000000"/>
          <w:sz w:val="22"/>
          <w:szCs w:val="22"/>
        </w:rPr>
        <w:t>impedes economic growth by inhibiting efficient capital allocation</w:t>
      </w:r>
      <w:r w:rsidR="00696033" w:rsidRPr="00F552F0">
        <w:rPr>
          <w:color w:val="000000"/>
          <w:sz w:val="22"/>
          <w:szCs w:val="22"/>
        </w:rPr>
        <w:t xml:space="preserve">.  </w:t>
      </w:r>
      <w:r w:rsidR="0046223A" w:rsidRPr="00F552F0">
        <w:rPr>
          <w:color w:val="000000"/>
          <w:sz w:val="22"/>
          <w:szCs w:val="22"/>
        </w:rPr>
        <w:t>While this work can not preclude reverse causality, it renders purely reverse causality implausible</w:t>
      </w:r>
      <w:r w:rsidR="0051379B" w:rsidRPr="00F552F0">
        <w:rPr>
          <w:color w:val="000000"/>
          <w:sz w:val="22"/>
          <w:szCs w:val="22"/>
        </w:rPr>
        <w:t>.</w:t>
      </w:r>
    </w:p>
    <w:p w:rsidR="0046223A" w:rsidRPr="00F552F0" w:rsidRDefault="00696033" w:rsidP="0043510A">
      <w:pPr>
        <w:autoSpaceDE w:val="0"/>
        <w:autoSpaceDN w:val="0"/>
        <w:adjustRightInd w:val="0"/>
        <w:spacing w:line="440" w:lineRule="exact"/>
        <w:ind w:firstLine="720"/>
        <w:jc w:val="both"/>
        <w:rPr>
          <w:color w:val="000000"/>
          <w:sz w:val="22"/>
          <w:szCs w:val="22"/>
        </w:rPr>
      </w:pPr>
      <w:r w:rsidRPr="00F552F0">
        <w:rPr>
          <w:color w:val="000000"/>
          <w:sz w:val="22"/>
          <w:szCs w:val="22"/>
        </w:rPr>
        <w:t>C</w:t>
      </w:r>
      <w:r w:rsidR="004B4795" w:rsidRPr="00F552F0">
        <w:rPr>
          <w:color w:val="000000"/>
          <w:sz w:val="22"/>
          <w:szCs w:val="22"/>
        </w:rPr>
        <w:t>ountry economic history studies</w:t>
      </w:r>
      <w:r w:rsidRPr="00F552F0">
        <w:rPr>
          <w:color w:val="000000"/>
          <w:sz w:val="22"/>
          <w:szCs w:val="22"/>
        </w:rPr>
        <w:t xml:space="preserve"> also </w:t>
      </w:r>
      <w:r w:rsidR="00372D43" w:rsidRPr="00F552F0">
        <w:rPr>
          <w:color w:val="000000"/>
          <w:sz w:val="22"/>
          <w:szCs w:val="22"/>
        </w:rPr>
        <w:t>document</w:t>
      </w:r>
      <w:r w:rsidR="004B4795" w:rsidRPr="00F552F0">
        <w:rPr>
          <w:color w:val="000000"/>
          <w:sz w:val="22"/>
          <w:szCs w:val="22"/>
        </w:rPr>
        <w:t xml:space="preserve"> tycoons and wealthy old-moneyed families </w:t>
      </w:r>
      <w:r w:rsidR="00372D43" w:rsidRPr="00F552F0">
        <w:rPr>
          <w:color w:val="000000"/>
          <w:sz w:val="22"/>
          <w:szCs w:val="22"/>
        </w:rPr>
        <w:t>striving</w:t>
      </w:r>
      <w:r w:rsidR="004B4795" w:rsidRPr="00F552F0">
        <w:rPr>
          <w:color w:val="000000"/>
          <w:sz w:val="22"/>
          <w:szCs w:val="22"/>
        </w:rPr>
        <w:t xml:space="preserve"> to control banks </w:t>
      </w:r>
      <w:r w:rsidR="00AB44C2" w:rsidRPr="00F552F0">
        <w:rPr>
          <w:color w:val="000000"/>
          <w:sz w:val="22"/>
          <w:szCs w:val="22"/>
        </w:rPr>
        <w:t xml:space="preserve">in quests to </w:t>
      </w:r>
      <w:r w:rsidR="0046223A" w:rsidRPr="00F552F0">
        <w:rPr>
          <w:color w:val="000000"/>
          <w:sz w:val="22"/>
          <w:szCs w:val="22"/>
        </w:rPr>
        <w:t>control</w:t>
      </w:r>
      <w:r w:rsidR="004B4795" w:rsidRPr="00F552F0">
        <w:rPr>
          <w:color w:val="000000"/>
          <w:sz w:val="22"/>
          <w:szCs w:val="22"/>
        </w:rPr>
        <w:t xml:space="preserve"> capital allocation.  </w:t>
      </w:r>
      <w:r w:rsidR="0046223A" w:rsidRPr="00F552F0">
        <w:rPr>
          <w:color w:val="000000"/>
          <w:sz w:val="22"/>
          <w:szCs w:val="22"/>
        </w:rPr>
        <w:t xml:space="preserve">For example, </w:t>
      </w:r>
      <w:r w:rsidR="004B4795" w:rsidRPr="00F552F0">
        <w:rPr>
          <w:color w:val="000000"/>
          <w:sz w:val="22"/>
          <w:szCs w:val="22"/>
        </w:rPr>
        <w:t xml:space="preserve">Haber et al. (2003) </w:t>
      </w:r>
      <w:r w:rsidR="00126499" w:rsidRPr="00F552F0">
        <w:rPr>
          <w:color w:val="000000"/>
          <w:sz w:val="22"/>
          <w:szCs w:val="22"/>
        </w:rPr>
        <w:t>show</w:t>
      </w:r>
      <w:r w:rsidR="004B4795" w:rsidRPr="00F552F0">
        <w:rPr>
          <w:color w:val="000000"/>
          <w:sz w:val="22"/>
          <w:szCs w:val="22"/>
        </w:rPr>
        <w:t xml:space="preserve"> elite capture of Mexican banks in the early 20th century stunting growth for decades; and La </w:t>
      </w:r>
      <w:proofErr w:type="spellStart"/>
      <w:r w:rsidR="004B4795" w:rsidRPr="00F552F0">
        <w:rPr>
          <w:color w:val="000000"/>
          <w:sz w:val="22"/>
          <w:szCs w:val="22"/>
        </w:rPr>
        <w:t>Porta</w:t>
      </w:r>
      <w:proofErr w:type="spellEnd"/>
      <w:r w:rsidR="004B4795" w:rsidRPr="00F552F0">
        <w:rPr>
          <w:color w:val="000000"/>
          <w:sz w:val="22"/>
          <w:szCs w:val="22"/>
        </w:rPr>
        <w:t xml:space="preserve"> et al. (2003) argue that recent privatizations let elite business families recapture the sector and thereby gain control of capital allocation. </w:t>
      </w:r>
      <w:r w:rsidRPr="00F552F0">
        <w:rPr>
          <w:color w:val="000000"/>
          <w:sz w:val="22"/>
          <w:szCs w:val="22"/>
        </w:rPr>
        <w:t xml:space="preserve">These studies indicate that key actors believe </w:t>
      </w:r>
      <w:r w:rsidR="00BF68B5" w:rsidRPr="00F552F0">
        <w:rPr>
          <w:color w:val="000000"/>
          <w:sz w:val="22"/>
          <w:szCs w:val="22"/>
        </w:rPr>
        <w:t xml:space="preserve">that </w:t>
      </w:r>
      <w:r w:rsidRPr="00F552F0">
        <w:rPr>
          <w:color w:val="000000"/>
          <w:sz w:val="22"/>
          <w:szCs w:val="22"/>
        </w:rPr>
        <w:t>controlling bank</w:t>
      </w:r>
      <w:r w:rsidR="00BF68B5" w:rsidRPr="00F552F0">
        <w:rPr>
          <w:color w:val="000000"/>
          <w:sz w:val="22"/>
          <w:szCs w:val="22"/>
        </w:rPr>
        <w:t>s lets them control</w:t>
      </w:r>
      <w:r w:rsidRPr="00F552F0">
        <w:rPr>
          <w:color w:val="000000"/>
          <w:sz w:val="22"/>
          <w:szCs w:val="22"/>
        </w:rPr>
        <w:t xml:space="preserve"> capital allocation.  </w:t>
      </w:r>
    </w:p>
    <w:p w:rsidR="001F36DD" w:rsidRPr="00F552F0" w:rsidRDefault="001F36DD" w:rsidP="0043510A">
      <w:pPr>
        <w:autoSpaceDE w:val="0"/>
        <w:autoSpaceDN w:val="0"/>
        <w:adjustRightInd w:val="0"/>
        <w:spacing w:line="440" w:lineRule="exact"/>
        <w:ind w:firstLine="720"/>
        <w:jc w:val="both"/>
        <w:rPr>
          <w:color w:val="000000"/>
          <w:sz w:val="22"/>
          <w:szCs w:val="22"/>
        </w:rPr>
      </w:pPr>
      <w:r w:rsidRPr="00F552F0">
        <w:rPr>
          <w:color w:val="000000"/>
          <w:sz w:val="22"/>
          <w:szCs w:val="22"/>
        </w:rPr>
        <w:t xml:space="preserve">None of these points in isolation is a fully convincing argument as to the direction of causality.  However, they combine to form a plausible body of circumstantial evidence that bank control affects the economy-level outcomes we study. Nevertheless, these issues are not fully resolved, and we invite further </w:t>
      </w:r>
      <w:r w:rsidRPr="00F552F0">
        <w:rPr>
          <w:color w:val="000000"/>
          <w:sz w:val="22"/>
          <w:szCs w:val="22"/>
        </w:rPr>
        <w:lastRenderedPageBreak/>
        <w:t>work to clarify causality. Event studies and country histories, in which the intentions of key decision makers can be documented, might be especially useful in this regard.</w:t>
      </w:r>
    </w:p>
    <w:p w:rsidR="00953EC2" w:rsidRPr="00F552F0" w:rsidRDefault="00953EC2">
      <w:pPr>
        <w:spacing w:line="440" w:lineRule="exact"/>
        <w:rPr>
          <w:b/>
          <w:sz w:val="32"/>
        </w:rPr>
      </w:pPr>
    </w:p>
    <w:p w:rsidR="004C3644" w:rsidRPr="00F552F0" w:rsidRDefault="001D2881">
      <w:pPr>
        <w:spacing w:line="440" w:lineRule="exact"/>
        <w:rPr>
          <w:b/>
          <w:sz w:val="32"/>
        </w:rPr>
      </w:pPr>
      <w:r w:rsidRPr="00F552F0">
        <w:rPr>
          <w:b/>
          <w:sz w:val="32"/>
        </w:rPr>
        <w:t>4</w:t>
      </w:r>
      <w:r w:rsidR="00B31298" w:rsidRPr="00F552F0">
        <w:rPr>
          <w:b/>
          <w:sz w:val="32"/>
        </w:rPr>
        <w:t>.</w:t>
      </w:r>
      <w:r w:rsidR="00B31298" w:rsidRPr="00F552F0">
        <w:rPr>
          <w:b/>
          <w:sz w:val="32"/>
        </w:rPr>
        <w:tab/>
        <w:t>Conclusions</w:t>
      </w:r>
    </w:p>
    <w:p w:rsidR="00E21501" w:rsidRPr="00F552F0" w:rsidRDefault="00397C1B">
      <w:pPr>
        <w:spacing w:line="440" w:lineRule="exact"/>
        <w:ind w:firstLine="720"/>
        <w:jc w:val="both"/>
        <w:rPr>
          <w:color w:val="000000"/>
          <w:sz w:val="22"/>
          <w:szCs w:val="22"/>
        </w:rPr>
      </w:pPr>
      <w:r w:rsidRPr="00F552F0">
        <w:rPr>
          <w:color w:val="000000"/>
          <w:sz w:val="22"/>
          <w:szCs w:val="22"/>
        </w:rPr>
        <w:t>Who</w:t>
      </w:r>
      <w:r w:rsidR="004C3644" w:rsidRPr="00F552F0">
        <w:rPr>
          <w:color w:val="000000"/>
          <w:sz w:val="22"/>
          <w:szCs w:val="22"/>
        </w:rPr>
        <w:t xml:space="preserve"> control</w:t>
      </w:r>
      <w:r w:rsidRPr="00F552F0">
        <w:rPr>
          <w:color w:val="000000"/>
          <w:sz w:val="22"/>
          <w:szCs w:val="22"/>
        </w:rPr>
        <w:t>s</w:t>
      </w:r>
      <w:r w:rsidR="004C3644" w:rsidRPr="00F552F0">
        <w:rPr>
          <w:color w:val="000000"/>
          <w:sz w:val="22"/>
          <w:szCs w:val="22"/>
        </w:rPr>
        <w:t xml:space="preserve"> </w:t>
      </w:r>
      <w:r w:rsidR="00EE296F" w:rsidRPr="00F552F0">
        <w:rPr>
          <w:color w:val="000000"/>
          <w:sz w:val="22"/>
          <w:szCs w:val="22"/>
        </w:rPr>
        <w:t>a country’s</w:t>
      </w:r>
      <w:r w:rsidR="001A763A" w:rsidRPr="00F552F0">
        <w:rPr>
          <w:color w:val="000000"/>
          <w:sz w:val="22"/>
          <w:szCs w:val="22"/>
        </w:rPr>
        <w:t xml:space="preserve"> </w:t>
      </w:r>
      <w:r w:rsidRPr="00F552F0">
        <w:rPr>
          <w:color w:val="000000"/>
          <w:sz w:val="22"/>
          <w:szCs w:val="22"/>
        </w:rPr>
        <w:t>banks matters. C</w:t>
      </w:r>
      <w:r w:rsidR="004C3644" w:rsidRPr="00F552F0">
        <w:rPr>
          <w:color w:val="000000"/>
          <w:sz w:val="22"/>
          <w:szCs w:val="22"/>
        </w:rPr>
        <w:t>ontrolling for capital market development</w:t>
      </w:r>
      <w:r w:rsidR="00FF68BA" w:rsidRPr="00F552F0">
        <w:rPr>
          <w:color w:val="000000"/>
          <w:sz w:val="22"/>
          <w:szCs w:val="22"/>
        </w:rPr>
        <w:t xml:space="preserve"> and </w:t>
      </w:r>
      <w:r w:rsidRPr="00F552F0">
        <w:rPr>
          <w:color w:val="000000"/>
          <w:sz w:val="22"/>
          <w:szCs w:val="22"/>
        </w:rPr>
        <w:t xml:space="preserve">initial </w:t>
      </w:r>
      <w:r w:rsidR="00FF68BA" w:rsidRPr="00F552F0">
        <w:rPr>
          <w:color w:val="000000"/>
          <w:sz w:val="22"/>
          <w:szCs w:val="22"/>
        </w:rPr>
        <w:t>GDP per capita</w:t>
      </w:r>
      <w:r w:rsidR="004C3644" w:rsidRPr="00F552F0">
        <w:rPr>
          <w:color w:val="000000"/>
          <w:sz w:val="22"/>
          <w:szCs w:val="22"/>
        </w:rPr>
        <w:t xml:space="preserve">, </w:t>
      </w:r>
      <w:r w:rsidRPr="00F552F0">
        <w:rPr>
          <w:color w:val="000000"/>
          <w:sz w:val="22"/>
          <w:szCs w:val="22"/>
        </w:rPr>
        <w:t xml:space="preserve">we find that </w:t>
      </w:r>
      <w:r w:rsidR="00240AFE" w:rsidRPr="00F552F0">
        <w:rPr>
          <w:color w:val="000000"/>
          <w:sz w:val="22"/>
          <w:szCs w:val="22"/>
        </w:rPr>
        <w:t xml:space="preserve">national </w:t>
      </w:r>
      <w:r w:rsidRPr="00F552F0">
        <w:rPr>
          <w:color w:val="000000"/>
          <w:sz w:val="22"/>
          <w:szCs w:val="22"/>
        </w:rPr>
        <w:t xml:space="preserve">banking systems </w:t>
      </w:r>
      <w:r w:rsidR="00FA5392" w:rsidRPr="00F552F0">
        <w:rPr>
          <w:color w:val="000000"/>
          <w:sz w:val="22"/>
          <w:szCs w:val="22"/>
        </w:rPr>
        <w:t>entrusted</w:t>
      </w:r>
      <w:r w:rsidRPr="00F552F0">
        <w:rPr>
          <w:color w:val="000000"/>
          <w:sz w:val="22"/>
          <w:szCs w:val="22"/>
        </w:rPr>
        <w:t xml:space="preserve"> more predominantly </w:t>
      </w:r>
      <w:r w:rsidR="00FA5392" w:rsidRPr="00F552F0">
        <w:rPr>
          <w:color w:val="000000"/>
          <w:sz w:val="22"/>
          <w:szCs w:val="22"/>
        </w:rPr>
        <w:t>to</w:t>
      </w:r>
      <w:r w:rsidRPr="00F552F0">
        <w:rPr>
          <w:color w:val="000000"/>
          <w:sz w:val="22"/>
          <w:szCs w:val="22"/>
        </w:rPr>
        <w:t xml:space="preserve"> </w:t>
      </w:r>
      <w:r w:rsidR="001A763A" w:rsidRPr="00F552F0">
        <w:rPr>
          <w:color w:val="000000"/>
          <w:sz w:val="22"/>
          <w:szCs w:val="22"/>
        </w:rPr>
        <w:t>tycoons and</w:t>
      </w:r>
      <w:r w:rsidRPr="00F552F0">
        <w:rPr>
          <w:color w:val="000000"/>
          <w:sz w:val="22"/>
          <w:szCs w:val="22"/>
        </w:rPr>
        <w:t xml:space="preserve"> </w:t>
      </w:r>
      <w:r w:rsidR="00FA5392" w:rsidRPr="00F552F0">
        <w:rPr>
          <w:color w:val="000000"/>
          <w:sz w:val="22"/>
          <w:szCs w:val="22"/>
        </w:rPr>
        <w:t xml:space="preserve">business </w:t>
      </w:r>
      <w:r w:rsidRPr="00F552F0">
        <w:rPr>
          <w:color w:val="000000"/>
          <w:sz w:val="22"/>
          <w:szCs w:val="22"/>
        </w:rPr>
        <w:t xml:space="preserve">families </w:t>
      </w:r>
      <w:r w:rsidR="004D4F45" w:rsidRPr="00F552F0">
        <w:rPr>
          <w:color w:val="000000"/>
          <w:sz w:val="22"/>
          <w:szCs w:val="22"/>
        </w:rPr>
        <w:t xml:space="preserve">(called family controlled for brevity) </w:t>
      </w:r>
      <w:r w:rsidR="00240AFE" w:rsidRPr="00F552F0">
        <w:rPr>
          <w:color w:val="000000"/>
          <w:sz w:val="22"/>
          <w:szCs w:val="22"/>
        </w:rPr>
        <w:t>correlate with</w:t>
      </w:r>
      <w:r w:rsidRPr="00F552F0">
        <w:rPr>
          <w:color w:val="000000"/>
          <w:sz w:val="22"/>
          <w:szCs w:val="22"/>
        </w:rPr>
        <w:t xml:space="preserve"> </w:t>
      </w:r>
      <w:r w:rsidR="00240AFE" w:rsidRPr="00F552F0">
        <w:rPr>
          <w:color w:val="000000"/>
          <w:sz w:val="22"/>
          <w:szCs w:val="22"/>
        </w:rPr>
        <w:t xml:space="preserve">worse economy-level outcomes: </w:t>
      </w:r>
      <w:r w:rsidRPr="00F552F0">
        <w:rPr>
          <w:color w:val="000000"/>
          <w:sz w:val="22"/>
          <w:szCs w:val="22"/>
        </w:rPr>
        <w:t>less efficient capital allocation</w:t>
      </w:r>
      <w:r w:rsidR="00240AFE" w:rsidRPr="00F552F0">
        <w:rPr>
          <w:color w:val="000000"/>
          <w:sz w:val="22"/>
          <w:szCs w:val="22"/>
        </w:rPr>
        <w:t>, more</w:t>
      </w:r>
      <w:r w:rsidR="004C3644" w:rsidRPr="00F552F0">
        <w:rPr>
          <w:color w:val="000000"/>
          <w:sz w:val="22"/>
          <w:szCs w:val="22"/>
        </w:rPr>
        <w:t xml:space="preserve"> nonperforming loans, more frequent bank crises, greater macro volatility, and slower income</w:t>
      </w:r>
      <w:r w:rsidR="00ED036F" w:rsidRPr="00F552F0">
        <w:rPr>
          <w:color w:val="000000"/>
          <w:sz w:val="22"/>
          <w:szCs w:val="22"/>
        </w:rPr>
        <w:t xml:space="preserve"> and</w:t>
      </w:r>
      <w:r w:rsidR="004C3644" w:rsidRPr="00F552F0">
        <w:rPr>
          <w:color w:val="000000"/>
          <w:sz w:val="22"/>
          <w:szCs w:val="22"/>
        </w:rPr>
        <w:t xml:space="preserve"> productivity growth</w:t>
      </w:r>
      <w:r w:rsidR="00240AFE" w:rsidRPr="00F552F0">
        <w:rPr>
          <w:color w:val="000000"/>
          <w:sz w:val="22"/>
          <w:szCs w:val="22"/>
        </w:rPr>
        <w:t xml:space="preserve"> rates</w:t>
      </w:r>
      <w:r w:rsidR="00B31298" w:rsidRPr="00F552F0">
        <w:rPr>
          <w:color w:val="000000"/>
          <w:sz w:val="22"/>
          <w:szCs w:val="22"/>
        </w:rPr>
        <w:t xml:space="preserve">. </w:t>
      </w:r>
    </w:p>
    <w:p w:rsidR="00D13651" w:rsidRPr="00F552F0" w:rsidRDefault="00E8519D" w:rsidP="00983F06">
      <w:pPr>
        <w:spacing w:line="440" w:lineRule="exact"/>
        <w:jc w:val="both"/>
        <w:rPr>
          <w:color w:val="000000"/>
          <w:sz w:val="22"/>
          <w:szCs w:val="22"/>
        </w:rPr>
      </w:pPr>
      <w:r w:rsidRPr="00F552F0">
        <w:rPr>
          <w:color w:val="000000"/>
          <w:sz w:val="22"/>
          <w:szCs w:val="22"/>
        </w:rPr>
        <w:tab/>
        <w:t xml:space="preserve">Our findings support the thesis of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Pr="00F552F0">
        <w:rPr>
          <w:color w:val="000000"/>
          <w:sz w:val="22"/>
          <w:szCs w:val="22"/>
        </w:rPr>
        <w:t xml:space="preserve"> </w:t>
      </w:r>
      <w:r w:rsidR="006F1BEA" w:rsidRPr="00F552F0">
        <w:rPr>
          <w:color w:val="000000"/>
          <w:sz w:val="22"/>
          <w:szCs w:val="22"/>
        </w:rPr>
        <w:t>(</w:t>
      </w:r>
      <w:r w:rsidRPr="00F552F0">
        <w:rPr>
          <w:color w:val="000000"/>
          <w:sz w:val="22"/>
          <w:szCs w:val="22"/>
        </w:rPr>
        <w:t>2003</w:t>
      </w:r>
      <w:r w:rsidR="006F1BEA" w:rsidRPr="00F552F0">
        <w:rPr>
          <w:color w:val="000000"/>
          <w:sz w:val="22"/>
          <w:szCs w:val="22"/>
        </w:rPr>
        <w:t>)</w:t>
      </w:r>
      <w:r w:rsidRPr="00F552F0">
        <w:rPr>
          <w:color w:val="000000"/>
          <w:sz w:val="22"/>
          <w:szCs w:val="22"/>
        </w:rPr>
        <w:t xml:space="preserve"> that an initial cadre of entrepreneurs (or their heirs), made rich by their country’s newly developed financial system, subsequently seek to reverse that development to lock in their dominance by </w:t>
      </w:r>
      <w:r w:rsidR="000D6CB5" w:rsidRPr="00F552F0">
        <w:rPr>
          <w:color w:val="000000"/>
          <w:sz w:val="22"/>
          <w:szCs w:val="22"/>
        </w:rPr>
        <w:t>limiting</w:t>
      </w:r>
      <w:r w:rsidRPr="00F552F0">
        <w:rPr>
          <w:color w:val="000000"/>
          <w:sz w:val="22"/>
          <w:szCs w:val="22"/>
        </w:rPr>
        <w:t xml:space="preserve"> entrants</w:t>
      </w:r>
      <w:r w:rsidR="000D6CB5" w:rsidRPr="00F552F0">
        <w:rPr>
          <w:color w:val="000000"/>
          <w:sz w:val="22"/>
          <w:szCs w:val="22"/>
        </w:rPr>
        <w:t xml:space="preserve">’ access to external </w:t>
      </w:r>
      <w:r w:rsidRPr="00F552F0">
        <w:rPr>
          <w:color w:val="000000"/>
          <w:sz w:val="22"/>
          <w:szCs w:val="22"/>
        </w:rPr>
        <w:t xml:space="preserve">capital. </w:t>
      </w:r>
      <w:r w:rsidR="00E4057A" w:rsidRPr="00F552F0">
        <w:rPr>
          <w:color w:val="000000"/>
          <w:sz w:val="22"/>
          <w:szCs w:val="22"/>
        </w:rPr>
        <w:t xml:space="preserve">Because </w:t>
      </w:r>
      <w:r w:rsidR="004D4F45" w:rsidRPr="00F552F0">
        <w:rPr>
          <w:color w:val="000000"/>
          <w:sz w:val="22"/>
          <w:szCs w:val="22"/>
        </w:rPr>
        <w:t xml:space="preserve">cross-country </w:t>
      </w:r>
      <w:r w:rsidR="00E4057A" w:rsidRPr="00F552F0">
        <w:rPr>
          <w:color w:val="000000"/>
          <w:sz w:val="22"/>
          <w:szCs w:val="22"/>
        </w:rPr>
        <w:t xml:space="preserve">empirical evidence suggests that banks provide essential capital </w:t>
      </w:r>
      <w:r w:rsidRPr="00F552F0">
        <w:rPr>
          <w:color w:val="000000"/>
          <w:sz w:val="22"/>
          <w:szCs w:val="22"/>
        </w:rPr>
        <w:t>for new and small firms (Beck et al.</w:t>
      </w:r>
      <w:r w:rsidR="006F1BEA" w:rsidRPr="00F552F0">
        <w:rPr>
          <w:color w:val="000000"/>
          <w:sz w:val="22"/>
          <w:szCs w:val="22"/>
        </w:rPr>
        <w:t>,</w:t>
      </w:r>
      <w:r w:rsidRPr="00F552F0">
        <w:rPr>
          <w:color w:val="000000"/>
          <w:sz w:val="22"/>
          <w:szCs w:val="22"/>
        </w:rPr>
        <w:t xml:space="preserve"> 2008), control over the banking system is </w:t>
      </w:r>
      <w:r w:rsidR="00E4057A" w:rsidRPr="00F552F0">
        <w:rPr>
          <w:color w:val="000000"/>
          <w:sz w:val="22"/>
          <w:szCs w:val="22"/>
        </w:rPr>
        <w:t>a likely</w:t>
      </w:r>
      <w:r w:rsidRPr="00F552F0">
        <w:rPr>
          <w:color w:val="000000"/>
          <w:sz w:val="22"/>
          <w:szCs w:val="22"/>
        </w:rPr>
        <w:t xml:space="preserve"> place to look for this effect.  Consistent with these arguments, we find family control over banks correlated with traditional signs of crony capitalism, such as high inequality and barriers to entry. </w:t>
      </w:r>
    </w:p>
    <w:p w:rsidR="00717D39" w:rsidRPr="00F552F0" w:rsidRDefault="00D13651" w:rsidP="00983F06">
      <w:pPr>
        <w:spacing w:line="440" w:lineRule="exact"/>
        <w:jc w:val="both"/>
        <w:rPr>
          <w:color w:val="000000"/>
          <w:sz w:val="22"/>
          <w:szCs w:val="22"/>
        </w:rPr>
      </w:pPr>
      <w:r w:rsidRPr="00F552F0">
        <w:rPr>
          <w:color w:val="000000"/>
          <w:sz w:val="22"/>
          <w:szCs w:val="22"/>
        </w:rPr>
        <w:tab/>
      </w:r>
      <w:r w:rsidR="00E8519D" w:rsidRPr="00F552F0">
        <w:rPr>
          <w:color w:val="000000"/>
          <w:sz w:val="22"/>
          <w:szCs w:val="22"/>
        </w:rPr>
        <w:t xml:space="preserve"> </w:t>
      </w:r>
      <w:r w:rsidRPr="00F552F0">
        <w:rPr>
          <w:color w:val="000000"/>
          <w:sz w:val="22"/>
          <w:szCs w:val="22"/>
        </w:rPr>
        <w:t xml:space="preserve">Moreover, our findings </w:t>
      </w:r>
      <w:r w:rsidR="00F37D36" w:rsidRPr="00F552F0">
        <w:rPr>
          <w:color w:val="000000"/>
          <w:sz w:val="22"/>
          <w:szCs w:val="22"/>
        </w:rPr>
        <w:t>emphasize</w:t>
      </w:r>
      <w:r w:rsidRPr="00F552F0">
        <w:rPr>
          <w:color w:val="000000"/>
          <w:sz w:val="22"/>
          <w:szCs w:val="22"/>
        </w:rPr>
        <w:t xml:space="preserve"> family control of the banking system specifically, rather than their control of large businesses in general.  That control of the financial system is especially critical supports the thesis of </w:t>
      </w:r>
      <w:proofErr w:type="spellStart"/>
      <w:r w:rsidRPr="00F552F0">
        <w:rPr>
          <w:color w:val="000000"/>
          <w:sz w:val="22"/>
          <w:szCs w:val="22"/>
        </w:rPr>
        <w:t>Rajan</w:t>
      </w:r>
      <w:proofErr w:type="spellEnd"/>
      <w:r w:rsidRPr="00F552F0">
        <w:rPr>
          <w:color w:val="000000"/>
          <w:sz w:val="22"/>
          <w:szCs w:val="22"/>
        </w:rPr>
        <w:t xml:space="preserve"> and </w:t>
      </w:r>
      <w:proofErr w:type="spellStart"/>
      <w:r w:rsidRPr="00F552F0">
        <w:rPr>
          <w:color w:val="000000"/>
          <w:sz w:val="22"/>
          <w:szCs w:val="22"/>
        </w:rPr>
        <w:t>Zingales</w:t>
      </w:r>
      <w:proofErr w:type="spellEnd"/>
      <w:r w:rsidRPr="00F552F0">
        <w:rPr>
          <w:color w:val="000000"/>
          <w:sz w:val="22"/>
          <w:szCs w:val="22"/>
        </w:rPr>
        <w:t xml:space="preserve"> (2003, 2004)</w:t>
      </w:r>
      <w:r w:rsidR="00F37D36" w:rsidRPr="00F552F0">
        <w:rPr>
          <w:color w:val="000000"/>
          <w:sz w:val="22"/>
          <w:szCs w:val="22"/>
        </w:rPr>
        <w:t>:</w:t>
      </w:r>
      <w:r w:rsidRPr="00F552F0">
        <w:rPr>
          <w:color w:val="000000"/>
          <w:sz w:val="22"/>
          <w:szCs w:val="22"/>
        </w:rPr>
        <w:t xml:space="preserve"> incumbent elites might lock in the status quo by blocking upstart</w:t>
      </w:r>
      <w:r w:rsidR="005529F0" w:rsidRPr="00F552F0">
        <w:rPr>
          <w:color w:val="000000"/>
          <w:sz w:val="22"/>
          <w:szCs w:val="22"/>
        </w:rPr>
        <w:t>s’ and</w:t>
      </w:r>
      <w:r w:rsidRPr="00F552F0">
        <w:rPr>
          <w:color w:val="000000"/>
          <w:sz w:val="22"/>
          <w:szCs w:val="22"/>
        </w:rPr>
        <w:t xml:space="preserve"> competitors’ access to outside capital. </w:t>
      </w:r>
      <w:r w:rsidR="0084748F" w:rsidRPr="00F552F0">
        <w:rPr>
          <w:color w:val="000000"/>
          <w:sz w:val="22"/>
          <w:szCs w:val="22"/>
        </w:rPr>
        <w:t xml:space="preserve"> </w:t>
      </w:r>
      <w:r w:rsidR="00953EC2" w:rsidRPr="00F552F0">
        <w:rPr>
          <w:color w:val="000000"/>
          <w:sz w:val="22"/>
          <w:szCs w:val="22"/>
        </w:rPr>
        <w:t xml:space="preserve">However, </w:t>
      </w:r>
      <w:r w:rsidR="0084748F" w:rsidRPr="00F552F0">
        <w:rPr>
          <w:color w:val="000000"/>
          <w:sz w:val="22"/>
          <w:szCs w:val="22"/>
        </w:rPr>
        <w:t xml:space="preserve">family control over </w:t>
      </w:r>
      <w:proofErr w:type="gramStart"/>
      <w:r w:rsidR="0084748F" w:rsidRPr="00F552F0">
        <w:rPr>
          <w:color w:val="000000"/>
          <w:sz w:val="22"/>
          <w:szCs w:val="22"/>
        </w:rPr>
        <w:t>banking,</w:t>
      </w:r>
      <w:proofErr w:type="gramEnd"/>
      <w:r w:rsidR="0084748F" w:rsidRPr="00F552F0">
        <w:rPr>
          <w:color w:val="000000"/>
          <w:sz w:val="22"/>
          <w:szCs w:val="22"/>
        </w:rPr>
        <w:t xml:space="preserve"> is quite likely only part of the story, and further work exploring the importance of</w:t>
      </w:r>
      <w:r w:rsidR="00953EC2" w:rsidRPr="00F552F0">
        <w:rPr>
          <w:color w:val="000000"/>
          <w:sz w:val="22"/>
          <w:szCs w:val="22"/>
        </w:rPr>
        <w:t xml:space="preserve"> </w:t>
      </w:r>
      <w:r w:rsidR="0084748F" w:rsidRPr="00F552F0">
        <w:rPr>
          <w:color w:val="000000"/>
          <w:sz w:val="22"/>
          <w:szCs w:val="22"/>
        </w:rPr>
        <w:t>pyramidal business groups</w:t>
      </w:r>
      <w:r w:rsidR="00953EC2" w:rsidRPr="00F552F0">
        <w:rPr>
          <w:color w:val="000000"/>
          <w:sz w:val="22"/>
          <w:szCs w:val="22"/>
        </w:rPr>
        <w:t xml:space="preserve"> and their </w:t>
      </w:r>
      <w:r w:rsidR="00841C34" w:rsidRPr="00F552F0">
        <w:rPr>
          <w:color w:val="000000"/>
          <w:sz w:val="22"/>
          <w:szCs w:val="22"/>
        </w:rPr>
        <w:t>influence over other sources of</w:t>
      </w:r>
      <w:r w:rsidR="0084748F" w:rsidRPr="00F552F0">
        <w:rPr>
          <w:color w:val="000000"/>
          <w:sz w:val="22"/>
          <w:szCs w:val="22"/>
        </w:rPr>
        <w:t xml:space="preserve"> capital might well be fruitful</w:t>
      </w:r>
      <w:r w:rsidR="00953EC2" w:rsidRPr="00F552F0">
        <w:rPr>
          <w:color w:val="000000"/>
          <w:sz w:val="22"/>
          <w:szCs w:val="22"/>
        </w:rPr>
        <w:t>.</w:t>
      </w:r>
    </w:p>
    <w:p w:rsidR="00E8519D" w:rsidRPr="00F552F0" w:rsidRDefault="00717D39" w:rsidP="00983F06">
      <w:pPr>
        <w:spacing w:line="440" w:lineRule="exact"/>
        <w:jc w:val="both"/>
        <w:rPr>
          <w:color w:val="000000"/>
          <w:sz w:val="22"/>
          <w:szCs w:val="22"/>
        </w:rPr>
      </w:pPr>
      <w:r w:rsidRPr="00F552F0">
        <w:rPr>
          <w:color w:val="000000"/>
          <w:sz w:val="22"/>
          <w:szCs w:val="22"/>
        </w:rPr>
        <w:tab/>
      </w:r>
      <w:r w:rsidR="00E8519D" w:rsidRPr="00F552F0">
        <w:rPr>
          <w:color w:val="000000"/>
          <w:sz w:val="22"/>
          <w:szCs w:val="22"/>
        </w:rPr>
        <w:t xml:space="preserve">Of course, our findings imply neither that all controlling tycoons and families are entrenched nor that their control has these associations in all time periods and all financial crises.  Rather, they render cases where the opposite result occurs </w:t>
      </w:r>
      <w:r w:rsidR="000D6CB5" w:rsidRPr="00F552F0">
        <w:rPr>
          <w:color w:val="000000"/>
          <w:sz w:val="22"/>
          <w:szCs w:val="22"/>
        </w:rPr>
        <w:t>especially intriguing</w:t>
      </w:r>
      <w:r w:rsidR="00E8519D" w:rsidRPr="00F552F0">
        <w:rPr>
          <w:color w:val="000000"/>
          <w:sz w:val="22"/>
          <w:szCs w:val="22"/>
        </w:rPr>
        <w:t xml:space="preserve">.  </w:t>
      </w:r>
    </w:p>
    <w:p w:rsidR="00F24057" w:rsidRPr="00F552F0" w:rsidRDefault="00E8519D" w:rsidP="00E8519D">
      <w:pPr>
        <w:spacing w:line="440" w:lineRule="exact"/>
        <w:jc w:val="both"/>
        <w:rPr>
          <w:color w:val="000000"/>
        </w:rPr>
      </w:pPr>
      <w:r w:rsidRPr="00F552F0">
        <w:rPr>
          <w:color w:val="000000"/>
          <w:sz w:val="22"/>
          <w:szCs w:val="22"/>
        </w:rPr>
        <w:tab/>
        <w:t>Finally, our findings call for further corporate finance research into “elite capture”; wherein a minority religious group, ethnic group, or economic elite controls an economic, political, or other institution to advance the minority’s interests, rather than general social welfare (</w:t>
      </w:r>
      <w:proofErr w:type="spellStart"/>
      <w:r w:rsidRPr="00F552F0">
        <w:rPr>
          <w:color w:val="000000"/>
          <w:sz w:val="22"/>
          <w:szCs w:val="22"/>
        </w:rPr>
        <w:t>Glaeser</w:t>
      </w:r>
      <w:proofErr w:type="spellEnd"/>
      <w:r w:rsidR="006F1BEA" w:rsidRPr="00F552F0">
        <w:rPr>
          <w:color w:val="000000"/>
          <w:sz w:val="22"/>
          <w:szCs w:val="22"/>
        </w:rPr>
        <w:t xml:space="preserve"> et al.,</w:t>
      </w:r>
      <w:r w:rsidRPr="00F552F0">
        <w:rPr>
          <w:color w:val="000000"/>
          <w:sz w:val="22"/>
          <w:szCs w:val="22"/>
        </w:rPr>
        <w:t xml:space="preserve"> 2003; Hellman</w:t>
      </w:r>
      <w:r w:rsidR="00816C4F" w:rsidRPr="00F552F0">
        <w:rPr>
          <w:color w:val="000000"/>
          <w:sz w:val="22"/>
          <w:szCs w:val="22"/>
        </w:rPr>
        <w:t xml:space="preserve"> at al.</w:t>
      </w:r>
      <w:r w:rsidR="006F1BEA" w:rsidRPr="00F552F0">
        <w:rPr>
          <w:color w:val="000000"/>
          <w:sz w:val="22"/>
          <w:szCs w:val="22"/>
        </w:rPr>
        <w:t>,</w:t>
      </w:r>
      <w:r w:rsidRPr="00F552F0">
        <w:rPr>
          <w:color w:val="000000"/>
          <w:sz w:val="22"/>
          <w:szCs w:val="22"/>
        </w:rPr>
        <w:t xml:space="preserve"> 2003; and others).  Elite capture of a country’s financial system may well be an important </w:t>
      </w:r>
      <w:r w:rsidRPr="00F552F0">
        <w:rPr>
          <w:color w:val="000000"/>
          <w:sz w:val="22"/>
          <w:szCs w:val="22"/>
        </w:rPr>
        <w:lastRenderedPageBreak/>
        <w:t>element of “crony capitalism” (e.g. Murphy et al.</w:t>
      </w:r>
      <w:r w:rsidR="006F1BEA" w:rsidRPr="00F552F0">
        <w:rPr>
          <w:color w:val="000000"/>
          <w:sz w:val="22"/>
          <w:szCs w:val="22"/>
        </w:rPr>
        <w:t>,</w:t>
      </w:r>
      <w:r w:rsidRPr="00F552F0">
        <w:rPr>
          <w:color w:val="000000"/>
          <w:sz w:val="22"/>
          <w:szCs w:val="22"/>
        </w:rPr>
        <w:t xml:space="preserve"> 1991, 1993; Shleifer </w:t>
      </w:r>
      <w:r w:rsidR="00E82874" w:rsidRPr="00F552F0">
        <w:rPr>
          <w:color w:val="000000"/>
          <w:sz w:val="22"/>
          <w:szCs w:val="22"/>
        </w:rPr>
        <w:t>and</w:t>
      </w:r>
      <w:r w:rsidRPr="00F552F0">
        <w:rPr>
          <w:color w:val="000000"/>
          <w:sz w:val="22"/>
          <w:szCs w:val="22"/>
        </w:rPr>
        <w:t xml:space="preserve"> Vishny</w:t>
      </w:r>
      <w:r w:rsidR="006F1BEA" w:rsidRPr="00F552F0">
        <w:rPr>
          <w:color w:val="000000"/>
          <w:sz w:val="22"/>
          <w:szCs w:val="22"/>
        </w:rPr>
        <w:t>,</w:t>
      </w:r>
      <w:r w:rsidRPr="00F552F0">
        <w:rPr>
          <w:color w:val="000000"/>
          <w:sz w:val="22"/>
          <w:szCs w:val="22"/>
        </w:rPr>
        <w:t xml:space="preserve"> 1993; Shleifer </w:t>
      </w:r>
      <w:r w:rsidR="00E82874" w:rsidRPr="00F552F0">
        <w:rPr>
          <w:color w:val="000000"/>
          <w:sz w:val="22"/>
          <w:szCs w:val="22"/>
        </w:rPr>
        <w:t>and</w:t>
      </w:r>
      <w:r w:rsidRPr="00F552F0">
        <w:rPr>
          <w:color w:val="000000"/>
          <w:sz w:val="22"/>
          <w:szCs w:val="22"/>
        </w:rPr>
        <w:t xml:space="preserve"> Vishny</w:t>
      </w:r>
      <w:r w:rsidR="006F1BEA" w:rsidRPr="00F552F0">
        <w:rPr>
          <w:color w:val="000000"/>
          <w:sz w:val="22"/>
          <w:szCs w:val="22"/>
        </w:rPr>
        <w:t>,</w:t>
      </w:r>
      <w:r w:rsidRPr="00F552F0">
        <w:rPr>
          <w:color w:val="000000"/>
          <w:sz w:val="22"/>
          <w:szCs w:val="22"/>
        </w:rPr>
        <w:t xml:space="preserve"> 1998; Haber</w:t>
      </w:r>
      <w:r w:rsidR="006F1BEA" w:rsidRPr="00F552F0">
        <w:rPr>
          <w:color w:val="000000"/>
          <w:sz w:val="22"/>
          <w:szCs w:val="22"/>
        </w:rPr>
        <w:t>,</w:t>
      </w:r>
      <w:r w:rsidRPr="00F552F0">
        <w:rPr>
          <w:color w:val="000000"/>
          <w:sz w:val="22"/>
          <w:szCs w:val="22"/>
        </w:rPr>
        <w:t xml:space="preserve"> 2002; Krueger</w:t>
      </w:r>
      <w:r w:rsidR="006F1BEA" w:rsidRPr="00F552F0">
        <w:rPr>
          <w:color w:val="000000"/>
          <w:sz w:val="22"/>
          <w:szCs w:val="22"/>
        </w:rPr>
        <w:t>,</w:t>
      </w:r>
      <w:r w:rsidRPr="00F552F0">
        <w:rPr>
          <w:color w:val="000000"/>
          <w:sz w:val="22"/>
          <w:szCs w:val="22"/>
        </w:rPr>
        <w:t xml:space="preserve"> 2002; </w:t>
      </w:r>
      <w:proofErr w:type="spellStart"/>
      <w:r w:rsidRPr="00F552F0">
        <w:rPr>
          <w:color w:val="000000"/>
          <w:sz w:val="22"/>
          <w:szCs w:val="22"/>
        </w:rPr>
        <w:t>Rajan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Zingales</w:t>
      </w:r>
      <w:proofErr w:type="spellEnd"/>
      <w:r w:rsidR="006F1BEA" w:rsidRPr="00F552F0">
        <w:rPr>
          <w:color w:val="000000"/>
          <w:sz w:val="22"/>
          <w:szCs w:val="22"/>
        </w:rPr>
        <w:t>,</w:t>
      </w:r>
      <w:r w:rsidRPr="00F552F0">
        <w:rPr>
          <w:color w:val="000000"/>
          <w:sz w:val="22"/>
          <w:szCs w:val="22"/>
        </w:rPr>
        <w:t xml:space="preserve"> 2004; Morck</w:t>
      </w:r>
      <w:r w:rsidR="00816C4F" w:rsidRPr="00F552F0">
        <w:rPr>
          <w:color w:val="000000"/>
          <w:sz w:val="22"/>
          <w:szCs w:val="22"/>
        </w:rPr>
        <w:t xml:space="preserve"> et al.</w:t>
      </w:r>
      <w:r w:rsidR="006F1BEA" w:rsidRPr="00F552F0">
        <w:rPr>
          <w:color w:val="000000"/>
          <w:sz w:val="22"/>
          <w:szCs w:val="22"/>
        </w:rPr>
        <w:t>,</w:t>
      </w:r>
      <w:r w:rsidRPr="00F552F0">
        <w:rPr>
          <w:color w:val="000000"/>
          <w:sz w:val="22"/>
          <w:szCs w:val="22"/>
        </w:rPr>
        <w:t xml:space="preserve"> 2005, </w:t>
      </w:r>
      <w:proofErr w:type="spellStart"/>
      <w:r w:rsidRPr="00F552F0">
        <w:rPr>
          <w:color w:val="000000"/>
          <w:sz w:val="22"/>
          <w:szCs w:val="22"/>
        </w:rPr>
        <w:t>Acemoglu</w:t>
      </w:r>
      <w:proofErr w:type="spellEnd"/>
      <w:r w:rsidR="00816C4F" w:rsidRPr="00F552F0">
        <w:rPr>
          <w:color w:val="000000"/>
          <w:sz w:val="22"/>
          <w:szCs w:val="22"/>
        </w:rPr>
        <w:t xml:space="preserve"> et al.</w:t>
      </w:r>
      <w:r w:rsidRPr="00F552F0">
        <w:rPr>
          <w:color w:val="000000"/>
          <w:sz w:val="22"/>
          <w:szCs w:val="22"/>
        </w:rPr>
        <w:t>, 2005</w:t>
      </w:r>
      <w:r w:rsidR="006F1BEA" w:rsidRPr="00F552F0">
        <w:rPr>
          <w:color w:val="000000"/>
          <w:sz w:val="22"/>
          <w:szCs w:val="22"/>
        </w:rPr>
        <w:t>;</w:t>
      </w:r>
      <w:r w:rsidRPr="00F552F0">
        <w:rPr>
          <w:color w:val="000000"/>
          <w:sz w:val="22"/>
          <w:szCs w:val="22"/>
        </w:rPr>
        <w:t xml:space="preserve"> Daniels </w:t>
      </w:r>
      <w:r w:rsidR="00E82874" w:rsidRPr="00F552F0">
        <w:rPr>
          <w:color w:val="000000"/>
          <w:sz w:val="22"/>
          <w:szCs w:val="22"/>
        </w:rPr>
        <w:t>and</w:t>
      </w:r>
      <w:r w:rsidRPr="00F552F0">
        <w:rPr>
          <w:color w:val="000000"/>
          <w:sz w:val="22"/>
          <w:szCs w:val="22"/>
        </w:rPr>
        <w:t xml:space="preserve"> </w:t>
      </w:r>
      <w:proofErr w:type="spellStart"/>
      <w:r w:rsidRPr="00F552F0">
        <w:rPr>
          <w:color w:val="000000"/>
          <w:sz w:val="22"/>
          <w:szCs w:val="22"/>
        </w:rPr>
        <w:t>Trebilcock</w:t>
      </w:r>
      <w:proofErr w:type="spellEnd"/>
      <w:r w:rsidR="006F1BEA" w:rsidRPr="00F552F0">
        <w:rPr>
          <w:color w:val="000000"/>
          <w:sz w:val="22"/>
          <w:szCs w:val="22"/>
        </w:rPr>
        <w:t>,</w:t>
      </w:r>
      <w:r w:rsidRPr="00F552F0">
        <w:rPr>
          <w:color w:val="000000"/>
          <w:sz w:val="22"/>
          <w:szCs w:val="22"/>
        </w:rPr>
        <w:t xml:space="preserve"> 2008; </w:t>
      </w:r>
      <w:proofErr w:type="spellStart"/>
      <w:r w:rsidRPr="00F552F0">
        <w:rPr>
          <w:color w:val="000000"/>
          <w:sz w:val="22"/>
          <w:szCs w:val="22"/>
        </w:rPr>
        <w:t>Fisman</w:t>
      </w:r>
      <w:proofErr w:type="spellEnd"/>
      <w:r w:rsidRPr="00F552F0">
        <w:rPr>
          <w:color w:val="000000"/>
          <w:sz w:val="22"/>
          <w:szCs w:val="22"/>
        </w:rPr>
        <w:t xml:space="preserve"> </w:t>
      </w:r>
      <w:r w:rsidR="00E82874" w:rsidRPr="00F552F0">
        <w:rPr>
          <w:color w:val="000000"/>
          <w:sz w:val="22"/>
          <w:szCs w:val="22"/>
        </w:rPr>
        <w:t>and</w:t>
      </w:r>
      <w:r w:rsidRPr="00F552F0">
        <w:rPr>
          <w:color w:val="000000"/>
          <w:sz w:val="22"/>
          <w:szCs w:val="22"/>
        </w:rPr>
        <w:t xml:space="preserve"> Miguel</w:t>
      </w:r>
      <w:r w:rsidR="006F1BEA" w:rsidRPr="00F552F0">
        <w:rPr>
          <w:color w:val="000000"/>
          <w:sz w:val="22"/>
          <w:szCs w:val="22"/>
        </w:rPr>
        <w:t>,</w:t>
      </w:r>
      <w:r w:rsidRPr="00F552F0">
        <w:rPr>
          <w:color w:val="000000"/>
          <w:sz w:val="22"/>
          <w:szCs w:val="22"/>
        </w:rPr>
        <w:t xml:space="preserve"> 2008)</w:t>
      </w:r>
      <w:r w:rsidR="006229F3" w:rsidRPr="00F552F0">
        <w:rPr>
          <w:color w:val="000000"/>
          <w:sz w:val="22"/>
          <w:szCs w:val="22"/>
        </w:rPr>
        <w:t xml:space="preserve"> that underlies </w:t>
      </w:r>
      <w:r w:rsidR="000D6CB5" w:rsidRPr="00F552F0">
        <w:rPr>
          <w:color w:val="000000"/>
          <w:sz w:val="22"/>
          <w:szCs w:val="22"/>
        </w:rPr>
        <w:t xml:space="preserve">financial development reversals </w:t>
      </w:r>
      <w:r w:rsidR="006229F3" w:rsidRPr="00F552F0">
        <w:rPr>
          <w:color w:val="000000"/>
          <w:sz w:val="22"/>
          <w:szCs w:val="22"/>
        </w:rPr>
        <w:t xml:space="preserve">specifically </w:t>
      </w:r>
      <w:r w:rsidR="000D6CB5" w:rsidRPr="00F552F0">
        <w:rPr>
          <w:color w:val="000000"/>
          <w:sz w:val="22"/>
          <w:szCs w:val="22"/>
        </w:rPr>
        <w:t>(</w:t>
      </w:r>
      <w:proofErr w:type="spellStart"/>
      <w:r w:rsidR="000D6CB5" w:rsidRPr="00F552F0">
        <w:rPr>
          <w:color w:val="000000"/>
          <w:sz w:val="22"/>
          <w:szCs w:val="22"/>
        </w:rPr>
        <w:t>Rajan</w:t>
      </w:r>
      <w:proofErr w:type="spellEnd"/>
      <w:r w:rsidR="000D6CB5" w:rsidRPr="00F552F0">
        <w:rPr>
          <w:color w:val="000000"/>
          <w:sz w:val="22"/>
          <w:szCs w:val="22"/>
        </w:rPr>
        <w:t xml:space="preserve"> and </w:t>
      </w:r>
      <w:proofErr w:type="spellStart"/>
      <w:r w:rsidR="000D6CB5" w:rsidRPr="00F552F0">
        <w:rPr>
          <w:color w:val="000000"/>
          <w:sz w:val="22"/>
          <w:szCs w:val="22"/>
        </w:rPr>
        <w:t>Zingales</w:t>
      </w:r>
      <w:proofErr w:type="spellEnd"/>
      <w:r w:rsidR="006F1BEA" w:rsidRPr="00F552F0">
        <w:rPr>
          <w:color w:val="000000"/>
          <w:sz w:val="22"/>
          <w:szCs w:val="22"/>
        </w:rPr>
        <w:t>,</w:t>
      </w:r>
      <w:r w:rsidR="000D6CB5" w:rsidRPr="00F552F0">
        <w:rPr>
          <w:color w:val="000000"/>
          <w:sz w:val="22"/>
          <w:szCs w:val="22"/>
        </w:rPr>
        <w:t xml:space="preserve"> 2003, 2004) </w:t>
      </w:r>
      <w:r w:rsidR="006229F3" w:rsidRPr="00F552F0">
        <w:rPr>
          <w:color w:val="000000"/>
          <w:sz w:val="22"/>
          <w:szCs w:val="22"/>
        </w:rPr>
        <w:t>and persistent financial underdevelopment more generally (King and Levine</w:t>
      </w:r>
      <w:r w:rsidR="006F1BEA" w:rsidRPr="00F552F0">
        <w:rPr>
          <w:color w:val="000000"/>
          <w:sz w:val="22"/>
          <w:szCs w:val="22"/>
        </w:rPr>
        <w:t>,</w:t>
      </w:r>
      <w:r w:rsidR="006229F3" w:rsidRPr="00F552F0">
        <w:rPr>
          <w:color w:val="000000"/>
          <w:sz w:val="22"/>
          <w:szCs w:val="22"/>
        </w:rPr>
        <w:t xml:space="preserve"> 1993ab)</w:t>
      </w:r>
      <w:r w:rsidRPr="00F552F0">
        <w:rPr>
          <w:color w:val="000000"/>
          <w:sz w:val="22"/>
          <w:szCs w:val="22"/>
        </w:rPr>
        <w:t xml:space="preserve">.   </w:t>
      </w:r>
      <w:r w:rsidRPr="00F552F0">
        <w:rPr>
          <w:color w:val="000000"/>
          <w:sz w:val="22"/>
          <w:szCs w:val="22"/>
        </w:rPr>
        <w:tab/>
      </w:r>
    </w:p>
    <w:p w:rsidR="002E0523" w:rsidRPr="00F552F0" w:rsidRDefault="002E0523" w:rsidP="007B7D43">
      <w:pPr>
        <w:jc w:val="center"/>
        <w:rPr>
          <w:color w:val="000000"/>
        </w:rPr>
      </w:pPr>
    </w:p>
    <w:p w:rsidR="002E0523" w:rsidRPr="00F552F0" w:rsidRDefault="002E0523" w:rsidP="007B7D43">
      <w:pPr>
        <w:jc w:val="center"/>
        <w:rPr>
          <w:color w:val="000000"/>
        </w:rPr>
      </w:pPr>
    </w:p>
    <w:p w:rsidR="00E21501" w:rsidRPr="00F552F0" w:rsidRDefault="00E8519D">
      <w:pPr>
        <w:rPr>
          <w:b/>
          <w:color w:val="000000"/>
          <w:sz w:val="22"/>
          <w:szCs w:val="22"/>
        </w:rPr>
      </w:pPr>
      <w:r w:rsidRPr="00F552F0">
        <w:rPr>
          <w:b/>
          <w:color w:val="000000"/>
          <w:sz w:val="22"/>
          <w:szCs w:val="22"/>
        </w:rPr>
        <w:br w:type="page"/>
      </w:r>
      <w:r w:rsidR="007B7D43" w:rsidRPr="00F552F0">
        <w:rPr>
          <w:b/>
          <w:color w:val="000000"/>
          <w:sz w:val="22"/>
          <w:szCs w:val="22"/>
        </w:rPr>
        <w:lastRenderedPageBreak/>
        <w:t>Table 1</w:t>
      </w:r>
    </w:p>
    <w:p w:rsidR="00B8587A" w:rsidRPr="00F552F0" w:rsidRDefault="00BF6193">
      <w:pPr>
        <w:rPr>
          <w:color w:val="000000"/>
          <w:sz w:val="22"/>
          <w:szCs w:val="22"/>
        </w:rPr>
      </w:pPr>
      <w:r w:rsidRPr="00F552F0">
        <w:rPr>
          <w:color w:val="000000"/>
          <w:sz w:val="22"/>
          <w:szCs w:val="22"/>
        </w:rPr>
        <w:t xml:space="preserve">Control </w:t>
      </w:r>
      <w:r w:rsidR="003C5B19" w:rsidRPr="00F552F0">
        <w:rPr>
          <w:color w:val="000000"/>
          <w:sz w:val="22"/>
          <w:szCs w:val="22"/>
        </w:rPr>
        <w:t>s</w:t>
      </w:r>
      <w:r w:rsidRPr="00F552F0">
        <w:rPr>
          <w:color w:val="000000"/>
          <w:sz w:val="22"/>
          <w:szCs w:val="22"/>
        </w:rPr>
        <w:t xml:space="preserve">tructure of </w:t>
      </w:r>
      <w:r w:rsidR="003C5B19" w:rsidRPr="00F552F0">
        <w:rPr>
          <w:color w:val="000000"/>
          <w:sz w:val="22"/>
          <w:szCs w:val="22"/>
        </w:rPr>
        <w:t>b</w:t>
      </w:r>
      <w:r w:rsidRPr="00F552F0">
        <w:rPr>
          <w:color w:val="000000"/>
          <w:sz w:val="22"/>
          <w:szCs w:val="22"/>
        </w:rPr>
        <w:t xml:space="preserve">anks across </w:t>
      </w:r>
      <w:r w:rsidR="003C5B19" w:rsidRPr="00F552F0">
        <w:rPr>
          <w:color w:val="000000"/>
          <w:sz w:val="22"/>
          <w:szCs w:val="22"/>
        </w:rPr>
        <w:t>c</w:t>
      </w:r>
      <w:r w:rsidRPr="00F552F0">
        <w:rPr>
          <w:color w:val="000000"/>
          <w:sz w:val="22"/>
          <w:szCs w:val="22"/>
        </w:rPr>
        <w:t>ountries</w:t>
      </w:r>
    </w:p>
    <w:tbl>
      <w:tblPr>
        <w:tblW w:w="9648" w:type="dxa"/>
        <w:tblLayout w:type="fixed"/>
        <w:tblLook w:val="01E0" w:firstRow="1" w:lastRow="1" w:firstColumn="1" w:lastColumn="1" w:noHBand="0" w:noVBand="0"/>
      </w:tblPr>
      <w:tblGrid>
        <w:gridCol w:w="1608"/>
        <w:gridCol w:w="1608"/>
        <w:gridCol w:w="1608"/>
        <w:gridCol w:w="1608"/>
        <w:gridCol w:w="1608"/>
        <w:gridCol w:w="1608"/>
      </w:tblGrid>
      <w:tr w:rsidR="004C3644" w:rsidRPr="00F552F0" w:rsidTr="00D073CB">
        <w:trPr>
          <w:trHeight w:val="1152"/>
        </w:trPr>
        <w:tc>
          <w:tcPr>
            <w:tcW w:w="9648" w:type="dxa"/>
            <w:gridSpan w:val="6"/>
          </w:tcPr>
          <w:p w:rsidR="004C3644" w:rsidRPr="00F552F0" w:rsidRDefault="003C5B19" w:rsidP="00DF7A71">
            <w:pPr>
              <w:jc w:val="both"/>
              <w:rPr>
                <w:color w:val="000000"/>
                <w:sz w:val="20"/>
                <w:szCs w:val="20"/>
              </w:rPr>
            </w:pPr>
            <w:r w:rsidRPr="00F552F0">
              <w:rPr>
                <w:i/>
                <w:sz w:val="20"/>
                <w:szCs w:val="20"/>
              </w:rPr>
              <w:tab/>
            </w:r>
            <w:r w:rsidR="00B41A45" w:rsidRPr="00F552F0">
              <w:rPr>
                <w:sz w:val="20"/>
                <w:szCs w:val="20"/>
              </w:rPr>
              <w:t xml:space="preserve">We start with the 2001 global sample of 244 banks from </w:t>
            </w:r>
            <w:proofErr w:type="spellStart"/>
            <w:r w:rsidR="00B41A45" w:rsidRPr="00F552F0">
              <w:rPr>
                <w:sz w:val="20"/>
                <w:szCs w:val="20"/>
              </w:rPr>
              <w:t>Caprio</w:t>
            </w:r>
            <w:proofErr w:type="spellEnd"/>
            <w:r w:rsidR="00B41A45" w:rsidRPr="00F552F0">
              <w:rPr>
                <w:sz w:val="20"/>
                <w:szCs w:val="20"/>
              </w:rPr>
              <w:t xml:space="preserve"> et al. (2007). We augment these data to include every country’s ten largest banks, listed or unlisted, as ranked by 2001 assets in </w:t>
            </w:r>
            <w:r w:rsidR="00B41A45" w:rsidRPr="00F552F0">
              <w:rPr>
                <w:i/>
                <w:sz w:val="20"/>
                <w:szCs w:val="20"/>
              </w:rPr>
              <w:t>The Banker</w:t>
            </w:r>
            <w:r w:rsidR="00B41A45" w:rsidRPr="00F552F0">
              <w:rPr>
                <w:sz w:val="20"/>
                <w:szCs w:val="20"/>
              </w:rPr>
              <w:t xml:space="preserve"> (2001). If </w:t>
            </w:r>
            <w:r w:rsidR="00B41A45" w:rsidRPr="00F552F0">
              <w:rPr>
                <w:i/>
                <w:sz w:val="20"/>
                <w:szCs w:val="20"/>
              </w:rPr>
              <w:t>The Banker</w:t>
            </w:r>
            <w:r w:rsidR="00B41A45" w:rsidRPr="00F552F0">
              <w:rPr>
                <w:sz w:val="20"/>
                <w:szCs w:val="20"/>
              </w:rPr>
              <w:t xml:space="preserve"> lists fewer than ten large banks in a country, we add all those not already included but covered by </w:t>
            </w:r>
            <w:proofErr w:type="spellStart"/>
            <w:r w:rsidR="00B41A45" w:rsidRPr="00F552F0">
              <w:rPr>
                <w:sz w:val="20"/>
                <w:szCs w:val="20"/>
              </w:rPr>
              <w:t>Bankscope</w:t>
            </w:r>
            <w:proofErr w:type="spellEnd"/>
            <w:r w:rsidR="00B41A45" w:rsidRPr="00F552F0">
              <w:rPr>
                <w:sz w:val="20"/>
                <w:szCs w:val="20"/>
              </w:rPr>
              <w:t xml:space="preserve">. We are able to identify the controlling shareholder of 324 listed and unlisted banks. </w:t>
            </w:r>
            <w:r w:rsidR="004C3644" w:rsidRPr="00F552F0">
              <w:rPr>
                <w:sz w:val="20"/>
                <w:szCs w:val="20"/>
              </w:rPr>
              <w:t xml:space="preserve">Family, </w:t>
            </w:r>
            <w:r w:rsidR="004C3644" w:rsidRPr="00F552F0">
              <w:rPr>
                <w:i/>
                <w:sz w:val="20"/>
                <w:szCs w:val="20"/>
              </w:rPr>
              <w:t>state</w:t>
            </w:r>
            <w:r w:rsidRPr="00F552F0">
              <w:rPr>
                <w:i/>
                <w:sz w:val="20"/>
                <w:szCs w:val="20"/>
              </w:rPr>
              <w:t>,</w:t>
            </w:r>
            <w:r w:rsidR="004C3644" w:rsidRPr="00F552F0">
              <w:rPr>
                <w:sz w:val="20"/>
                <w:szCs w:val="20"/>
              </w:rPr>
              <w:t xml:space="preserve"> and </w:t>
            </w:r>
            <w:r w:rsidR="00392DB6" w:rsidRPr="00F552F0">
              <w:rPr>
                <w:i/>
                <w:sz w:val="20"/>
                <w:szCs w:val="20"/>
              </w:rPr>
              <w:t>widely held</w:t>
            </w:r>
            <w:r w:rsidR="004C3644" w:rsidRPr="00F552F0">
              <w:rPr>
                <w:sz w:val="20"/>
                <w:szCs w:val="20"/>
              </w:rPr>
              <w:t xml:space="preserve"> measure the fractions of banks (weighted by total credit) controlled by family groups, governments</w:t>
            </w:r>
            <w:r w:rsidRPr="00F552F0">
              <w:rPr>
                <w:sz w:val="20"/>
                <w:szCs w:val="20"/>
              </w:rPr>
              <w:t>,</w:t>
            </w:r>
            <w:r w:rsidR="004C3644" w:rsidRPr="00F552F0">
              <w:rPr>
                <w:sz w:val="20"/>
                <w:szCs w:val="20"/>
              </w:rPr>
              <w:t xml:space="preserve"> and neither, respectively. Control is presumed to lie with the largest </w:t>
            </w:r>
            <w:r w:rsidR="004C3644" w:rsidRPr="00F552F0">
              <w:rPr>
                <w:color w:val="000000"/>
                <w:sz w:val="20"/>
                <w:szCs w:val="20"/>
              </w:rPr>
              <w:t>voting block of</w:t>
            </w:r>
            <w:r w:rsidRPr="00F552F0">
              <w:rPr>
                <w:color w:val="000000"/>
                <w:sz w:val="20"/>
                <w:szCs w:val="20"/>
              </w:rPr>
              <w:t xml:space="preserve"> 10%</w:t>
            </w:r>
            <w:r w:rsidR="004C3644" w:rsidRPr="00F552F0">
              <w:rPr>
                <w:color w:val="000000"/>
                <w:sz w:val="20"/>
                <w:szCs w:val="20"/>
              </w:rPr>
              <w:t xml:space="preserve"> or more. If no such block exists, we classify the bank as </w:t>
            </w:r>
            <w:r w:rsidR="00392DB6" w:rsidRPr="00F552F0">
              <w:rPr>
                <w:i/>
                <w:color w:val="000000"/>
                <w:sz w:val="20"/>
                <w:szCs w:val="20"/>
              </w:rPr>
              <w:t>widely held</w:t>
            </w:r>
            <w:r w:rsidR="004C3644" w:rsidRPr="00F552F0">
              <w:rPr>
                <w:color w:val="000000"/>
                <w:sz w:val="20"/>
                <w:szCs w:val="20"/>
              </w:rPr>
              <w:t xml:space="preserve">. </w:t>
            </w:r>
            <w:r w:rsidR="004C3644" w:rsidRPr="00F552F0">
              <w:rPr>
                <w:i/>
                <w:color w:val="000000"/>
                <w:sz w:val="20"/>
                <w:szCs w:val="20"/>
              </w:rPr>
              <w:t>Code</w:t>
            </w:r>
            <w:r w:rsidR="004C3644" w:rsidRPr="00F552F0">
              <w:rPr>
                <w:color w:val="000000"/>
                <w:sz w:val="20"/>
                <w:szCs w:val="20"/>
              </w:rPr>
              <w:t xml:space="preserve"> abbreviates the country’s name in the graphs. See Table 3 for variable</w:t>
            </w:r>
            <w:r w:rsidR="00B31298" w:rsidRPr="00F552F0">
              <w:rPr>
                <w:color w:val="000000"/>
                <w:sz w:val="20"/>
                <w:szCs w:val="20"/>
              </w:rPr>
              <w:t xml:space="preserve"> definitions and sources. </w:t>
            </w:r>
          </w:p>
        </w:tc>
      </w:tr>
      <w:tr w:rsidR="004C3644" w:rsidRPr="00F552F0" w:rsidTr="00D073CB">
        <w:tc>
          <w:tcPr>
            <w:tcW w:w="1608" w:type="dxa"/>
            <w:tcBorders>
              <w:bottom w:val="single" w:sz="4" w:space="0" w:color="auto"/>
            </w:tcBorders>
            <w:vAlign w:val="center"/>
          </w:tcPr>
          <w:p w:rsidR="004C3644" w:rsidRPr="00F552F0" w:rsidRDefault="004C3644" w:rsidP="005C7424">
            <w:pPr>
              <w:jc w:val="center"/>
              <w:rPr>
                <w:i/>
                <w:sz w:val="20"/>
                <w:szCs w:val="20"/>
              </w:rPr>
            </w:pPr>
            <w:r w:rsidRPr="00F552F0">
              <w:rPr>
                <w:i/>
                <w:sz w:val="20"/>
                <w:szCs w:val="20"/>
              </w:rPr>
              <w:t>Country</w:t>
            </w:r>
          </w:p>
        </w:tc>
        <w:tc>
          <w:tcPr>
            <w:tcW w:w="1608" w:type="dxa"/>
            <w:tcBorders>
              <w:bottom w:val="single" w:sz="4" w:space="0" w:color="auto"/>
            </w:tcBorders>
            <w:vAlign w:val="center"/>
          </w:tcPr>
          <w:p w:rsidR="004C3644" w:rsidRPr="00F552F0" w:rsidRDefault="004C3644" w:rsidP="005C7424">
            <w:pPr>
              <w:autoSpaceDE w:val="0"/>
              <w:autoSpaceDN w:val="0"/>
              <w:adjustRightInd w:val="0"/>
              <w:jc w:val="center"/>
              <w:rPr>
                <w:i/>
                <w:color w:val="000000"/>
                <w:sz w:val="20"/>
                <w:szCs w:val="20"/>
              </w:rPr>
            </w:pPr>
            <w:r w:rsidRPr="00F552F0">
              <w:rPr>
                <w:i/>
                <w:color w:val="000000"/>
                <w:sz w:val="20"/>
                <w:szCs w:val="20"/>
              </w:rPr>
              <w:t>Code</w:t>
            </w:r>
          </w:p>
        </w:tc>
        <w:tc>
          <w:tcPr>
            <w:tcW w:w="1608" w:type="dxa"/>
            <w:tcBorders>
              <w:bottom w:val="single" w:sz="4" w:space="0" w:color="auto"/>
            </w:tcBorders>
            <w:vAlign w:val="center"/>
          </w:tcPr>
          <w:p w:rsidR="004C3644" w:rsidRPr="00F552F0" w:rsidRDefault="004C3644" w:rsidP="005C7424">
            <w:pPr>
              <w:jc w:val="center"/>
              <w:rPr>
                <w:i/>
                <w:sz w:val="20"/>
                <w:szCs w:val="20"/>
              </w:rPr>
            </w:pPr>
            <w:r w:rsidRPr="00F552F0">
              <w:rPr>
                <w:i/>
                <w:sz w:val="20"/>
                <w:szCs w:val="20"/>
              </w:rPr>
              <w:t>Family</w:t>
            </w:r>
          </w:p>
        </w:tc>
        <w:tc>
          <w:tcPr>
            <w:tcW w:w="1608" w:type="dxa"/>
            <w:tcBorders>
              <w:bottom w:val="single" w:sz="4" w:space="0" w:color="auto"/>
            </w:tcBorders>
            <w:vAlign w:val="center"/>
          </w:tcPr>
          <w:p w:rsidR="004C3644" w:rsidRPr="00F552F0" w:rsidRDefault="004C3644" w:rsidP="005C7424">
            <w:pPr>
              <w:jc w:val="center"/>
              <w:rPr>
                <w:i/>
                <w:sz w:val="20"/>
                <w:szCs w:val="20"/>
              </w:rPr>
            </w:pPr>
            <w:r w:rsidRPr="00F552F0">
              <w:rPr>
                <w:i/>
                <w:sz w:val="20"/>
                <w:szCs w:val="20"/>
              </w:rPr>
              <w:t>State</w:t>
            </w:r>
          </w:p>
        </w:tc>
        <w:tc>
          <w:tcPr>
            <w:tcW w:w="1608" w:type="dxa"/>
            <w:tcBorders>
              <w:bottom w:val="single" w:sz="4" w:space="0" w:color="auto"/>
            </w:tcBorders>
            <w:vAlign w:val="center"/>
          </w:tcPr>
          <w:p w:rsidR="004C3644" w:rsidRPr="00F552F0" w:rsidRDefault="00392DB6" w:rsidP="005C7424">
            <w:pPr>
              <w:jc w:val="center"/>
              <w:rPr>
                <w:i/>
                <w:sz w:val="20"/>
                <w:szCs w:val="20"/>
              </w:rPr>
            </w:pPr>
            <w:r w:rsidRPr="00F552F0">
              <w:rPr>
                <w:i/>
                <w:sz w:val="20"/>
                <w:szCs w:val="20"/>
              </w:rPr>
              <w:t>Widely held</w:t>
            </w:r>
          </w:p>
        </w:tc>
        <w:tc>
          <w:tcPr>
            <w:tcW w:w="1608" w:type="dxa"/>
            <w:tcBorders>
              <w:bottom w:val="single" w:sz="4" w:space="0" w:color="auto"/>
            </w:tcBorders>
            <w:vAlign w:val="center"/>
          </w:tcPr>
          <w:p w:rsidR="004C3644" w:rsidRPr="00F552F0" w:rsidRDefault="004C3644" w:rsidP="005C7424">
            <w:pPr>
              <w:jc w:val="center"/>
              <w:rPr>
                <w:i/>
                <w:sz w:val="20"/>
                <w:szCs w:val="20"/>
              </w:rPr>
            </w:pPr>
            <w:r w:rsidRPr="00F552F0">
              <w:rPr>
                <w:i/>
                <w:sz w:val="20"/>
                <w:szCs w:val="20"/>
              </w:rPr>
              <w:t># of Banks</w:t>
            </w:r>
          </w:p>
        </w:tc>
      </w:tr>
      <w:tr w:rsidR="004C3644" w:rsidRPr="00F552F0" w:rsidTr="00D073CB">
        <w:tc>
          <w:tcPr>
            <w:tcW w:w="1608" w:type="dxa"/>
            <w:tcBorders>
              <w:top w:val="single" w:sz="4" w:space="0" w:color="auto"/>
            </w:tcBorders>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Argentina</w:t>
                </w:r>
              </w:smartTag>
            </w:smartTag>
          </w:p>
        </w:tc>
        <w:tc>
          <w:tcPr>
            <w:tcW w:w="1608" w:type="dxa"/>
            <w:vAlign w:val="center"/>
          </w:tcPr>
          <w:p w:rsidR="004C3644" w:rsidRPr="00F552F0" w:rsidRDefault="004C3644" w:rsidP="005C7424">
            <w:pPr>
              <w:jc w:val="center"/>
              <w:rPr>
                <w:sz w:val="20"/>
                <w:szCs w:val="20"/>
              </w:rPr>
            </w:pPr>
            <w:r w:rsidRPr="00F552F0">
              <w:rPr>
                <w:sz w:val="20"/>
                <w:szCs w:val="20"/>
              </w:rPr>
              <w:t>AR</w:t>
            </w:r>
          </w:p>
        </w:tc>
        <w:tc>
          <w:tcPr>
            <w:tcW w:w="1608" w:type="dxa"/>
            <w:vAlign w:val="center"/>
          </w:tcPr>
          <w:p w:rsidR="004C3644" w:rsidRPr="00F552F0" w:rsidRDefault="004C3644" w:rsidP="005C7424">
            <w:pPr>
              <w:jc w:val="center"/>
              <w:rPr>
                <w:sz w:val="20"/>
                <w:szCs w:val="20"/>
              </w:rPr>
            </w:pPr>
            <w:r w:rsidRPr="00F552F0">
              <w:rPr>
                <w:sz w:val="20"/>
                <w:szCs w:val="20"/>
              </w:rPr>
              <w:t>0.40</w:t>
            </w:r>
          </w:p>
        </w:tc>
        <w:tc>
          <w:tcPr>
            <w:tcW w:w="1608" w:type="dxa"/>
            <w:tcBorders>
              <w:top w:val="single" w:sz="4" w:space="0" w:color="auto"/>
            </w:tcBorders>
            <w:vAlign w:val="center"/>
          </w:tcPr>
          <w:p w:rsidR="004C3644" w:rsidRPr="00F552F0" w:rsidRDefault="004C3644" w:rsidP="005C7424">
            <w:pPr>
              <w:jc w:val="center"/>
              <w:rPr>
                <w:sz w:val="20"/>
                <w:szCs w:val="20"/>
              </w:rPr>
            </w:pPr>
            <w:r w:rsidRPr="00F552F0">
              <w:rPr>
                <w:sz w:val="20"/>
                <w:szCs w:val="20"/>
              </w:rPr>
              <w:t>0.51</w:t>
            </w:r>
          </w:p>
        </w:tc>
        <w:tc>
          <w:tcPr>
            <w:tcW w:w="1608" w:type="dxa"/>
            <w:tcBorders>
              <w:top w:val="single" w:sz="4" w:space="0" w:color="auto"/>
            </w:tcBorders>
            <w:vAlign w:val="center"/>
          </w:tcPr>
          <w:p w:rsidR="004C3644" w:rsidRPr="00F552F0" w:rsidRDefault="004C3644" w:rsidP="005C7424">
            <w:pPr>
              <w:jc w:val="center"/>
              <w:rPr>
                <w:sz w:val="20"/>
                <w:szCs w:val="20"/>
              </w:rPr>
            </w:pPr>
            <w:r w:rsidRPr="00F552F0">
              <w:rPr>
                <w:sz w:val="20"/>
                <w:szCs w:val="20"/>
              </w:rPr>
              <w:t>0.10</w:t>
            </w:r>
          </w:p>
        </w:tc>
        <w:tc>
          <w:tcPr>
            <w:tcW w:w="1608" w:type="dxa"/>
            <w:tcBorders>
              <w:top w:val="single" w:sz="4" w:space="0" w:color="auto"/>
            </w:tcBorders>
            <w:vAlign w:val="center"/>
          </w:tcPr>
          <w:p w:rsidR="004C3644" w:rsidRPr="00F552F0" w:rsidRDefault="004C3644" w:rsidP="005C7424">
            <w:pPr>
              <w:jc w:val="center"/>
              <w:rPr>
                <w:sz w:val="20"/>
                <w:szCs w:val="20"/>
              </w:rPr>
            </w:pPr>
            <w:r w:rsidRPr="00F552F0">
              <w:rPr>
                <w:sz w:val="20"/>
                <w:szCs w:val="20"/>
              </w:rPr>
              <w:t>5</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Australia</w:t>
                </w:r>
              </w:smartTag>
            </w:smartTag>
          </w:p>
        </w:tc>
        <w:tc>
          <w:tcPr>
            <w:tcW w:w="1608" w:type="dxa"/>
            <w:vAlign w:val="center"/>
          </w:tcPr>
          <w:p w:rsidR="004C3644" w:rsidRPr="00F552F0" w:rsidRDefault="004C3644" w:rsidP="005C7424">
            <w:pPr>
              <w:jc w:val="center"/>
              <w:rPr>
                <w:sz w:val="20"/>
                <w:szCs w:val="20"/>
              </w:rPr>
            </w:pPr>
            <w:r w:rsidRPr="00F552F0">
              <w:rPr>
                <w:sz w:val="20"/>
                <w:szCs w:val="20"/>
              </w:rPr>
              <w:t>AU</w:t>
            </w:r>
          </w:p>
        </w:tc>
        <w:tc>
          <w:tcPr>
            <w:tcW w:w="1608" w:type="dxa"/>
            <w:vAlign w:val="center"/>
          </w:tcPr>
          <w:p w:rsidR="004C3644" w:rsidRPr="00F552F0" w:rsidRDefault="004C3644" w:rsidP="005C7424">
            <w:pPr>
              <w:jc w:val="center"/>
              <w:rPr>
                <w:sz w:val="20"/>
                <w:szCs w:val="20"/>
              </w:rPr>
            </w:pPr>
            <w:r w:rsidRPr="00F552F0">
              <w:rPr>
                <w:sz w:val="20"/>
                <w:szCs w:val="20"/>
              </w:rPr>
              <w:t>0.01</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0.99</w:t>
            </w:r>
          </w:p>
        </w:tc>
        <w:tc>
          <w:tcPr>
            <w:tcW w:w="1608" w:type="dxa"/>
            <w:vAlign w:val="center"/>
          </w:tcPr>
          <w:p w:rsidR="004C3644" w:rsidRPr="00F552F0" w:rsidRDefault="004C3644" w:rsidP="005C7424">
            <w:pPr>
              <w:jc w:val="center"/>
              <w:rPr>
                <w:sz w:val="20"/>
                <w:szCs w:val="20"/>
              </w:rPr>
            </w:pPr>
            <w:r w:rsidRPr="00F552F0">
              <w:rPr>
                <w:sz w:val="20"/>
                <w:szCs w:val="20"/>
              </w:rPr>
              <w:t>11</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Austria</w:t>
                </w:r>
              </w:smartTag>
            </w:smartTag>
          </w:p>
        </w:tc>
        <w:tc>
          <w:tcPr>
            <w:tcW w:w="1608" w:type="dxa"/>
            <w:vAlign w:val="center"/>
          </w:tcPr>
          <w:p w:rsidR="004C3644" w:rsidRPr="00F552F0" w:rsidRDefault="004C3644" w:rsidP="005C7424">
            <w:pPr>
              <w:jc w:val="center"/>
              <w:rPr>
                <w:sz w:val="20"/>
                <w:szCs w:val="20"/>
              </w:rPr>
            </w:pPr>
            <w:r w:rsidRPr="00F552F0">
              <w:rPr>
                <w:sz w:val="20"/>
                <w:szCs w:val="20"/>
              </w:rPr>
              <w:t>AT</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6</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Brazil</w:t>
                </w:r>
              </w:smartTag>
            </w:smartTag>
          </w:p>
        </w:tc>
        <w:tc>
          <w:tcPr>
            <w:tcW w:w="1608" w:type="dxa"/>
            <w:vAlign w:val="center"/>
          </w:tcPr>
          <w:p w:rsidR="004C3644" w:rsidRPr="00F552F0" w:rsidRDefault="004C3644" w:rsidP="005C7424">
            <w:pPr>
              <w:jc w:val="center"/>
              <w:rPr>
                <w:sz w:val="20"/>
                <w:szCs w:val="20"/>
              </w:rPr>
            </w:pPr>
            <w:r w:rsidRPr="00F552F0">
              <w:rPr>
                <w:sz w:val="20"/>
                <w:szCs w:val="20"/>
              </w:rPr>
              <w:t>BR</w:t>
            </w:r>
          </w:p>
        </w:tc>
        <w:tc>
          <w:tcPr>
            <w:tcW w:w="1608" w:type="dxa"/>
            <w:vAlign w:val="center"/>
          </w:tcPr>
          <w:p w:rsidR="004C3644" w:rsidRPr="00F552F0" w:rsidRDefault="004C3644" w:rsidP="005C7424">
            <w:pPr>
              <w:jc w:val="center"/>
              <w:rPr>
                <w:sz w:val="20"/>
                <w:szCs w:val="20"/>
              </w:rPr>
            </w:pPr>
            <w:r w:rsidRPr="00F552F0">
              <w:rPr>
                <w:sz w:val="20"/>
                <w:szCs w:val="20"/>
              </w:rPr>
              <w:t>0.59</w:t>
            </w:r>
          </w:p>
        </w:tc>
        <w:tc>
          <w:tcPr>
            <w:tcW w:w="1608" w:type="dxa"/>
            <w:vAlign w:val="center"/>
          </w:tcPr>
          <w:p w:rsidR="004C3644" w:rsidRPr="00F552F0" w:rsidRDefault="004C3644" w:rsidP="005C7424">
            <w:pPr>
              <w:jc w:val="center"/>
              <w:rPr>
                <w:sz w:val="20"/>
                <w:szCs w:val="20"/>
              </w:rPr>
            </w:pPr>
            <w:r w:rsidRPr="00F552F0">
              <w:rPr>
                <w:sz w:val="20"/>
                <w:szCs w:val="20"/>
              </w:rPr>
              <w:t>0.27</w:t>
            </w:r>
          </w:p>
        </w:tc>
        <w:tc>
          <w:tcPr>
            <w:tcW w:w="1608" w:type="dxa"/>
            <w:vAlign w:val="center"/>
          </w:tcPr>
          <w:p w:rsidR="004C3644" w:rsidRPr="00F552F0" w:rsidRDefault="004C3644" w:rsidP="005C7424">
            <w:pPr>
              <w:jc w:val="center"/>
              <w:rPr>
                <w:sz w:val="20"/>
                <w:szCs w:val="20"/>
              </w:rPr>
            </w:pPr>
            <w:r w:rsidRPr="00F552F0">
              <w:rPr>
                <w:sz w:val="20"/>
                <w:szCs w:val="20"/>
              </w:rPr>
              <w:t>0.13</w:t>
            </w:r>
          </w:p>
        </w:tc>
        <w:tc>
          <w:tcPr>
            <w:tcW w:w="1608" w:type="dxa"/>
            <w:vAlign w:val="center"/>
          </w:tcPr>
          <w:p w:rsidR="004C3644" w:rsidRPr="00F552F0" w:rsidRDefault="004C3644" w:rsidP="005C7424">
            <w:pPr>
              <w:jc w:val="center"/>
              <w:rPr>
                <w:sz w:val="20"/>
                <w:szCs w:val="20"/>
              </w:rPr>
            </w:pPr>
            <w:r w:rsidRPr="00F552F0">
              <w:rPr>
                <w:sz w:val="20"/>
                <w:szCs w:val="20"/>
              </w:rPr>
              <w:t>12</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Canada</w:t>
                </w:r>
              </w:smartTag>
            </w:smartTag>
          </w:p>
        </w:tc>
        <w:tc>
          <w:tcPr>
            <w:tcW w:w="1608" w:type="dxa"/>
            <w:vAlign w:val="center"/>
          </w:tcPr>
          <w:p w:rsidR="004C3644" w:rsidRPr="00F552F0" w:rsidRDefault="004C3644" w:rsidP="005C7424">
            <w:pPr>
              <w:jc w:val="center"/>
              <w:rPr>
                <w:sz w:val="20"/>
                <w:szCs w:val="20"/>
              </w:rPr>
            </w:pPr>
            <w:r w:rsidRPr="00F552F0">
              <w:rPr>
                <w:sz w:val="20"/>
                <w:szCs w:val="20"/>
              </w:rPr>
              <w:t>CA</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Chile</w:t>
                </w:r>
              </w:smartTag>
            </w:smartTag>
          </w:p>
        </w:tc>
        <w:tc>
          <w:tcPr>
            <w:tcW w:w="1608" w:type="dxa"/>
            <w:vAlign w:val="center"/>
          </w:tcPr>
          <w:p w:rsidR="004C3644" w:rsidRPr="00F552F0" w:rsidRDefault="004C3644" w:rsidP="005C7424">
            <w:pPr>
              <w:jc w:val="center"/>
              <w:rPr>
                <w:sz w:val="20"/>
                <w:szCs w:val="20"/>
              </w:rPr>
            </w:pPr>
            <w:r w:rsidRPr="00F552F0">
              <w:rPr>
                <w:sz w:val="20"/>
                <w:szCs w:val="20"/>
              </w:rPr>
              <w:t>CL</w:t>
            </w:r>
          </w:p>
        </w:tc>
        <w:tc>
          <w:tcPr>
            <w:tcW w:w="1608" w:type="dxa"/>
            <w:vAlign w:val="center"/>
          </w:tcPr>
          <w:p w:rsidR="004C3644" w:rsidRPr="00F552F0" w:rsidRDefault="004C3644" w:rsidP="005C7424">
            <w:pPr>
              <w:jc w:val="center"/>
              <w:rPr>
                <w:sz w:val="20"/>
                <w:szCs w:val="20"/>
              </w:rPr>
            </w:pPr>
            <w:r w:rsidRPr="00F552F0">
              <w:rPr>
                <w:sz w:val="20"/>
                <w:szCs w:val="20"/>
              </w:rPr>
              <w:t>0.71</w:t>
            </w:r>
          </w:p>
        </w:tc>
        <w:tc>
          <w:tcPr>
            <w:tcW w:w="1608" w:type="dxa"/>
            <w:vAlign w:val="center"/>
          </w:tcPr>
          <w:p w:rsidR="004C3644" w:rsidRPr="00F552F0" w:rsidRDefault="004C3644" w:rsidP="005C7424">
            <w:pPr>
              <w:jc w:val="center"/>
              <w:rPr>
                <w:sz w:val="20"/>
                <w:szCs w:val="20"/>
              </w:rPr>
            </w:pPr>
            <w:r w:rsidRPr="00F552F0">
              <w:rPr>
                <w:sz w:val="20"/>
                <w:szCs w:val="20"/>
              </w:rPr>
              <w:t>0.29</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5</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Colombia</w:t>
                </w:r>
              </w:smartTag>
            </w:smartTag>
          </w:p>
        </w:tc>
        <w:tc>
          <w:tcPr>
            <w:tcW w:w="1608" w:type="dxa"/>
            <w:vAlign w:val="center"/>
          </w:tcPr>
          <w:p w:rsidR="004C3644" w:rsidRPr="00F552F0" w:rsidRDefault="004C3644" w:rsidP="005C7424">
            <w:pPr>
              <w:jc w:val="center"/>
              <w:rPr>
                <w:sz w:val="20"/>
                <w:szCs w:val="20"/>
              </w:rPr>
            </w:pPr>
            <w:r w:rsidRPr="00F552F0">
              <w:rPr>
                <w:sz w:val="20"/>
                <w:szCs w:val="20"/>
              </w:rPr>
              <w:t>CO</w:t>
            </w:r>
          </w:p>
        </w:tc>
        <w:tc>
          <w:tcPr>
            <w:tcW w:w="1608" w:type="dxa"/>
            <w:vAlign w:val="center"/>
          </w:tcPr>
          <w:p w:rsidR="004C3644" w:rsidRPr="00F552F0" w:rsidRDefault="004C3644" w:rsidP="005C7424">
            <w:pPr>
              <w:jc w:val="center"/>
              <w:rPr>
                <w:sz w:val="20"/>
                <w:szCs w:val="20"/>
              </w:rPr>
            </w:pPr>
            <w:r w:rsidRPr="00F552F0">
              <w:rPr>
                <w:sz w:val="20"/>
                <w:szCs w:val="20"/>
              </w:rPr>
              <w:t>0.41</w:t>
            </w:r>
          </w:p>
        </w:tc>
        <w:tc>
          <w:tcPr>
            <w:tcW w:w="1608" w:type="dxa"/>
            <w:vAlign w:val="center"/>
          </w:tcPr>
          <w:p w:rsidR="004C3644" w:rsidRPr="00F552F0" w:rsidRDefault="004C3644" w:rsidP="005C7424">
            <w:pPr>
              <w:jc w:val="center"/>
              <w:rPr>
                <w:sz w:val="20"/>
                <w:szCs w:val="20"/>
              </w:rPr>
            </w:pPr>
            <w:r w:rsidRPr="00F552F0">
              <w:rPr>
                <w:sz w:val="20"/>
                <w:szCs w:val="20"/>
              </w:rPr>
              <w:t>0.18</w:t>
            </w:r>
          </w:p>
        </w:tc>
        <w:tc>
          <w:tcPr>
            <w:tcW w:w="1608" w:type="dxa"/>
            <w:vAlign w:val="center"/>
          </w:tcPr>
          <w:p w:rsidR="004C3644" w:rsidRPr="00F552F0" w:rsidRDefault="004C3644" w:rsidP="005C7424">
            <w:pPr>
              <w:jc w:val="center"/>
              <w:rPr>
                <w:sz w:val="20"/>
                <w:szCs w:val="20"/>
              </w:rPr>
            </w:pPr>
            <w:r w:rsidRPr="00F552F0">
              <w:rPr>
                <w:sz w:val="20"/>
                <w:szCs w:val="20"/>
              </w:rPr>
              <w:t>0.41</w:t>
            </w:r>
          </w:p>
        </w:tc>
        <w:tc>
          <w:tcPr>
            <w:tcW w:w="1608" w:type="dxa"/>
            <w:vAlign w:val="center"/>
          </w:tcPr>
          <w:p w:rsidR="004C3644" w:rsidRPr="00F552F0" w:rsidRDefault="004C3644" w:rsidP="005C7424">
            <w:pPr>
              <w:jc w:val="center"/>
              <w:rPr>
                <w:sz w:val="20"/>
                <w:szCs w:val="20"/>
              </w:rPr>
            </w:pPr>
            <w:r w:rsidRPr="00F552F0">
              <w:rPr>
                <w:sz w:val="20"/>
                <w:szCs w:val="20"/>
              </w:rPr>
              <w:t>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Denmark</w:t>
                </w:r>
              </w:smartTag>
            </w:smartTag>
          </w:p>
        </w:tc>
        <w:tc>
          <w:tcPr>
            <w:tcW w:w="1608" w:type="dxa"/>
            <w:vAlign w:val="center"/>
          </w:tcPr>
          <w:p w:rsidR="004C3644" w:rsidRPr="00F552F0" w:rsidRDefault="004C3644" w:rsidP="005C7424">
            <w:pPr>
              <w:jc w:val="center"/>
              <w:rPr>
                <w:sz w:val="20"/>
                <w:szCs w:val="20"/>
              </w:rPr>
            </w:pPr>
            <w:r w:rsidRPr="00F552F0">
              <w:rPr>
                <w:sz w:val="20"/>
                <w:szCs w:val="20"/>
              </w:rPr>
              <w:t>DK</w:t>
            </w:r>
          </w:p>
        </w:tc>
        <w:tc>
          <w:tcPr>
            <w:tcW w:w="1608" w:type="dxa"/>
            <w:vAlign w:val="center"/>
          </w:tcPr>
          <w:p w:rsidR="004C3644" w:rsidRPr="00F552F0" w:rsidRDefault="004C3644" w:rsidP="005C7424">
            <w:pPr>
              <w:jc w:val="center"/>
              <w:rPr>
                <w:sz w:val="20"/>
                <w:szCs w:val="20"/>
              </w:rPr>
            </w:pPr>
            <w:r w:rsidRPr="00F552F0">
              <w:rPr>
                <w:sz w:val="20"/>
                <w:szCs w:val="20"/>
              </w:rPr>
              <w:t>0.01</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0.99</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Egypt</w:t>
                </w:r>
              </w:smartTag>
            </w:smartTag>
          </w:p>
        </w:tc>
        <w:tc>
          <w:tcPr>
            <w:tcW w:w="1608" w:type="dxa"/>
            <w:vAlign w:val="center"/>
          </w:tcPr>
          <w:p w:rsidR="004C3644" w:rsidRPr="00F552F0" w:rsidRDefault="004C3644" w:rsidP="005C7424">
            <w:pPr>
              <w:jc w:val="center"/>
              <w:rPr>
                <w:sz w:val="20"/>
                <w:szCs w:val="20"/>
              </w:rPr>
            </w:pPr>
            <w:r w:rsidRPr="00F552F0">
              <w:rPr>
                <w:sz w:val="20"/>
                <w:szCs w:val="20"/>
              </w:rPr>
              <w:t>EG</w:t>
            </w:r>
          </w:p>
        </w:tc>
        <w:tc>
          <w:tcPr>
            <w:tcW w:w="1608" w:type="dxa"/>
            <w:vAlign w:val="center"/>
          </w:tcPr>
          <w:p w:rsidR="004C3644" w:rsidRPr="00F552F0" w:rsidRDefault="004C3644" w:rsidP="005C7424">
            <w:pPr>
              <w:jc w:val="center"/>
              <w:rPr>
                <w:sz w:val="20"/>
                <w:szCs w:val="20"/>
              </w:rPr>
            </w:pPr>
            <w:r w:rsidRPr="00F552F0">
              <w:rPr>
                <w:sz w:val="20"/>
                <w:szCs w:val="20"/>
              </w:rPr>
              <w:t>0.02</w:t>
            </w:r>
          </w:p>
        </w:tc>
        <w:tc>
          <w:tcPr>
            <w:tcW w:w="1608" w:type="dxa"/>
            <w:vAlign w:val="center"/>
          </w:tcPr>
          <w:p w:rsidR="004C3644" w:rsidRPr="00F552F0" w:rsidRDefault="004C3644" w:rsidP="005C7424">
            <w:pPr>
              <w:jc w:val="center"/>
              <w:rPr>
                <w:sz w:val="20"/>
                <w:szCs w:val="20"/>
              </w:rPr>
            </w:pPr>
            <w:r w:rsidRPr="00F552F0">
              <w:rPr>
                <w:sz w:val="20"/>
                <w:szCs w:val="20"/>
              </w:rPr>
              <w:t>0.98</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Finland</w:t>
                </w:r>
              </w:smartTag>
            </w:smartTag>
          </w:p>
        </w:tc>
        <w:tc>
          <w:tcPr>
            <w:tcW w:w="1608" w:type="dxa"/>
            <w:vAlign w:val="center"/>
          </w:tcPr>
          <w:p w:rsidR="004C3644" w:rsidRPr="00F552F0" w:rsidRDefault="004C3644" w:rsidP="005C7424">
            <w:pPr>
              <w:jc w:val="center"/>
              <w:rPr>
                <w:sz w:val="20"/>
                <w:szCs w:val="20"/>
              </w:rPr>
            </w:pPr>
            <w:r w:rsidRPr="00F552F0">
              <w:rPr>
                <w:sz w:val="20"/>
                <w:szCs w:val="20"/>
              </w:rPr>
              <w:t>FI</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1</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France</w:t>
                </w:r>
              </w:smartTag>
            </w:smartTag>
          </w:p>
        </w:tc>
        <w:tc>
          <w:tcPr>
            <w:tcW w:w="1608" w:type="dxa"/>
            <w:vAlign w:val="center"/>
          </w:tcPr>
          <w:p w:rsidR="004C3644" w:rsidRPr="00F552F0" w:rsidRDefault="004C3644" w:rsidP="005C7424">
            <w:pPr>
              <w:jc w:val="center"/>
              <w:rPr>
                <w:sz w:val="20"/>
                <w:szCs w:val="20"/>
              </w:rPr>
            </w:pPr>
            <w:r w:rsidRPr="00F552F0">
              <w:rPr>
                <w:sz w:val="20"/>
                <w:szCs w:val="20"/>
              </w:rPr>
              <w:t>FR</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8</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Germany</w:t>
                </w:r>
              </w:smartTag>
            </w:smartTag>
          </w:p>
        </w:tc>
        <w:tc>
          <w:tcPr>
            <w:tcW w:w="1608" w:type="dxa"/>
            <w:vAlign w:val="center"/>
          </w:tcPr>
          <w:p w:rsidR="004C3644" w:rsidRPr="00F552F0" w:rsidRDefault="004C3644" w:rsidP="005C7424">
            <w:pPr>
              <w:jc w:val="center"/>
              <w:rPr>
                <w:sz w:val="20"/>
                <w:szCs w:val="20"/>
              </w:rPr>
            </w:pPr>
            <w:r w:rsidRPr="00F552F0">
              <w:rPr>
                <w:sz w:val="20"/>
                <w:szCs w:val="20"/>
              </w:rPr>
              <w:t>DE</w:t>
            </w:r>
          </w:p>
        </w:tc>
        <w:tc>
          <w:tcPr>
            <w:tcW w:w="1608" w:type="dxa"/>
            <w:vAlign w:val="center"/>
          </w:tcPr>
          <w:p w:rsidR="004C3644" w:rsidRPr="00F552F0" w:rsidRDefault="004C3644" w:rsidP="005C7424">
            <w:pPr>
              <w:jc w:val="center"/>
              <w:rPr>
                <w:sz w:val="20"/>
                <w:szCs w:val="20"/>
              </w:rPr>
            </w:pPr>
            <w:r w:rsidRPr="00F552F0">
              <w:rPr>
                <w:sz w:val="20"/>
                <w:szCs w:val="20"/>
              </w:rPr>
              <w:t>0.14</w:t>
            </w:r>
          </w:p>
        </w:tc>
        <w:tc>
          <w:tcPr>
            <w:tcW w:w="1608" w:type="dxa"/>
            <w:vAlign w:val="center"/>
          </w:tcPr>
          <w:p w:rsidR="004C3644" w:rsidRPr="00F552F0" w:rsidRDefault="004C3644" w:rsidP="005C7424">
            <w:pPr>
              <w:jc w:val="center"/>
              <w:rPr>
                <w:sz w:val="20"/>
                <w:szCs w:val="20"/>
              </w:rPr>
            </w:pPr>
            <w:r w:rsidRPr="00F552F0">
              <w:rPr>
                <w:sz w:val="20"/>
                <w:szCs w:val="20"/>
              </w:rPr>
              <w:t>0.24</w:t>
            </w:r>
          </w:p>
        </w:tc>
        <w:tc>
          <w:tcPr>
            <w:tcW w:w="1608" w:type="dxa"/>
            <w:vAlign w:val="center"/>
          </w:tcPr>
          <w:p w:rsidR="004C3644" w:rsidRPr="00F552F0" w:rsidRDefault="004C3644" w:rsidP="005C7424">
            <w:pPr>
              <w:jc w:val="center"/>
              <w:rPr>
                <w:sz w:val="20"/>
                <w:szCs w:val="20"/>
              </w:rPr>
            </w:pPr>
            <w:r w:rsidRPr="00F552F0">
              <w:rPr>
                <w:sz w:val="20"/>
                <w:szCs w:val="20"/>
              </w:rPr>
              <w:t>0.62</w:t>
            </w:r>
          </w:p>
        </w:tc>
        <w:tc>
          <w:tcPr>
            <w:tcW w:w="1608" w:type="dxa"/>
            <w:vAlign w:val="center"/>
          </w:tcPr>
          <w:p w:rsidR="004C3644" w:rsidRPr="00F552F0" w:rsidRDefault="004C3644" w:rsidP="005C7424">
            <w:pPr>
              <w:jc w:val="center"/>
              <w:rPr>
                <w:sz w:val="20"/>
                <w:szCs w:val="20"/>
              </w:rPr>
            </w:pPr>
            <w:r w:rsidRPr="00F552F0">
              <w:rPr>
                <w:sz w:val="20"/>
                <w:szCs w:val="20"/>
              </w:rPr>
              <w:t>8</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Greece</w:t>
                </w:r>
              </w:smartTag>
            </w:smartTag>
          </w:p>
        </w:tc>
        <w:tc>
          <w:tcPr>
            <w:tcW w:w="1608" w:type="dxa"/>
            <w:vAlign w:val="center"/>
          </w:tcPr>
          <w:p w:rsidR="004C3644" w:rsidRPr="00F552F0" w:rsidRDefault="004C3644" w:rsidP="005C7424">
            <w:pPr>
              <w:jc w:val="center"/>
              <w:rPr>
                <w:sz w:val="20"/>
                <w:szCs w:val="20"/>
              </w:rPr>
            </w:pPr>
            <w:r w:rsidRPr="00F552F0">
              <w:rPr>
                <w:sz w:val="20"/>
                <w:szCs w:val="20"/>
              </w:rPr>
              <w:t>GR</w:t>
            </w:r>
          </w:p>
        </w:tc>
        <w:tc>
          <w:tcPr>
            <w:tcW w:w="1608" w:type="dxa"/>
            <w:vAlign w:val="center"/>
          </w:tcPr>
          <w:p w:rsidR="004C3644" w:rsidRPr="00F552F0" w:rsidRDefault="004C3644" w:rsidP="005C7424">
            <w:pPr>
              <w:jc w:val="center"/>
              <w:rPr>
                <w:sz w:val="20"/>
                <w:szCs w:val="20"/>
              </w:rPr>
            </w:pPr>
            <w:r w:rsidRPr="00F552F0">
              <w:rPr>
                <w:sz w:val="20"/>
                <w:szCs w:val="20"/>
              </w:rPr>
              <w:t>0.36</w:t>
            </w:r>
          </w:p>
        </w:tc>
        <w:tc>
          <w:tcPr>
            <w:tcW w:w="1608" w:type="dxa"/>
            <w:vAlign w:val="center"/>
          </w:tcPr>
          <w:p w:rsidR="004C3644" w:rsidRPr="00F552F0" w:rsidRDefault="004C3644" w:rsidP="005C7424">
            <w:pPr>
              <w:jc w:val="center"/>
              <w:rPr>
                <w:sz w:val="20"/>
                <w:szCs w:val="20"/>
              </w:rPr>
            </w:pPr>
            <w:r w:rsidRPr="00F552F0">
              <w:rPr>
                <w:sz w:val="20"/>
                <w:szCs w:val="20"/>
              </w:rPr>
              <w:t>0.56</w:t>
            </w:r>
          </w:p>
        </w:tc>
        <w:tc>
          <w:tcPr>
            <w:tcW w:w="1608" w:type="dxa"/>
            <w:vAlign w:val="center"/>
          </w:tcPr>
          <w:p w:rsidR="004C3644" w:rsidRPr="00F552F0" w:rsidRDefault="004C3644" w:rsidP="005C7424">
            <w:pPr>
              <w:jc w:val="center"/>
              <w:rPr>
                <w:sz w:val="20"/>
                <w:szCs w:val="20"/>
              </w:rPr>
            </w:pPr>
            <w:r w:rsidRPr="00F552F0">
              <w:rPr>
                <w:sz w:val="20"/>
                <w:szCs w:val="20"/>
              </w:rPr>
              <w:t>0.08</w:t>
            </w:r>
          </w:p>
        </w:tc>
        <w:tc>
          <w:tcPr>
            <w:tcW w:w="1608" w:type="dxa"/>
            <w:vAlign w:val="center"/>
          </w:tcPr>
          <w:p w:rsidR="004C3644" w:rsidRPr="00F552F0" w:rsidRDefault="004C3644" w:rsidP="005C7424">
            <w:pPr>
              <w:jc w:val="center"/>
              <w:rPr>
                <w:sz w:val="20"/>
                <w:szCs w:val="20"/>
              </w:rPr>
            </w:pPr>
            <w:r w:rsidRPr="00F552F0">
              <w:rPr>
                <w:sz w:val="20"/>
                <w:szCs w:val="20"/>
              </w:rPr>
              <w:t>10</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r w:rsidRPr="00F552F0">
                <w:rPr>
                  <w:sz w:val="20"/>
                  <w:szCs w:val="20"/>
                </w:rPr>
                <w:t>Hong Kong</w:t>
              </w:r>
            </w:smartTag>
          </w:p>
        </w:tc>
        <w:tc>
          <w:tcPr>
            <w:tcW w:w="1608" w:type="dxa"/>
            <w:vAlign w:val="center"/>
          </w:tcPr>
          <w:p w:rsidR="004C3644" w:rsidRPr="00F552F0" w:rsidRDefault="004C3644" w:rsidP="005C7424">
            <w:pPr>
              <w:jc w:val="center"/>
              <w:rPr>
                <w:sz w:val="20"/>
                <w:szCs w:val="20"/>
              </w:rPr>
            </w:pPr>
            <w:r w:rsidRPr="00F552F0">
              <w:rPr>
                <w:sz w:val="20"/>
                <w:szCs w:val="20"/>
              </w:rPr>
              <w:t>HK</w:t>
            </w:r>
          </w:p>
        </w:tc>
        <w:tc>
          <w:tcPr>
            <w:tcW w:w="1608" w:type="dxa"/>
            <w:vAlign w:val="center"/>
          </w:tcPr>
          <w:p w:rsidR="004C3644" w:rsidRPr="00F552F0" w:rsidRDefault="004C3644" w:rsidP="005C7424">
            <w:pPr>
              <w:jc w:val="center"/>
              <w:rPr>
                <w:sz w:val="20"/>
                <w:szCs w:val="20"/>
              </w:rPr>
            </w:pPr>
            <w:r w:rsidRPr="00F552F0">
              <w:rPr>
                <w:sz w:val="20"/>
                <w:szCs w:val="20"/>
              </w:rPr>
              <w:t>0.27</w:t>
            </w:r>
          </w:p>
        </w:tc>
        <w:tc>
          <w:tcPr>
            <w:tcW w:w="1608" w:type="dxa"/>
            <w:vAlign w:val="center"/>
          </w:tcPr>
          <w:p w:rsidR="004C3644" w:rsidRPr="00F552F0" w:rsidRDefault="004C3644" w:rsidP="005C7424">
            <w:pPr>
              <w:jc w:val="center"/>
              <w:rPr>
                <w:sz w:val="20"/>
                <w:szCs w:val="20"/>
              </w:rPr>
            </w:pPr>
            <w:r w:rsidRPr="00F552F0">
              <w:rPr>
                <w:sz w:val="20"/>
                <w:szCs w:val="20"/>
              </w:rPr>
              <w:t>0.08</w:t>
            </w:r>
          </w:p>
        </w:tc>
        <w:tc>
          <w:tcPr>
            <w:tcW w:w="1608" w:type="dxa"/>
            <w:vAlign w:val="center"/>
          </w:tcPr>
          <w:p w:rsidR="004C3644" w:rsidRPr="00F552F0" w:rsidRDefault="004C3644" w:rsidP="005C7424">
            <w:pPr>
              <w:jc w:val="center"/>
              <w:rPr>
                <w:sz w:val="20"/>
                <w:szCs w:val="20"/>
              </w:rPr>
            </w:pPr>
            <w:r w:rsidRPr="00F552F0">
              <w:rPr>
                <w:sz w:val="20"/>
                <w:szCs w:val="20"/>
              </w:rPr>
              <w:t>0.65</w:t>
            </w:r>
          </w:p>
        </w:tc>
        <w:tc>
          <w:tcPr>
            <w:tcW w:w="1608" w:type="dxa"/>
            <w:vAlign w:val="center"/>
          </w:tcPr>
          <w:p w:rsidR="004C3644" w:rsidRPr="00F552F0" w:rsidRDefault="004C3644" w:rsidP="005C7424">
            <w:pPr>
              <w:jc w:val="center"/>
              <w:rPr>
                <w:sz w:val="20"/>
                <w:szCs w:val="20"/>
              </w:rPr>
            </w:pPr>
            <w:r w:rsidRPr="00F552F0">
              <w:rPr>
                <w:sz w:val="20"/>
                <w:szCs w:val="20"/>
              </w:rPr>
              <w:t>7</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India</w:t>
                </w:r>
              </w:smartTag>
            </w:smartTag>
          </w:p>
        </w:tc>
        <w:tc>
          <w:tcPr>
            <w:tcW w:w="1608" w:type="dxa"/>
            <w:vAlign w:val="center"/>
          </w:tcPr>
          <w:p w:rsidR="004C3644" w:rsidRPr="00F552F0" w:rsidRDefault="004C3644" w:rsidP="005C7424">
            <w:pPr>
              <w:jc w:val="center"/>
              <w:rPr>
                <w:sz w:val="20"/>
                <w:szCs w:val="20"/>
              </w:rPr>
            </w:pPr>
            <w:r w:rsidRPr="00F552F0">
              <w:rPr>
                <w:sz w:val="20"/>
                <w:szCs w:val="20"/>
              </w:rPr>
              <w:t>IN</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13</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Indonesia</w:t>
                </w:r>
              </w:smartTag>
            </w:smartTag>
          </w:p>
        </w:tc>
        <w:tc>
          <w:tcPr>
            <w:tcW w:w="1608" w:type="dxa"/>
            <w:vAlign w:val="center"/>
          </w:tcPr>
          <w:p w:rsidR="004C3644" w:rsidRPr="00F552F0" w:rsidRDefault="004C3644" w:rsidP="005C7424">
            <w:pPr>
              <w:jc w:val="center"/>
              <w:rPr>
                <w:sz w:val="20"/>
                <w:szCs w:val="20"/>
              </w:rPr>
            </w:pPr>
            <w:r w:rsidRPr="00F552F0">
              <w:rPr>
                <w:sz w:val="20"/>
                <w:szCs w:val="20"/>
              </w:rPr>
              <w:t>ID</w:t>
            </w:r>
          </w:p>
        </w:tc>
        <w:tc>
          <w:tcPr>
            <w:tcW w:w="1608" w:type="dxa"/>
            <w:vAlign w:val="center"/>
          </w:tcPr>
          <w:p w:rsidR="004C3644" w:rsidRPr="00F552F0" w:rsidRDefault="004C3644" w:rsidP="005C7424">
            <w:pPr>
              <w:jc w:val="center"/>
              <w:rPr>
                <w:sz w:val="20"/>
                <w:szCs w:val="20"/>
              </w:rPr>
            </w:pPr>
            <w:r w:rsidRPr="00F552F0">
              <w:rPr>
                <w:sz w:val="20"/>
                <w:szCs w:val="20"/>
              </w:rPr>
              <w:t>0.04</w:t>
            </w:r>
          </w:p>
        </w:tc>
        <w:tc>
          <w:tcPr>
            <w:tcW w:w="1608" w:type="dxa"/>
            <w:vAlign w:val="center"/>
          </w:tcPr>
          <w:p w:rsidR="004C3644" w:rsidRPr="00F552F0" w:rsidRDefault="004C3644" w:rsidP="005C7424">
            <w:pPr>
              <w:jc w:val="center"/>
              <w:rPr>
                <w:sz w:val="20"/>
                <w:szCs w:val="20"/>
              </w:rPr>
            </w:pPr>
            <w:r w:rsidRPr="00F552F0">
              <w:rPr>
                <w:sz w:val="20"/>
                <w:szCs w:val="20"/>
              </w:rPr>
              <w:t>0.91</w:t>
            </w:r>
          </w:p>
        </w:tc>
        <w:tc>
          <w:tcPr>
            <w:tcW w:w="1608" w:type="dxa"/>
            <w:vAlign w:val="center"/>
          </w:tcPr>
          <w:p w:rsidR="004C3644" w:rsidRPr="00F552F0" w:rsidRDefault="004C3644" w:rsidP="005C7424">
            <w:pPr>
              <w:jc w:val="center"/>
              <w:rPr>
                <w:sz w:val="20"/>
                <w:szCs w:val="20"/>
              </w:rPr>
            </w:pPr>
            <w:r w:rsidRPr="00F552F0">
              <w:rPr>
                <w:sz w:val="20"/>
                <w:szCs w:val="20"/>
              </w:rPr>
              <w:t>0.05</w:t>
            </w:r>
          </w:p>
        </w:tc>
        <w:tc>
          <w:tcPr>
            <w:tcW w:w="1608" w:type="dxa"/>
            <w:vAlign w:val="center"/>
          </w:tcPr>
          <w:p w:rsidR="004C3644" w:rsidRPr="00F552F0" w:rsidRDefault="004C3644" w:rsidP="005C7424">
            <w:pPr>
              <w:jc w:val="center"/>
              <w:rPr>
                <w:sz w:val="20"/>
                <w:szCs w:val="20"/>
              </w:rPr>
            </w:pPr>
            <w:r w:rsidRPr="00F552F0">
              <w:rPr>
                <w:sz w:val="20"/>
                <w:szCs w:val="20"/>
              </w:rPr>
              <w:t>12</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Ireland</w:t>
                </w:r>
              </w:smartTag>
            </w:smartTag>
          </w:p>
        </w:tc>
        <w:tc>
          <w:tcPr>
            <w:tcW w:w="1608" w:type="dxa"/>
            <w:vAlign w:val="center"/>
          </w:tcPr>
          <w:p w:rsidR="004C3644" w:rsidRPr="00F552F0" w:rsidRDefault="004C3644" w:rsidP="005C7424">
            <w:pPr>
              <w:jc w:val="center"/>
              <w:rPr>
                <w:sz w:val="20"/>
                <w:szCs w:val="20"/>
              </w:rPr>
            </w:pPr>
            <w:r w:rsidRPr="00F552F0">
              <w:rPr>
                <w:sz w:val="20"/>
                <w:szCs w:val="20"/>
              </w:rPr>
              <w:t>IE</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1.00</w:t>
            </w:r>
          </w:p>
        </w:tc>
        <w:tc>
          <w:tcPr>
            <w:tcW w:w="1608" w:type="dxa"/>
            <w:vAlign w:val="center"/>
          </w:tcPr>
          <w:p w:rsidR="004C3644" w:rsidRPr="00F552F0" w:rsidRDefault="004C3644" w:rsidP="005C7424">
            <w:pPr>
              <w:jc w:val="center"/>
              <w:rPr>
                <w:sz w:val="20"/>
                <w:szCs w:val="20"/>
              </w:rPr>
            </w:pPr>
            <w:r w:rsidRPr="00F552F0">
              <w:rPr>
                <w:sz w:val="20"/>
                <w:szCs w:val="20"/>
              </w:rPr>
              <w:t>7</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Israel</w:t>
                </w:r>
              </w:smartTag>
            </w:smartTag>
          </w:p>
        </w:tc>
        <w:tc>
          <w:tcPr>
            <w:tcW w:w="1608" w:type="dxa"/>
            <w:vAlign w:val="center"/>
          </w:tcPr>
          <w:p w:rsidR="004C3644" w:rsidRPr="00F552F0" w:rsidRDefault="004C3644" w:rsidP="005C7424">
            <w:pPr>
              <w:jc w:val="center"/>
              <w:rPr>
                <w:sz w:val="20"/>
                <w:szCs w:val="20"/>
              </w:rPr>
            </w:pPr>
            <w:r w:rsidRPr="00F552F0">
              <w:rPr>
                <w:sz w:val="20"/>
                <w:szCs w:val="20"/>
              </w:rPr>
              <w:t>IL</w:t>
            </w:r>
          </w:p>
        </w:tc>
        <w:tc>
          <w:tcPr>
            <w:tcW w:w="1608" w:type="dxa"/>
            <w:vAlign w:val="center"/>
          </w:tcPr>
          <w:p w:rsidR="004C3644" w:rsidRPr="00F552F0" w:rsidRDefault="004C3644" w:rsidP="005C7424">
            <w:pPr>
              <w:jc w:val="center"/>
              <w:rPr>
                <w:sz w:val="20"/>
                <w:szCs w:val="20"/>
              </w:rPr>
            </w:pPr>
            <w:r w:rsidRPr="00F552F0">
              <w:rPr>
                <w:sz w:val="20"/>
                <w:szCs w:val="20"/>
              </w:rPr>
              <w:t>0.48</w:t>
            </w:r>
          </w:p>
        </w:tc>
        <w:tc>
          <w:tcPr>
            <w:tcW w:w="1608" w:type="dxa"/>
            <w:vAlign w:val="center"/>
          </w:tcPr>
          <w:p w:rsidR="004C3644" w:rsidRPr="00F552F0" w:rsidRDefault="004C3644" w:rsidP="005C7424">
            <w:pPr>
              <w:jc w:val="center"/>
              <w:rPr>
                <w:sz w:val="20"/>
                <w:szCs w:val="20"/>
              </w:rPr>
            </w:pPr>
            <w:r w:rsidRPr="00F552F0">
              <w:rPr>
                <w:sz w:val="20"/>
                <w:szCs w:val="20"/>
              </w:rPr>
              <w:t>0.43</w:t>
            </w:r>
          </w:p>
        </w:tc>
        <w:tc>
          <w:tcPr>
            <w:tcW w:w="1608" w:type="dxa"/>
            <w:vAlign w:val="center"/>
          </w:tcPr>
          <w:p w:rsidR="004C3644" w:rsidRPr="00F552F0" w:rsidRDefault="004C3644" w:rsidP="005C7424">
            <w:pPr>
              <w:jc w:val="center"/>
              <w:rPr>
                <w:sz w:val="20"/>
                <w:szCs w:val="20"/>
              </w:rPr>
            </w:pPr>
            <w:r w:rsidRPr="00F552F0">
              <w:rPr>
                <w:sz w:val="20"/>
                <w:szCs w:val="20"/>
              </w:rPr>
              <w:t>0.09</w:t>
            </w:r>
          </w:p>
        </w:tc>
        <w:tc>
          <w:tcPr>
            <w:tcW w:w="1608" w:type="dxa"/>
            <w:vAlign w:val="center"/>
          </w:tcPr>
          <w:p w:rsidR="004C3644" w:rsidRPr="00F552F0" w:rsidRDefault="004C3644" w:rsidP="005C7424">
            <w:pPr>
              <w:jc w:val="center"/>
              <w:rPr>
                <w:sz w:val="20"/>
                <w:szCs w:val="20"/>
              </w:rPr>
            </w:pPr>
            <w:r w:rsidRPr="00F552F0">
              <w:rPr>
                <w:sz w:val="20"/>
                <w:szCs w:val="20"/>
              </w:rPr>
              <w:t>8</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Italy</w:t>
                </w:r>
              </w:smartTag>
            </w:smartTag>
          </w:p>
        </w:tc>
        <w:tc>
          <w:tcPr>
            <w:tcW w:w="1608" w:type="dxa"/>
            <w:vAlign w:val="center"/>
          </w:tcPr>
          <w:p w:rsidR="004C3644" w:rsidRPr="00F552F0" w:rsidRDefault="004C3644" w:rsidP="005C7424">
            <w:pPr>
              <w:jc w:val="center"/>
              <w:rPr>
                <w:sz w:val="20"/>
                <w:szCs w:val="20"/>
              </w:rPr>
            </w:pPr>
            <w:r w:rsidRPr="00F552F0">
              <w:rPr>
                <w:sz w:val="20"/>
                <w:szCs w:val="20"/>
              </w:rPr>
              <w:t>IT</w:t>
            </w:r>
          </w:p>
        </w:tc>
        <w:tc>
          <w:tcPr>
            <w:tcW w:w="1608" w:type="dxa"/>
            <w:vAlign w:val="center"/>
          </w:tcPr>
          <w:p w:rsidR="004C3644" w:rsidRPr="00F552F0" w:rsidRDefault="004C3644" w:rsidP="005C7424">
            <w:pPr>
              <w:jc w:val="center"/>
              <w:rPr>
                <w:sz w:val="20"/>
                <w:szCs w:val="20"/>
              </w:rPr>
            </w:pPr>
            <w:r w:rsidRPr="00F552F0">
              <w:rPr>
                <w:sz w:val="20"/>
                <w:szCs w:val="20"/>
              </w:rPr>
              <w:t>0.11</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0.89</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Japan</w:t>
                </w:r>
              </w:smartTag>
            </w:smartTag>
          </w:p>
        </w:tc>
        <w:tc>
          <w:tcPr>
            <w:tcW w:w="1608" w:type="dxa"/>
            <w:vAlign w:val="center"/>
          </w:tcPr>
          <w:p w:rsidR="004C3644" w:rsidRPr="00F552F0" w:rsidRDefault="004C3644" w:rsidP="005C7424">
            <w:pPr>
              <w:jc w:val="center"/>
              <w:rPr>
                <w:sz w:val="20"/>
                <w:szCs w:val="20"/>
              </w:rPr>
            </w:pPr>
            <w:r w:rsidRPr="00F552F0">
              <w:rPr>
                <w:sz w:val="20"/>
                <w:szCs w:val="20"/>
              </w:rPr>
              <w:t>JP</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0.22</w:t>
            </w:r>
          </w:p>
        </w:tc>
        <w:tc>
          <w:tcPr>
            <w:tcW w:w="1608" w:type="dxa"/>
            <w:vAlign w:val="center"/>
          </w:tcPr>
          <w:p w:rsidR="004C3644" w:rsidRPr="00F552F0" w:rsidRDefault="004C3644" w:rsidP="005C7424">
            <w:pPr>
              <w:jc w:val="center"/>
              <w:rPr>
                <w:sz w:val="20"/>
                <w:szCs w:val="20"/>
              </w:rPr>
            </w:pPr>
            <w:r w:rsidRPr="00F552F0">
              <w:rPr>
                <w:sz w:val="20"/>
                <w:szCs w:val="20"/>
              </w:rPr>
              <w:t>0.78</w:t>
            </w:r>
          </w:p>
        </w:tc>
        <w:tc>
          <w:tcPr>
            <w:tcW w:w="1608" w:type="dxa"/>
            <w:vAlign w:val="center"/>
          </w:tcPr>
          <w:p w:rsidR="004C3644" w:rsidRPr="00F552F0" w:rsidRDefault="004C3644" w:rsidP="005C7424">
            <w:pPr>
              <w:jc w:val="center"/>
              <w:rPr>
                <w:sz w:val="20"/>
                <w:szCs w:val="20"/>
              </w:rPr>
            </w:pPr>
            <w:r w:rsidRPr="00F552F0">
              <w:rPr>
                <w:sz w:val="20"/>
                <w:szCs w:val="20"/>
              </w:rPr>
              <w:t>7</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Jordan</w:t>
                </w:r>
              </w:smartTag>
            </w:smartTag>
          </w:p>
        </w:tc>
        <w:tc>
          <w:tcPr>
            <w:tcW w:w="1608" w:type="dxa"/>
            <w:vAlign w:val="center"/>
          </w:tcPr>
          <w:p w:rsidR="004C3644" w:rsidRPr="00F552F0" w:rsidRDefault="004C3644" w:rsidP="005C7424">
            <w:pPr>
              <w:jc w:val="center"/>
              <w:rPr>
                <w:sz w:val="20"/>
                <w:szCs w:val="20"/>
              </w:rPr>
            </w:pPr>
            <w:r w:rsidRPr="00F552F0">
              <w:rPr>
                <w:sz w:val="20"/>
                <w:szCs w:val="20"/>
              </w:rPr>
              <w:t>JO</w:t>
            </w:r>
          </w:p>
        </w:tc>
        <w:tc>
          <w:tcPr>
            <w:tcW w:w="1608" w:type="dxa"/>
            <w:vAlign w:val="center"/>
          </w:tcPr>
          <w:p w:rsidR="004C3644" w:rsidRPr="00F552F0" w:rsidRDefault="004C3644" w:rsidP="005C7424">
            <w:pPr>
              <w:jc w:val="center"/>
              <w:rPr>
                <w:sz w:val="20"/>
                <w:szCs w:val="20"/>
              </w:rPr>
            </w:pPr>
            <w:r w:rsidRPr="00F552F0">
              <w:rPr>
                <w:sz w:val="20"/>
                <w:szCs w:val="20"/>
              </w:rPr>
              <w:t>0.91</w:t>
            </w:r>
          </w:p>
        </w:tc>
        <w:tc>
          <w:tcPr>
            <w:tcW w:w="1608" w:type="dxa"/>
            <w:vAlign w:val="center"/>
          </w:tcPr>
          <w:p w:rsidR="004C3644" w:rsidRPr="00F552F0" w:rsidRDefault="004C3644" w:rsidP="005C7424">
            <w:pPr>
              <w:jc w:val="center"/>
              <w:rPr>
                <w:sz w:val="20"/>
                <w:szCs w:val="20"/>
              </w:rPr>
            </w:pPr>
            <w:r w:rsidRPr="00F552F0">
              <w:rPr>
                <w:sz w:val="20"/>
                <w:szCs w:val="20"/>
              </w:rPr>
              <w:t>0.09</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8</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Kenya</w:t>
                </w:r>
              </w:smartTag>
            </w:smartTag>
          </w:p>
        </w:tc>
        <w:tc>
          <w:tcPr>
            <w:tcW w:w="1608" w:type="dxa"/>
            <w:vAlign w:val="center"/>
          </w:tcPr>
          <w:p w:rsidR="004C3644" w:rsidRPr="00F552F0" w:rsidRDefault="004C3644" w:rsidP="005C7424">
            <w:pPr>
              <w:jc w:val="center"/>
              <w:rPr>
                <w:sz w:val="20"/>
                <w:szCs w:val="20"/>
              </w:rPr>
            </w:pPr>
            <w:r w:rsidRPr="00F552F0">
              <w:rPr>
                <w:sz w:val="20"/>
                <w:szCs w:val="20"/>
              </w:rPr>
              <w:t>KE</w:t>
            </w:r>
          </w:p>
        </w:tc>
        <w:tc>
          <w:tcPr>
            <w:tcW w:w="1608" w:type="dxa"/>
            <w:vAlign w:val="center"/>
          </w:tcPr>
          <w:p w:rsidR="004C3644" w:rsidRPr="00F552F0" w:rsidRDefault="004C3644" w:rsidP="005C7424">
            <w:pPr>
              <w:jc w:val="center"/>
              <w:rPr>
                <w:sz w:val="20"/>
                <w:szCs w:val="20"/>
              </w:rPr>
            </w:pPr>
            <w:r w:rsidRPr="00F552F0">
              <w:rPr>
                <w:sz w:val="20"/>
                <w:szCs w:val="20"/>
              </w:rPr>
              <w:t>0.03</w:t>
            </w:r>
          </w:p>
        </w:tc>
        <w:tc>
          <w:tcPr>
            <w:tcW w:w="1608" w:type="dxa"/>
            <w:vAlign w:val="center"/>
          </w:tcPr>
          <w:p w:rsidR="004C3644" w:rsidRPr="00F552F0" w:rsidRDefault="004C3644" w:rsidP="005C7424">
            <w:pPr>
              <w:jc w:val="center"/>
              <w:rPr>
                <w:sz w:val="20"/>
                <w:szCs w:val="20"/>
              </w:rPr>
            </w:pPr>
            <w:r w:rsidRPr="00F552F0">
              <w:rPr>
                <w:sz w:val="20"/>
                <w:szCs w:val="20"/>
              </w:rPr>
              <w:t>0.83</w:t>
            </w:r>
          </w:p>
        </w:tc>
        <w:tc>
          <w:tcPr>
            <w:tcW w:w="1608" w:type="dxa"/>
            <w:vAlign w:val="center"/>
          </w:tcPr>
          <w:p w:rsidR="004C3644" w:rsidRPr="00F552F0" w:rsidRDefault="004C3644" w:rsidP="005C7424">
            <w:pPr>
              <w:jc w:val="center"/>
              <w:rPr>
                <w:sz w:val="20"/>
                <w:szCs w:val="20"/>
              </w:rPr>
            </w:pPr>
            <w:r w:rsidRPr="00F552F0">
              <w:rPr>
                <w:sz w:val="20"/>
                <w:szCs w:val="20"/>
              </w:rPr>
              <w:t>0.15</w:t>
            </w:r>
          </w:p>
        </w:tc>
        <w:tc>
          <w:tcPr>
            <w:tcW w:w="1608" w:type="dxa"/>
            <w:vAlign w:val="center"/>
          </w:tcPr>
          <w:p w:rsidR="004C3644" w:rsidRPr="00F552F0" w:rsidRDefault="004C3644" w:rsidP="005C7424">
            <w:pPr>
              <w:jc w:val="center"/>
              <w:rPr>
                <w:sz w:val="20"/>
                <w:szCs w:val="20"/>
              </w:rPr>
            </w:pPr>
            <w:r w:rsidRPr="00F552F0">
              <w:rPr>
                <w:sz w:val="20"/>
                <w:szCs w:val="20"/>
              </w:rPr>
              <w:t>5</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Korea</w:t>
                </w:r>
              </w:smartTag>
            </w:smartTag>
          </w:p>
        </w:tc>
        <w:tc>
          <w:tcPr>
            <w:tcW w:w="1608" w:type="dxa"/>
            <w:vAlign w:val="center"/>
          </w:tcPr>
          <w:p w:rsidR="004C3644" w:rsidRPr="00F552F0" w:rsidRDefault="004C3644" w:rsidP="005C7424">
            <w:pPr>
              <w:jc w:val="center"/>
              <w:rPr>
                <w:sz w:val="20"/>
                <w:szCs w:val="20"/>
              </w:rPr>
            </w:pPr>
            <w:r w:rsidRPr="00F552F0">
              <w:rPr>
                <w:sz w:val="20"/>
                <w:szCs w:val="20"/>
              </w:rPr>
              <w:t>KR</w:t>
            </w:r>
          </w:p>
        </w:tc>
        <w:tc>
          <w:tcPr>
            <w:tcW w:w="1608" w:type="dxa"/>
            <w:vAlign w:val="center"/>
          </w:tcPr>
          <w:p w:rsidR="004C3644" w:rsidRPr="00F552F0" w:rsidRDefault="004C3644" w:rsidP="005C7424">
            <w:pPr>
              <w:jc w:val="center"/>
              <w:rPr>
                <w:sz w:val="20"/>
                <w:szCs w:val="20"/>
              </w:rPr>
            </w:pPr>
            <w:r w:rsidRPr="00F552F0">
              <w:rPr>
                <w:sz w:val="20"/>
                <w:szCs w:val="20"/>
              </w:rPr>
              <w:t>0.03</w:t>
            </w:r>
          </w:p>
        </w:tc>
        <w:tc>
          <w:tcPr>
            <w:tcW w:w="1608" w:type="dxa"/>
            <w:vAlign w:val="center"/>
          </w:tcPr>
          <w:p w:rsidR="004C3644" w:rsidRPr="00F552F0" w:rsidRDefault="004C3644" w:rsidP="005C7424">
            <w:pPr>
              <w:jc w:val="center"/>
              <w:rPr>
                <w:sz w:val="20"/>
                <w:szCs w:val="20"/>
              </w:rPr>
            </w:pPr>
            <w:r w:rsidRPr="00F552F0">
              <w:rPr>
                <w:sz w:val="20"/>
                <w:szCs w:val="20"/>
              </w:rPr>
              <w:t>0.38</w:t>
            </w:r>
          </w:p>
        </w:tc>
        <w:tc>
          <w:tcPr>
            <w:tcW w:w="1608" w:type="dxa"/>
            <w:vAlign w:val="center"/>
          </w:tcPr>
          <w:p w:rsidR="004C3644" w:rsidRPr="00F552F0" w:rsidRDefault="004C3644" w:rsidP="005C7424">
            <w:pPr>
              <w:jc w:val="center"/>
              <w:rPr>
                <w:sz w:val="20"/>
                <w:szCs w:val="20"/>
              </w:rPr>
            </w:pPr>
            <w:r w:rsidRPr="00F552F0">
              <w:rPr>
                <w:sz w:val="20"/>
                <w:szCs w:val="20"/>
              </w:rPr>
              <w:t>0.59</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Malaysia</w:t>
                </w:r>
              </w:smartTag>
            </w:smartTag>
          </w:p>
        </w:tc>
        <w:tc>
          <w:tcPr>
            <w:tcW w:w="1608" w:type="dxa"/>
            <w:vAlign w:val="center"/>
          </w:tcPr>
          <w:p w:rsidR="004C3644" w:rsidRPr="00F552F0" w:rsidRDefault="004C3644" w:rsidP="005C7424">
            <w:pPr>
              <w:jc w:val="center"/>
              <w:rPr>
                <w:sz w:val="20"/>
                <w:szCs w:val="20"/>
              </w:rPr>
            </w:pPr>
            <w:r w:rsidRPr="00F552F0">
              <w:rPr>
                <w:sz w:val="20"/>
                <w:szCs w:val="20"/>
              </w:rPr>
              <w:t>MY</w:t>
            </w:r>
          </w:p>
        </w:tc>
        <w:tc>
          <w:tcPr>
            <w:tcW w:w="1608" w:type="dxa"/>
            <w:vAlign w:val="center"/>
          </w:tcPr>
          <w:p w:rsidR="004C3644" w:rsidRPr="00F552F0" w:rsidRDefault="004C3644" w:rsidP="005C7424">
            <w:pPr>
              <w:jc w:val="center"/>
              <w:rPr>
                <w:sz w:val="20"/>
                <w:szCs w:val="20"/>
              </w:rPr>
            </w:pPr>
            <w:r w:rsidRPr="00F552F0">
              <w:rPr>
                <w:sz w:val="20"/>
                <w:szCs w:val="20"/>
              </w:rPr>
              <w:t>0.93</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0.07</w:t>
            </w:r>
          </w:p>
        </w:tc>
        <w:tc>
          <w:tcPr>
            <w:tcW w:w="1608" w:type="dxa"/>
            <w:vAlign w:val="center"/>
          </w:tcPr>
          <w:p w:rsidR="004C3644" w:rsidRPr="00F552F0" w:rsidRDefault="004C3644" w:rsidP="005C7424">
            <w:pPr>
              <w:jc w:val="center"/>
              <w:rPr>
                <w:sz w:val="20"/>
                <w:szCs w:val="20"/>
              </w:rPr>
            </w:pPr>
            <w:r w:rsidRPr="00F552F0">
              <w:rPr>
                <w:sz w:val="20"/>
                <w:szCs w:val="20"/>
              </w:rPr>
              <w:t>6</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Mexico</w:t>
                </w:r>
              </w:smartTag>
            </w:smartTag>
          </w:p>
        </w:tc>
        <w:tc>
          <w:tcPr>
            <w:tcW w:w="1608" w:type="dxa"/>
            <w:vAlign w:val="center"/>
          </w:tcPr>
          <w:p w:rsidR="004C3644" w:rsidRPr="00F552F0" w:rsidRDefault="004C3644" w:rsidP="005C7424">
            <w:pPr>
              <w:jc w:val="center"/>
              <w:rPr>
                <w:sz w:val="20"/>
                <w:szCs w:val="20"/>
              </w:rPr>
            </w:pPr>
            <w:r w:rsidRPr="00F552F0">
              <w:rPr>
                <w:sz w:val="20"/>
                <w:szCs w:val="20"/>
              </w:rPr>
              <w:t>MX</w:t>
            </w:r>
          </w:p>
        </w:tc>
        <w:tc>
          <w:tcPr>
            <w:tcW w:w="1608" w:type="dxa"/>
            <w:vAlign w:val="center"/>
          </w:tcPr>
          <w:p w:rsidR="004C3644" w:rsidRPr="00F552F0" w:rsidRDefault="004C3644" w:rsidP="005C7424">
            <w:pPr>
              <w:jc w:val="center"/>
              <w:rPr>
                <w:sz w:val="20"/>
                <w:szCs w:val="20"/>
              </w:rPr>
            </w:pPr>
            <w:r w:rsidRPr="00F552F0">
              <w:rPr>
                <w:sz w:val="20"/>
                <w:szCs w:val="20"/>
              </w:rPr>
              <w:t>0.70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0.30</w:t>
            </w:r>
          </w:p>
        </w:tc>
        <w:tc>
          <w:tcPr>
            <w:tcW w:w="1608" w:type="dxa"/>
            <w:vAlign w:val="center"/>
          </w:tcPr>
          <w:p w:rsidR="004C3644" w:rsidRPr="00F552F0" w:rsidRDefault="004C3644" w:rsidP="005C7424">
            <w:pPr>
              <w:jc w:val="center"/>
              <w:rPr>
                <w:sz w:val="20"/>
                <w:szCs w:val="20"/>
              </w:rPr>
            </w:pPr>
            <w:r w:rsidRPr="00F552F0">
              <w:rPr>
                <w:sz w:val="20"/>
                <w:szCs w:val="20"/>
              </w:rPr>
              <w:t>3</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Netherlands</w:t>
                </w:r>
              </w:smartTag>
            </w:smartTag>
          </w:p>
        </w:tc>
        <w:tc>
          <w:tcPr>
            <w:tcW w:w="1608" w:type="dxa"/>
            <w:vAlign w:val="center"/>
          </w:tcPr>
          <w:p w:rsidR="004C3644" w:rsidRPr="00F552F0" w:rsidRDefault="004C3644" w:rsidP="005C7424">
            <w:pPr>
              <w:jc w:val="center"/>
              <w:rPr>
                <w:sz w:val="20"/>
                <w:szCs w:val="20"/>
              </w:rPr>
            </w:pPr>
            <w:r w:rsidRPr="00F552F0">
              <w:rPr>
                <w:sz w:val="20"/>
                <w:szCs w:val="20"/>
              </w:rPr>
              <w:t>NL</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0.22</w:t>
            </w:r>
          </w:p>
        </w:tc>
        <w:tc>
          <w:tcPr>
            <w:tcW w:w="1608" w:type="dxa"/>
            <w:vAlign w:val="center"/>
          </w:tcPr>
          <w:p w:rsidR="004C3644" w:rsidRPr="00F552F0" w:rsidRDefault="004C3644" w:rsidP="005C7424">
            <w:pPr>
              <w:jc w:val="center"/>
              <w:rPr>
                <w:sz w:val="20"/>
                <w:szCs w:val="20"/>
              </w:rPr>
            </w:pPr>
            <w:r w:rsidRPr="00F552F0">
              <w:rPr>
                <w:sz w:val="20"/>
                <w:szCs w:val="20"/>
              </w:rPr>
              <w:t>0.78</w:t>
            </w:r>
          </w:p>
        </w:tc>
        <w:tc>
          <w:tcPr>
            <w:tcW w:w="1608" w:type="dxa"/>
            <w:vAlign w:val="center"/>
          </w:tcPr>
          <w:p w:rsidR="004C3644" w:rsidRPr="00F552F0" w:rsidRDefault="004C3644" w:rsidP="005C7424">
            <w:pPr>
              <w:jc w:val="center"/>
              <w:rPr>
                <w:sz w:val="20"/>
                <w:szCs w:val="20"/>
              </w:rPr>
            </w:pPr>
            <w:r w:rsidRPr="00F552F0">
              <w:rPr>
                <w:sz w:val="20"/>
                <w:szCs w:val="20"/>
              </w:rPr>
              <w:t>3</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Norway</w:t>
                </w:r>
              </w:smartTag>
            </w:smartTag>
          </w:p>
        </w:tc>
        <w:tc>
          <w:tcPr>
            <w:tcW w:w="1608" w:type="dxa"/>
            <w:vAlign w:val="center"/>
          </w:tcPr>
          <w:p w:rsidR="004C3644" w:rsidRPr="00F552F0" w:rsidRDefault="004C3644" w:rsidP="005C7424">
            <w:pPr>
              <w:jc w:val="center"/>
              <w:rPr>
                <w:sz w:val="20"/>
                <w:szCs w:val="20"/>
              </w:rPr>
            </w:pPr>
            <w:r w:rsidRPr="00F552F0">
              <w:rPr>
                <w:sz w:val="20"/>
                <w:szCs w:val="20"/>
              </w:rPr>
              <w:t>NO</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0.43</w:t>
            </w:r>
          </w:p>
        </w:tc>
        <w:tc>
          <w:tcPr>
            <w:tcW w:w="1608" w:type="dxa"/>
            <w:vAlign w:val="center"/>
          </w:tcPr>
          <w:p w:rsidR="004C3644" w:rsidRPr="00F552F0" w:rsidRDefault="004C3644" w:rsidP="005C7424">
            <w:pPr>
              <w:jc w:val="center"/>
              <w:rPr>
                <w:sz w:val="20"/>
                <w:szCs w:val="20"/>
              </w:rPr>
            </w:pPr>
            <w:r w:rsidRPr="00F552F0">
              <w:rPr>
                <w:sz w:val="20"/>
                <w:szCs w:val="20"/>
              </w:rPr>
              <w:t>0.57</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Pakistan</w:t>
                </w:r>
              </w:smartTag>
            </w:smartTag>
          </w:p>
        </w:tc>
        <w:tc>
          <w:tcPr>
            <w:tcW w:w="1608" w:type="dxa"/>
            <w:vAlign w:val="center"/>
          </w:tcPr>
          <w:p w:rsidR="004C3644" w:rsidRPr="00F552F0" w:rsidRDefault="004C3644" w:rsidP="005C7424">
            <w:pPr>
              <w:jc w:val="center"/>
              <w:rPr>
                <w:sz w:val="20"/>
                <w:szCs w:val="20"/>
              </w:rPr>
            </w:pPr>
            <w:r w:rsidRPr="00F552F0">
              <w:rPr>
                <w:sz w:val="20"/>
                <w:szCs w:val="20"/>
              </w:rPr>
              <w:t>PK</w:t>
            </w:r>
          </w:p>
        </w:tc>
        <w:tc>
          <w:tcPr>
            <w:tcW w:w="1608" w:type="dxa"/>
            <w:vAlign w:val="center"/>
          </w:tcPr>
          <w:p w:rsidR="004C3644" w:rsidRPr="00F552F0" w:rsidRDefault="004C3644" w:rsidP="005C7424">
            <w:pPr>
              <w:jc w:val="center"/>
              <w:rPr>
                <w:sz w:val="20"/>
                <w:szCs w:val="20"/>
              </w:rPr>
            </w:pPr>
            <w:r w:rsidRPr="00F552F0">
              <w:rPr>
                <w:sz w:val="20"/>
                <w:szCs w:val="20"/>
              </w:rPr>
              <w:t>0.04</w:t>
            </w:r>
          </w:p>
        </w:tc>
        <w:tc>
          <w:tcPr>
            <w:tcW w:w="1608" w:type="dxa"/>
            <w:vAlign w:val="center"/>
          </w:tcPr>
          <w:p w:rsidR="004C3644" w:rsidRPr="00F552F0" w:rsidRDefault="004C3644" w:rsidP="005C7424">
            <w:pPr>
              <w:jc w:val="center"/>
              <w:rPr>
                <w:sz w:val="20"/>
                <w:szCs w:val="20"/>
              </w:rPr>
            </w:pPr>
            <w:r w:rsidRPr="00F552F0">
              <w:rPr>
                <w:sz w:val="20"/>
                <w:szCs w:val="20"/>
              </w:rPr>
              <w:t>0.96</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Peru</w:t>
                </w:r>
              </w:smartTag>
            </w:smartTag>
          </w:p>
        </w:tc>
        <w:tc>
          <w:tcPr>
            <w:tcW w:w="1608" w:type="dxa"/>
            <w:vAlign w:val="center"/>
          </w:tcPr>
          <w:p w:rsidR="004C3644" w:rsidRPr="00F552F0" w:rsidRDefault="004C3644" w:rsidP="005C7424">
            <w:pPr>
              <w:jc w:val="center"/>
              <w:rPr>
                <w:sz w:val="20"/>
                <w:szCs w:val="20"/>
              </w:rPr>
            </w:pPr>
            <w:r w:rsidRPr="00F552F0">
              <w:rPr>
                <w:sz w:val="20"/>
                <w:szCs w:val="20"/>
              </w:rPr>
              <w:t>PE</w:t>
            </w:r>
          </w:p>
        </w:tc>
        <w:tc>
          <w:tcPr>
            <w:tcW w:w="1608" w:type="dxa"/>
            <w:vAlign w:val="center"/>
          </w:tcPr>
          <w:p w:rsidR="004C3644" w:rsidRPr="00F552F0" w:rsidRDefault="004C3644" w:rsidP="005C7424">
            <w:pPr>
              <w:jc w:val="center"/>
              <w:rPr>
                <w:sz w:val="20"/>
                <w:szCs w:val="20"/>
              </w:rPr>
            </w:pPr>
            <w:r w:rsidRPr="00F552F0">
              <w:rPr>
                <w:sz w:val="20"/>
                <w:szCs w:val="20"/>
              </w:rPr>
              <w:t>0.49</w:t>
            </w:r>
          </w:p>
        </w:tc>
        <w:tc>
          <w:tcPr>
            <w:tcW w:w="1608" w:type="dxa"/>
            <w:vAlign w:val="center"/>
          </w:tcPr>
          <w:p w:rsidR="004C3644" w:rsidRPr="00F552F0" w:rsidRDefault="004C3644" w:rsidP="005C7424">
            <w:pPr>
              <w:jc w:val="center"/>
              <w:rPr>
                <w:sz w:val="20"/>
                <w:szCs w:val="20"/>
              </w:rPr>
            </w:pPr>
            <w:r w:rsidRPr="00F552F0">
              <w:rPr>
                <w:sz w:val="20"/>
                <w:szCs w:val="20"/>
              </w:rPr>
              <w:t>0.19</w:t>
            </w:r>
          </w:p>
        </w:tc>
        <w:tc>
          <w:tcPr>
            <w:tcW w:w="1608" w:type="dxa"/>
            <w:vAlign w:val="center"/>
          </w:tcPr>
          <w:p w:rsidR="004C3644" w:rsidRPr="00F552F0" w:rsidRDefault="004C3644" w:rsidP="005C7424">
            <w:pPr>
              <w:jc w:val="center"/>
              <w:rPr>
                <w:sz w:val="20"/>
                <w:szCs w:val="20"/>
              </w:rPr>
            </w:pPr>
            <w:r w:rsidRPr="00F552F0">
              <w:rPr>
                <w:sz w:val="20"/>
                <w:szCs w:val="20"/>
              </w:rPr>
              <w:t>0.33</w:t>
            </w:r>
          </w:p>
        </w:tc>
        <w:tc>
          <w:tcPr>
            <w:tcW w:w="1608" w:type="dxa"/>
            <w:vAlign w:val="center"/>
          </w:tcPr>
          <w:p w:rsidR="004C3644" w:rsidRPr="00F552F0" w:rsidRDefault="004C3644" w:rsidP="005C7424">
            <w:pPr>
              <w:jc w:val="center"/>
              <w:rPr>
                <w:sz w:val="20"/>
                <w:szCs w:val="20"/>
              </w:rPr>
            </w:pPr>
            <w:r w:rsidRPr="00F552F0">
              <w:rPr>
                <w:sz w:val="20"/>
                <w:szCs w:val="20"/>
              </w:rPr>
              <w:t>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Philippines</w:t>
                </w:r>
              </w:smartTag>
            </w:smartTag>
          </w:p>
        </w:tc>
        <w:tc>
          <w:tcPr>
            <w:tcW w:w="1608" w:type="dxa"/>
            <w:vAlign w:val="center"/>
          </w:tcPr>
          <w:p w:rsidR="004C3644" w:rsidRPr="00F552F0" w:rsidRDefault="004C3644" w:rsidP="005C7424">
            <w:pPr>
              <w:jc w:val="center"/>
              <w:rPr>
                <w:sz w:val="20"/>
                <w:szCs w:val="20"/>
              </w:rPr>
            </w:pPr>
            <w:r w:rsidRPr="00F552F0">
              <w:rPr>
                <w:sz w:val="20"/>
                <w:szCs w:val="20"/>
              </w:rPr>
              <w:t>PH</w:t>
            </w:r>
          </w:p>
        </w:tc>
        <w:tc>
          <w:tcPr>
            <w:tcW w:w="1608" w:type="dxa"/>
            <w:vAlign w:val="center"/>
          </w:tcPr>
          <w:p w:rsidR="004C3644" w:rsidRPr="00F552F0" w:rsidRDefault="004C3644" w:rsidP="005C7424">
            <w:pPr>
              <w:jc w:val="center"/>
              <w:rPr>
                <w:sz w:val="20"/>
                <w:szCs w:val="20"/>
              </w:rPr>
            </w:pPr>
            <w:r w:rsidRPr="00F552F0">
              <w:rPr>
                <w:sz w:val="20"/>
                <w:szCs w:val="20"/>
              </w:rPr>
              <w:t>0.68</w:t>
            </w:r>
          </w:p>
        </w:tc>
        <w:tc>
          <w:tcPr>
            <w:tcW w:w="1608" w:type="dxa"/>
            <w:vAlign w:val="center"/>
          </w:tcPr>
          <w:p w:rsidR="004C3644" w:rsidRPr="00F552F0" w:rsidRDefault="004C3644" w:rsidP="005C7424">
            <w:pPr>
              <w:jc w:val="center"/>
              <w:rPr>
                <w:sz w:val="20"/>
                <w:szCs w:val="20"/>
              </w:rPr>
            </w:pPr>
            <w:r w:rsidRPr="00F552F0">
              <w:rPr>
                <w:sz w:val="20"/>
                <w:szCs w:val="20"/>
              </w:rPr>
              <w:t>0.21</w:t>
            </w:r>
          </w:p>
        </w:tc>
        <w:tc>
          <w:tcPr>
            <w:tcW w:w="1608" w:type="dxa"/>
            <w:vAlign w:val="center"/>
          </w:tcPr>
          <w:p w:rsidR="004C3644" w:rsidRPr="00F552F0" w:rsidRDefault="004C3644" w:rsidP="005C7424">
            <w:pPr>
              <w:jc w:val="center"/>
              <w:rPr>
                <w:sz w:val="20"/>
                <w:szCs w:val="20"/>
              </w:rPr>
            </w:pPr>
            <w:r w:rsidRPr="00F552F0">
              <w:rPr>
                <w:sz w:val="20"/>
                <w:szCs w:val="20"/>
              </w:rPr>
              <w:t>0.11</w:t>
            </w:r>
          </w:p>
        </w:tc>
        <w:tc>
          <w:tcPr>
            <w:tcW w:w="1608" w:type="dxa"/>
            <w:vAlign w:val="center"/>
          </w:tcPr>
          <w:p w:rsidR="004C3644" w:rsidRPr="00F552F0" w:rsidRDefault="004C3644" w:rsidP="005C7424">
            <w:pPr>
              <w:jc w:val="center"/>
              <w:rPr>
                <w:sz w:val="20"/>
                <w:szCs w:val="20"/>
              </w:rPr>
            </w:pPr>
            <w:r w:rsidRPr="00F552F0">
              <w:rPr>
                <w:sz w:val="20"/>
                <w:szCs w:val="20"/>
              </w:rPr>
              <w:t>13</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Portugal</w:t>
                </w:r>
              </w:smartTag>
            </w:smartTag>
          </w:p>
        </w:tc>
        <w:tc>
          <w:tcPr>
            <w:tcW w:w="1608" w:type="dxa"/>
            <w:vAlign w:val="center"/>
          </w:tcPr>
          <w:p w:rsidR="004C3644" w:rsidRPr="00F552F0" w:rsidRDefault="004C3644" w:rsidP="005C7424">
            <w:pPr>
              <w:jc w:val="center"/>
              <w:rPr>
                <w:sz w:val="20"/>
                <w:szCs w:val="20"/>
              </w:rPr>
            </w:pPr>
            <w:r w:rsidRPr="00F552F0">
              <w:rPr>
                <w:sz w:val="20"/>
                <w:szCs w:val="20"/>
              </w:rPr>
              <w:t>PT</w:t>
            </w:r>
          </w:p>
        </w:tc>
        <w:tc>
          <w:tcPr>
            <w:tcW w:w="1608" w:type="dxa"/>
            <w:vAlign w:val="center"/>
          </w:tcPr>
          <w:p w:rsidR="004C3644" w:rsidRPr="00F552F0" w:rsidRDefault="004C3644" w:rsidP="005C7424">
            <w:pPr>
              <w:jc w:val="center"/>
              <w:rPr>
                <w:sz w:val="20"/>
                <w:szCs w:val="20"/>
              </w:rPr>
            </w:pPr>
            <w:r w:rsidRPr="00F552F0">
              <w:rPr>
                <w:sz w:val="20"/>
                <w:szCs w:val="20"/>
              </w:rPr>
              <w:t>0.43</w:t>
            </w:r>
          </w:p>
        </w:tc>
        <w:tc>
          <w:tcPr>
            <w:tcW w:w="1608" w:type="dxa"/>
            <w:vAlign w:val="center"/>
          </w:tcPr>
          <w:p w:rsidR="004C3644" w:rsidRPr="00F552F0" w:rsidRDefault="004C3644" w:rsidP="005C7424">
            <w:pPr>
              <w:jc w:val="center"/>
              <w:rPr>
                <w:sz w:val="20"/>
                <w:szCs w:val="20"/>
              </w:rPr>
            </w:pPr>
            <w:r w:rsidRPr="00F552F0">
              <w:rPr>
                <w:sz w:val="20"/>
                <w:szCs w:val="20"/>
              </w:rPr>
              <w:t>0.29</w:t>
            </w:r>
          </w:p>
        </w:tc>
        <w:tc>
          <w:tcPr>
            <w:tcW w:w="1608" w:type="dxa"/>
            <w:vAlign w:val="center"/>
          </w:tcPr>
          <w:p w:rsidR="004C3644" w:rsidRPr="00F552F0" w:rsidRDefault="004C3644" w:rsidP="005C7424">
            <w:pPr>
              <w:jc w:val="center"/>
              <w:rPr>
                <w:sz w:val="20"/>
                <w:szCs w:val="20"/>
              </w:rPr>
            </w:pPr>
            <w:r w:rsidRPr="00F552F0">
              <w:rPr>
                <w:sz w:val="20"/>
                <w:szCs w:val="20"/>
              </w:rPr>
              <w:t>0.29</w:t>
            </w:r>
          </w:p>
        </w:tc>
        <w:tc>
          <w:tcPr>
            <w:tcW w:w="1608" w:type="dxa"/>
            <w:vAlign w:val="center"/>
          </w:tcPr>
          <w:p w:rsidR="004C3644" w:rsidRPr="00F552F0" w:rsidRDefault="004C3644" w:rsidP="005C7424">
            <w:pPr>
              <w:jc w:val="center"/>
              <w:rPr>
                <w:sz w:val="20"/>
                <w:szCs w:val="20"/>
              </w:rPr>
            </w:pPr>
            <w:r w:rsidRPr="00F552F0">
              <w:rPr>
                <w:sz w:val="20"/>
                <w:szCs w:val="20"/>
              </w:rPr>
              <w:t>7</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Singapore</w:t>
                </w:r>
              </w:smartTag>
            </w:smartTag>
          </w:p>
        </w:tc>
        <w:tc>
          <w:tcPr>
            <w:tcW w:w="1608" w:type="dxa"/>
            <w:vAlign w:val="center"/>
          </w:tcPr>
          <w:p w:rsidR="004C3644" w:rsidRPr="00F552F0" w:rsidRDefault="004C3644" w:rsidP="005C7424">
            <w:pPr>
              <w:jc w:val="center"/>
              <w:rPr>
                <w:sz w:val="20"/>
                <w:szCs w:val="20"/>
              </w:rPr>
            </w:pPr>
            <w:r w:rsidRPr="00F552F0">
              <w:rPr>
                <w:sz w:val="20"/>
                <w:szCs w:val="20"/>
              </w:rPr>
              <w:t>SG</w:t>
            </w:r>
          </w:p>
        </w:tc>
        <w:tc>
          <w:tcPr>
            <w:tcW w:w="1608" w:type="dxa"/>
            <w:vAlign w:val="center"/>
          </w:tcPr>
          <w:p w:rsidR="004C3644" w:rsidRPr="00F552F0" w:rsidRDefault="004C3644" w:rsidP="005C7424">
            <w:pPr>
              <w:jc w:val="center"/>
              <w:rPr>
                <w:sz w:val="20"/>
                <w:szCs w:val="20"/>
              </w:rPr>
            </w:pPr>
            <w:r w:rsidRPr="00F552F0">
              <w:rPr>
                <w:sz w:val="20"/>
                <w:szCs w:val="20"/>
              </w:rPr>
              <w:t>0.56</w:t>
            </w:r>
          </w:p>
        </w:tc>
        <w:tc>
          <w:tcPr>
            <w:tcW w:w="1608" w:type="dxa"/>
            <w:vAlign w:val="center"/>
          </w:tcPr>
          <w:p w:rsidR="004C3644" w:rsidRPr="00F552F0" w:rsidRDefault="004C3644" w:rsidP="005C7424">
            <w:pPr>
              <w:jc w:val="center"/>
              <w:rPr>
                <w:sz w:val="20"/>
                <w:szCs w:val="20"/>
              </w:rPr>
            </w:pPr>
            <w:r w:rsidRPr="00F552F0">
              <w:rPr>
                <w:sz w:val="20"/>
                <w:szCs w:val="20"/>
              </w:rPr>
              <w:t>0.44</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3</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South Africa</w:t>
                </w:r>
              </w:smartTag>
            </w:smartTag>
          </w:p>
        </w:tc>
        <w:tc>
          <w:tcPr>
            <w:tcW w:w="1608" w:type="dxa"/>
            <w:vAlign w:val="center"/>
          </w:tcPr>
          <w:p w:rsidR="004C3644" w:rsidRPr="00F552F0" w:rsidRDefault="004C3644" w:rsidP="005C7424">
            <w:pPr>
              <w:jc w:val="center"/>
              <w:rPr>
                <w:sz w:val="20"/>
                <w:szCs w:val="20"/>
              </w:rPr>
            </w:pPr>
            <w:r w:rsidRPr="00F552F0">
              <w:rPr>
                <w:sz w:val="20"/>
                <w:szCs w:val="20"/>
              </w:rPr>
              <w:t>ZA</w:t>
            </w:r>
          </w:p>
        </w:tc>
        <w:tc>
          <w:tcPr>
            <w:tcW w:w="1608" w:type="dxa"/>
            <w:vAlign w:val="center"/>
          </w:tcPr>
          <w:p w:rsidR="004C3644" w:rsidRPr="00F552F0" w:rsidRDefault="004C3644" w:rsidP="005C7424">
            <w:pPr>
              <w:jc w:val="center"/>
              <w:rPr>
                <w:sz w:val="20"/>
                <w:szCs w:val="20"/>
              </w:rPr>
            </w:pPr>
            <w:r w:rsidRPr="00F552F0">
              <w:rPr>
                <w:sz w:val="20"/>
                <w:szCs w:val="20"/>
              </w:rPr>
              <w:t>0.64</w:t>
            </w:r>
          </w:p>
        </w:tc>
        <w:tc>
          <w:tcPr>
            <w:tcW w:w="1608" w:type="dxa"/>
            <w:vAlign w:val="center"/>
          </w:tcPr>
          <w:p w:rsidR="004C3644" w:rsidRPr="00F552F0" w:rsidRDefault="004C3644" w:rsidP="005C7424">
            <w:pPr>
              <w:jc w:val="center"/>
              <w:rPr>
                <w:sz w:val="20"/>
                <w:szCs w:val="20"/>
              </w:rPr>
            </w:pPr>
            <w:r w:rsidRPr="00F552F0">
              <w:rPr>
                <w:sz w:val="20"/>
                <w:szCs w:val="20"/>
              </w:rPr>
              <w:t>0.01</w:t>
            </w:r>
          </w:p>
        </w:tc>
        <w:tc>
          <w:tcPr>
            <w:tcW w:w="1608" w:type="dxa"/>
            <w:vAlign w:val="center"/>
          </w:tcPr>
          <w:p w:rsidR="004C3644" w:rsidRPr="00F552F0" w:rsidRDefault="004C3644" w:rsidP="005C7424">
            <w:pPr>
              <w:jc w:val="center"/>
              <w:rPr>
                <w:sz w:val="20"/>
                <w:szCs w:val="20"/>
              </w:rPr>
            </w:pPr>
            <w:r w:rsidRPr="00F552F0">
              <w:rPr>
                <w:sz w:val="20"/>
                <w:szCs w:val="20"/>
              </w:rPr>
              <w:t>0.34</w:t>
            </w:r>
          </w:p>
        </w:tc>
        <w:tc>
          <w:tcPr>
            <w:tcW w:w="1608" w:type="dxa"/>
            <w:vAlign w:val="center"/>
          </w:tcPr>
          <w:p w:rsidR="004C3644" w:rsidRPr="00F552F0" w:rsidRDefault="004C3644" w:rsidP="005C7424">
            <w:pPr>
              <w:jc w:val="center"/>
              <w:rPr>
                <w:sz w:val="20"/>
                <w:szCs w:val="20"/>
              </w:rPr>
            </w:pPr>
            <w:r w:rsidRPr="00F552F0">
              <w:rPr>
                <w:sz w:val="20"/>
                <w:szCs w:val="20"/>
              </w:rPr>
              <w:t>5</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Spain</w:t>
                </w:r>
              </w:smartTag>
            </w:smartTag>
          </w:p>
        </w:tc>
        <w:tc>
          <w:tcPr>
            <w:tcW w:w="1608" w:type="dxa"/>
            <w:vAlign w:val="center"/>
          </w:tcPr>
          <w:p w:rsidR="004C3644" w:rsidRPr="00F552F0" w:rsidRDefault="004C3644" w:rsidP="005C7424">
            <w:pPr>
              <w:jc w:val="center"/>
              <w:rPr>
                <w:sz w:val="20"/>
                <w:szCs w:val="20"/>
              </w:rPr>
            </w:pPr>
            <w:r w:rsidRPr="00F552F0">
              <w:rPr>
                <w:sz w:val="20"/>
                <w:szCs w:val="20"/>
              </w:rPr>
              <w:t>ES</w:t>
            </w:r>
          </w:p>
        </w:tc>
        <w:tc>
          <w:tcPr>
            <w:tcW w:w="1608" w:type="dxa"/>
            <w:vAlign w:val="center"/>
          </w:tcPr>
          <w:p w:rsidR="004C3644" w:rsidRPr="00F552F0" w:rsidRDefault="004C3644" w:rsidP="005C7424">
            <w:pPr>
              <w:jc w:val="center"/>
              <w:rPr>
                <w:sz w:val="20"/>
                <w:szCs w:val="20"/>
              </w:rPr>
            </w:pPr>
            <w:r w:rsidRPr="00F552F0">
              <w:rPr>
                <w:sz w:val="20"/>
                <w:szCs w:val="20"/>
              </w:rPr>
              <w:t>0.34</w:t>
            </w:r>
          </w:p>
        </w:tc>
        <w:tc>
          <w:tcPr>
            <w:tcW w:w="1608" w:type="dxa"/>
            <w:vAlign w:val="center"/>
          </w:tcPr>
          <w:p w:rsidR="004C3644" w:rsidRPr="00F552F0" w:rsidRDefault="004C3644" w:rsidP="005C7424">
            <w:pPr>
              <w:jc w:val="center"/>
              <w:rPr>
                <w:sz w:val="20"/>
                <w:szCs w:val="20"/>
              </w:rPr>
            </w:pPr>
            <w:r w:rsidRPr="00F552F0">
              <w:rPr>
                <w:sz w:val="20"/>
                <w:szCs w:val="20"/>
              </w:rPr>
              <w:t>0.01</w:t>
            </w:r>
          </w:p>
        </w:tc>
        <w:tc>
          <w:tcPr>
            <w:tcW w:w="1608" w:type="dxa"/>
            <w:vAlign w:val="center"/>
          </w:tcPr>
          <w:p w:rsidR="004C3644" w:rsidRPr="00F552F0" w:rsidRDefault="004C3644" w:rsidP="005C7424">
            <w:pPr>
              <w:jc w:val="center"/>
              <w:rPr>
                <w:sz w:val="20"/>
                <w:szCs w:val="20"/>
              </w:rPr>
            </w:pPr>
            <w:r w:rsidRPr="00F552F0">
              <w:rPr>
                <w:sz w:val="20"/>
                <w:szCs w:val="20"/>
              </w:rPr>
              <w:t>0.65</w:t>
            </w:r>
          </w:p>
        </w:tc>
        <w:tc>
          <w:tcPr>
            <w:tcW w:w="1608" w:type="dxa"/>
            <w:vAlign w:val="center"/>
          </w:tcPr>
          <w:p w:rsidR="004C3644" w:rsidRPr="00F552F0" w:rsidRDefault="004C3644" w:rsidP="005C7424">
            <w:pPr>
              <w:jc w:val="center"/>
              <w:rPr>
                <w:sz w:val="20"/>
                <w:szCs w:val="20"/>
              </w:rPr>
            </w:pPr>
            <w:r w:rsidRPr="00F552F0">
              <w:rPr>
                <w:sz w:val="20"/>
                <w:szCs w:val="20"/>
              </w:rPr>
              <w:t>14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Sri Lanka</w:t>
                </w:r>
              </w:smartTag>
            </w:smartTag>
          </w:p>
        </w:tc>
        <w:tc>
          <w:tcPr>
            <w:tcW w:w="1608" w:type="dxa"/>
            <w:vAlign w:val="center"/>
          </w:tcPr>
          <w:p w:rsidR="004C3644" w:rsidRPr="00F552F0" w:rsidRDefault="004C3644" w:rsidP="005C7424">
            <w:pPr>
              <w:jc w:val="center"/>
              <w:rPr>
                <w:sz w:val="20"/>
                <w:szCs w:val="20"/>
              </w:rPr>
            </w:pPr>
            <w:r w:rsidRPr="00F552F0">
              <w:rPr>
                <w:sz w:val="20"/>
                <w:szCs w:val="20"/>
              </w:rPr>
              <w:t>LK</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0.59</w:t>
            </w:r>
          </w:p>
        </w:tc>
        <w:tc>
          <w:tcPr>
            <w:tcW w:w="1608" w:type="dxa"/>
            <w:vAlign w:val="center"/>
          </w:tcPr>
          <w:p w:rsidR="004C3644" w:rsidRPr="00F552F0" w:rsidRDefault="004C3644" w:rsidP="005C7424">
            <w:pPr>
              <w:jc w:val="center"/>
              <w:rPr>
                <w:sz w:val="20"/>
                <w:szCs w:val="20"/>
              </w:rPr>
            </w:pPr>
            <w:r w:rsidRPr="00F552F0">
              <w:rPr>
                <w:sz w:val="20"/>
                <w:szCs w:val="20"/>
              </w:rPr>
              <w:t>0.41</w:t>
            </w:r>
          </w:p>
        </w:tc>
        <w:tc>
          <w:tcPr>
            <w:tcW w:w="1608" w:type="dxa"/>
            <w:vAlign w:val="center"/>
          </w:tcPr>
          <w:p w:rsidR="004C3644" w:rsidRPr="00F552F0" w:rsidRDefault="004C3644" w:rsidP="005C7424">
            <w:pPr>
              <w:jc w:val="center"/>
              <w:rPr>
                <w:sz w:val="20"/>
                <w:szCs w:val="20"/>
              </w:rPr>
            </w:pPr>
            <w:r w:rsidRPr="00F552F0">
              <w:rPr>
                <w:sz w:val="20"/>
                <w:szCs w:val="20"/>
              </w:rPr>
              <w:t>6</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Sweden</w:t>
                </w:r>
              </w:smartTag>
            </w:smartTag>
          </w:p>
        </w:tc>
        <w:tc>
          <w:tcPr>
            <w:tcW w:w="1608" w:type="dxa"/>
            <w:vAlign w:val="center"/>
          </w:tcPr>
          <w:p w:rsidR="004C3644" w:rsidRPr="00F552F0" w:rsidRDefault="004C3644" w:rsidP="005C7424">
            <w:pPr>
              <w:jc w:val="center"/>
              <w:rPr>
                <w:sz w:val="20"/>
                <w:szCs w:val="20"/>
              </w:rPr>
            </w:pPr>
            <w:r w:rsidRPr="00F552F0">
              <w:rPr>
                <w:sz w:val="20"/>
                <w:szCs w:val="20"/>
              </w:rPr>
              <w:t>SE</w:t>
            </w:r>
          </w:p>
        </w:tc>
        <w:tc>
          <w:tcPr>
            <w:tcW w:w="1608" w:type="dxa"/>
            <w:vAlign w:val="center"/>
          </w:tcPr>
          <w:p w:rsidR="004C3644" w:rsidRPr="00F552F0" w:rsidRDefault="004C3644" w:rsidP="005C7424">
            <w:pPr>
              <w:jc w:val="center"/>
              <w:rPr>
                <w:sz w:val="20"/>
                <w:szCs w:val="20"/>
              </w:rPr>
            </w:pPr>
            <w:r w:rsidRPr="00F552F0">
              <w:rPr>
                <w:sz w:val="20"/>
                <w:szCs w:val="20"/>
              </w:rPr>
              <w:t>0.30</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0.70</w:t>
            </w:r>
          </w:p>
        </w:tc>
        <w:tc>
          <w:tcPr>
            <w:tcW w:w="1608" w:type="dxa"/>
            <w:vAlign w:val="center"/>
          </w:tcPr>
          <w:p w:rsidR="004C3644" w:rsidRPr="00F552F0" w:rsidRDefault="004C3644" w:rsidP="005C7424">
            <w:pPr>
              <w:jc w:val="center"/>
              <w:rPr>
                <w:sz w:val="20"/>
                <w:szCs w:val="20"/>
              </w:rPr>
            </w:pPr>
            <w:r w:rsidRPr="00F552F0">
              <w:rPr>
                <w:sz w:val="20"/>
                <w:szCs w:val="20"/>
              </w:rPr>
              <w:t>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Switzerland</w:t>
                </w:r>
              </w:smartTag>
            </w:smartTag>
          </w:p>
        </w:tc>
        <w:tc>
          <w:tcPr>
            <w:tcW w:w="1608" w:type="dxa"/>
            <w:vAlign w:val="center"/>
          </w:tcPr>
          <w:p w:rsidR="004C3644" w:rsidRPr="00F552F0" w:rsidRDefault="004C3644" w:rsidP="005C7424">
            <w:pPr>
              <w:jc w:val="center"/>
              <w:rPr>
                <w:sz w:val="20"/>
                <w:szCs w:val="20"/>
              </w:rPr>
            </w:pPr>
            <w:r w:rsidRPr="00F552F0">
              <w:rPr>
                <w:sz w:val="20"/>
                <w:szCs w:val="20"/>
              </w:rPr>
              <w:t>CH</w:t>
            </w:r>
          </w:p>
        </w:tc>
        <w:tc>
          <w:tcPr>
            <w:tcW w:w="1608" w:type="dxa"/>
            <w:vAlign w:val="center"/>
          </w:tcPr>
          <w:p w:rsidR="004C3644" w:rsidRPr="00F552F0" w:rsidRDefault="004C3644" w:rsidP="005C7424">
            <w:pPr>
              <w:jc w:val="center"/>
              <w:rPr>
                <w:sz w:val="20"/>
                <w:szCs w:val="20"/>
              </w:rPr>
            </w:pPr>
            <w:r w:rsidRPr="00F552F0">
              <w:rPr>
                <w:sz w:val="20"/>
                <w:szCs w:val="20"/>
              </w:rPr>
              <w:t>0.09</w:t>
            </w:r>
          </w:p>
        </w:tc>
        <w:tc>
          <w:tcPr>
            <w:tcW w:w="1608" w:type="dxa"/>
            <w:vAlign w:val="center"/>
          </w:tcPr>
          <w:p w:rsidR="004C3644" w:rsidRPr="00F552F0" w:rsidRDefault="004C3644" w:rsidP="005C7424">
            <w:pPr>
              <w:jc w:val="center"/>
              <w:rPr>
                <w:sz w:val="20"/>
                <w:szCs w:val="20"/>
              </w:rPr>
            </w:pPr>
            <w:r w:rsidRPr="00F552F0">
              <w:rPr>
                <w:sz w:val="20"/>
                <w:szCs w:val="20"/>
              </w:rPr>
              <w:t>0.21</w:t>
            </w:r>
          </w:p>
        </w:tc>
        <w:tc>
          <w:tcPr>
            <w:tcW w:w="1608" w:type="dxa"/>
            <w:vAlign w:val="center"/>
          </w:tcPr>
          <w:p w:rsidR="004C3644" w:rsidRPr="00F552F0" w:rsidRDefault="004C3644" w:rsidP="005C7424">
            <w:pPr>
              <w:jc w:val="center"/>
              <w:rPr>
                <w:sz w:val="20"/>
                <w:szCs w:val="20"/>
              </w:rPr>
            </w:pPr>
            <w:r w:rsidRPr="00F552F0">
              <w:rPr>
                <w:sz w:val="20"/>
                <w:szCs w:val="20"/>
              </w:rPr>
              <w:t>0.70</w:t>
            </w:r>
          </w:p>
        </w:tc>
        <w:tc>
          <w:tcPr>
            <w:tcW w:w="1608" w:type="dxa"/>
            <w:vAlign w:val="center"/>
          </w:tcPr>
          <w:p w:rsidR="004C3644" w:rsidRPr="00F552F0" w:rsidRDefault="004C3644" w:rsidP="005C7424">
            <w:pPr>
              <w:jc w:val="center"/>
              <w:rPr>
                <w:sz w:val="20"/>
                <w:szCs w:val="20"/>
              </w:rPr>
            </w:pPr>
            <w:r w:rsidRPr="00F552F0">
              <w:rPr>
                <w:sz w:val="20"/>
                <w:szCs w:val="20"/>
              </w:rPr>
              <w:t>9</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Taiwan</w:t>
                </w:r>
              </w:smartTag>
            </w:smartTag>
          </w:p>
        </w:tc>
        <w:tc>
          <w:tcPr>
            <w:tcW w:w="1608" w:type="dxa"/>
            <w:vAlign w:val="center"/>
          </w:tcPr>
          <w:p w:rsidR="004C3644" w:rsidRPr="00F552F0" w:rsidRDefault="004C3644" w:rsidP="005C7424">
            <w:pPr>
              <w:jc w:val="center"/>
              <w:rPr>
                <w:sz w:val="20"/>
                <w:szCs w:val="20"/>
              </w:rPr>
            </w:pPr>
            <w:r w:rsidRPr="00F552F0">
              <w:rPr>
                <w:sz w:val="20"/>
                <w:szCs w:val="20"/>
              </w:rPr>
              <w:t>TW</w:t>
            </w:r>
          </w:p>
        </w:tc>
        <w:tc>
          <w:tcPr>
            <w:tcW w:w="1608" w:type="dxa"/>
            <w:vAlign w:val="center"/>
          </w:tcPr>
          <w:p w:rsidR="004C3644" w:rsidRPr="00F552F0" w:rsidRDefault="004C3644" w:rsidP="005C7424">
            <w:pPr>
              <w:jc w:val="center"/>
              <w:rPr>
                <w:sz w:val="20"/>
                <w:szCs w:val="20"/>
              </w:rPr>
            </w:pPr>
            <w:r w:rsidRPr="00F552F0">
              <w:rPr>
                <w:sz w:val="20"/>
                <w:szCs w:val="20"/>
              </w:rPr>
              <w:t>0.17</w:t>
            </w:r>
          </w:p>
        </w:tc>
        <w:tc>
          <w:tcPr>
            <w:tcW w:w="1608" w:type="dxa"/>
            <w:vAlign w:val="center"/>
          </w:tcPr>
          <w:p w:rsidR="004C3644" w:rsidRPr="00F552F0" w:rsidRDefault="004C3644" w:rsidP="005C7424">
            <w:pPr>
              <w:jc w:val="center"/>
              <w:rPr>
                <w:sz w:val="20"/>
                <w:szCs w:val="20"/>
              </w:rPr>
            </w:pPr>
            <w:r w:rsidRPr="00F552F0">
              <w:rPr>
                <w:sz w:val="20"/>
                <w:szCs w:val="20"/>
              </w:rPr>
              <w:t>0.74</w:t>
            </w:r>
          </w:p>
        </w:tc>
        <w:tc>
          <w:tcPr>
            <w:tcW w:w="1608" w:type="dxa"/>
            <w:vAlign w:val="center"/>
          </w:tcPr>
          <w:p w:rsidR="004C3644" w:rsidRPr="00F552F0" w:rsidRDefault="004C3644" w:rsidP="005C7424">
            <w:pPr>
              <w:jc w:val="center"/>
              <w:rPr>
                <w:sz w:val="20"/>
                <w:szCs w:val="20"/>
              </w:rPr>
            </w:pPr>
            <w:r w:rsidRPr="00F552F0">
              <w:rPr>
                <w:sz w:val="20"/>
                <w:szCs w:val="20"/>
              </w:rPr>
              <w:t>0.09</w:t>
            </w:r>
          </w:p>
        </w:tc>
        <w:tc>
          <w:tcPr>
            <w:tcW w:w="1608" w:type="dxa"/>
            <w:vAlign w:val="center"/>
          </w:tcPr>
          <w:p w:rsidR="004C3644" w:rsidRPr="00F552F0" w:rsidRDefault="004C3644" w:rsidP="005C7424">
            <w:pPr>
              <w:jc w:val="center"/>
              <w:rPr>
                <w:sz w:val="20"/>
                <w:szCs w:val="20"/>
              </w:rPr>
            </w:pPr>
            <w:r w:rsidRPr="00F552F0">
              <w:rPr>
                <w:sz w:val="20"/>
                <w:szCs w:val="20"/>
              </w:rPr>
              <w:t>14</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Thailand</w:t>
                </w:r>
              </w:smartTag>
            </w:smartTag>
          </w:p>
        </w:tc>
        <w:tc>
          <w:tcPr>
            <w:tcW w:w="1608" w:type="dxa"/>
            <w:vAlign w:val="center"/>
          </w:tcPr>
          <w:p w:rsidR="004C3644" w:rsidRPr="00F552F0" w:rsidRDefault="004C3644" w:rsidP="005C7424">
            <w:pPr>
              <w:jc w:val="center"/>
              <w:rPr>
                <w:sz w:val="20"/>
                <w:szCs w:val="20"/>
              </w:rPr>
            </w:pPr>
            <w:r w:rsidRPr="00F552F0">
              <w:rPr>
                <w:sz w:val="20"/>
                <w:szCs w:val="20"/>
              </w:rPr>
              <w:t>TH</w:t>
            </w:r>
          </w:p>
        </w:tc>
        <w:tc>
          <w:tcPr>
            <w:tcW w:w="1608" w:type="dxa"/>
            <w:vAlign w:val="center"/>
          </w:tcPr>
          <w:p w:rsidR="004C3644" w:rsidRPr="00F552F0" w:rsidRDefault="004C3644" w:rsidP="005C7424">
            <w:pPr>
              <w:jc w:val="center"/>
              <w:rPr>
                <w:sz w:val="20"/>
                <w:szCs w:val="20"/>
              </w:rPr>
            </w:pPr>
            <w:r w:rsidRPr="00F552F0">
              <w:rPr>
                <w:sz w:val="20"/>
                <w:szCs w:val="20"/>
              </w:rPr>
              <w:t>0.54</w:t>
            </w:r>
          </w:p>
        </w:tc>
        <w:tc>
          <w:tcPr>
            <w:tcW w:w="1608" w:type="dxa"/>
            <w:vAlign w:val="center"/>
          </w:tcPr>
          <w:p w:rsidR="004C3644" w:rsidRPr="00F552F0" w:rsidRDefault="004C3644" w:rsidP="005C7424">
            <w:pPr>
              <w:jc w:val="center"/>
              <w:rPr>
                <w:sz w:val="20"/>
                <w:szCs w:val="20"/>
              </w:rPr>
            </w:pPr>
            <w:r w:rsidRPr="00F552F0">
              <w:rPr>
                <w:sz w:val="20"/>
                <w:szCs w:val="20"/>
              </w:rPr>
              <w:t>0.46</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7</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Turkey</w:t>
                </w:r>
              </w:smartTag>
            </w:smartTag>
          </w:p>
        </w:tc>
        <w:tc>
          <w:tcPr>
            <w:tcW w:w="1608" w:type="dxa"/>
            <w:vAlign w:val="center"/>
          </w:tcPr>
          <w:p w:rsidR="004C3644" w:rsidRPr="00F552F0" w:rsidRDefault="004C3644" w:rsidP="005C7424">
            <w:pPr>
              <w:jc w:val="center"/>
              <w:rPr>
                <w:sz w:val="20"/>
                <w:szCs w:val="20"/>
              </w:rPr>
            </w:pPr>
            <w:r w:rsidRPr="00F552F0">
              <w:rPr>
                <w:sz w:val="20"/>
                <w:szCs w:val="20"/>
              </w:rPr>
              <w:t>TR</w:t>
            </w:r>
          </w:p>
        </w:tc>
        <w:tc>
          <w:tcPr>
            <w:tcW w:w="1608" w:type="dxa"/>
            <w:vAlign w:val="center"/>
          </w:tcPr>
          <w:p w:rsidR="004C3644" w:rsidRPr="00F552F0" w:rsidRDefault="004C3644" w:rsidP="005C7424">
            <w:pPr>
              <w:jc w:val="center"/>
              <w:rPr>
                <w:sz w:val="20"/>
                <w:szCs w:val="20"/>
              </w:rPr>
            </w:pPr>
            <w:r w:rsidRPr="00F552F0">
              <w:rPr>
                <w:sz w:val="20"/>
                <w:szCs w:val="20"/>
              </w:rPr>
              <w:t>0.48</w:t>
            </w:r>
          </w:p>
        </w:tc>
        <w:tc>
          <w:tcPr>
            <w:tcW w:w="1608" w:type="dxa"/>
            <w:vAlign w:val="center"/>
          </w:tcPr>
          <w:p w:rsidR="004C3644" w:rsidRPr="00F552F0" w:rsidRDefault="004C3644" w:rsidP="005C7424">
            <w:pPr>
              <w:jc w:val="center"/>
              <w:rPr>
                <w:sz w:val="20"/>
                <w:szCs w:val="20"/>
              </w:rPr>
            </w:pPr>
            <w:r w:rsidRPr="00F552F0">
              <w:rPr>
                <w:sz w:val="20"/>
                <w:szCs w:val="20"/>
              </w:rPr>
              <w:t>0.32</w:t>
            </w:r>
          </w:p>
        </w:tc>
        <w:tc>
          <w:tcPr>
            <w:tcW w:w="1608" w:type="dxa"/>
            <w:vAlign w:val="center"/>
          </w:tcPr>
          <w:p w:rsidR="004C3644" w:rsidRPr="00F552F0" w:rsidRDefault="004C3644" w:rsidP="005C7424">
            <w:pPr>
              <w:jc w:val="center"/>
              <w:rPr>
                <w:sz w:val="20"/>
                <w:szCs w:val="20"/>
              </w:rPr>
            </w:pPr>
            <w:r w:rsidRPr="00F552F0">
              <w:rPr>
                <w:sz w:val="20"/>
                <w:szCs w:val="20"/>
              </w:rPr>
              <w:t>0.21</w:t>
            </w:r>
          </w:p>
        </w:tc>
        <w:tc>
          <w:tcPr>
            <w:tcW w:w="1608" w:type="dxa"/>
            <w:vAlign w:val="center"/>
          </w:tcPr>
          <w:p w:rsidR="004C3644" w:rsidRPr="00F552F0" w:rsidRDefault="004C3644" w:rsidP="005C7424">
            <w:pPr>
              <w:jc w:val="center"/>
              <w:rPr>
                <w:sz w:val="20"/>
                <w:szCs w:val="20"/>
              </w:rPr>
            </w:pPr>
            <w:r w:rsidRPr="00F552F0">
              <w:rPr>
                <w:sz w:val="20"/>
                <w:szCs w:val="20"/>
              </w:rPr>
              <w:t>11</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United Kingdom</w:t>
                </w:r>
              </w:smartTag>
            </w:smartTag>
          </w:p>
        </w:tc>
        <w:tc>
          <w:tcPr>
            <w:tcW w:w="1608" w:type="dxa"/>
            <w:vAlign w:val="center"/>
          </w:tcPr>
          <w:p w:rsidR="004C3644" w:rsidRPr="00F552F0" w:rsidRDefault="004C3644" w:rsidP="005C7424">
            <w:pPr>
              <w:jc w:val="center"/>
              <w:rPr>
                <w:sz w:val="20"/>
                <w:szCs w:val="20"/>
              </w:rPr>
            </w:pPr>
            <w:r w:rsidRPr="00F552F0">
              <w:rPr>
                <w:sz w:val="20"/>
                <w:szCs w:val="20"/>
              </w:rPr>
              <w:t>GB</w:t>
            </w:r>
          </w:p>
        </w:tc>
        <w:tc>
          <w:tcPr>
            <w:tcW w:w="1608" w:type="dxa"/>
            <w:vAlign w:val="center"/>
          </w:tcPr>
          <w:p w:rsidR="004C3644" w:rsidRPr="00F552F0" w:rsidRDefault="004C3644" w:rsidP="005C7424">
            <w:pPr>
              <w:jc w:val="center"/>
              <w:rPr>
                <w:sz w:val="20"/>
                <w:szCs w:val="20"/>
              </w:rPr>
            </w:pPr>
            <w:r w:rsidRPr="00F552F0">
              <w:rPr>
                <w:sz w:val="20"/>
                <w:szCs w:val="20"/>
              </w:rPr>
              <w:t>0.21</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0.79</w:t>
            </w:r>
          </w:p>
        </w:tc>
        <w:tc>
          <w:tcPr>
            <w:tcW w:w="1608" w:type="dxa"/>
            <w:vAlign w:val="center"/>
          </w:tcPr>
          <w:p w:rsidR="004C3644" w:rsidRPr="00F552F0" w:rsidRDefault="004C3644" w:rsidP="005C7424">
            <w:pPr>
              <w:jc w:val="center"/>
              <w:rPr>
                <w:sz w:val="20"/>
                <w:szCs w:val="20"/>
              </w:rPr>
            </w:pPr>
            <w:r w:rsidRPr="00F552F0">
              <w:rPr>
                <w:sz w:val="20"/>
                <w:szCs w:val="20"/>
              </w:rPr>
              <w:t>6</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United States</w:t>
                </w:r>
              </w:smartTag>
            </w:smartTag>
          </w:p>
        </w:tc>
        <w:tc>
          <w:tcPr>
            <w:tcW w:w="1608" w:type="dxa"/>
            <w:vAlign w:val="center"/>
          </w:tcPr>
          <w:p w:rsidR="004C3644" w:rsidRPr="00F552F0" w:rsidRDefault="004C3644" w:rsidP="005C7424">
            <w:pPr>
              <w:jc w:val="center"/>
              <w:rPr>
                <w:sz w:val="20"/>
                <w:szCs w:val="20"/>
              </w:rPr>
            </w:pPr>
            <w:r w:rsidRPr="00F552F0">
              <w:rPr>
                <w:sz w:val="20"/>
                <w:szCs w:val="20"/>
              </w:rPr>
              <w:t>US</w:t>
            </w:r>
          </w:p>
        </w:tc>
        <w:tc>
          <w:tcPr>
            <w:tcW w:w="1608" w:type="dxa"/>
            <w:vAlign w:val="center"/>
          </w:tcPr>
          <w:p w:rsidR="004C3644" w:rsidRPr="00F552F0" w:rsidRDefault="004C3644" w:rsidP="005C7424">
            <w:pPr>
              <w:jc w:val="center"/>
              <w:rPr>
                <w:sz w:val="20"/>
                <w:szCs w:val="20"/>
              </w:rPr>
            </w:pPr>
            <w:r w:rsidRPr="00F552F0">
              <w:rPr>
                <w:sz w:val="20"/>
                <w:szCs w:val="20"/>
              </w:rPr>
              <w:t>0.02</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0.98</w:t>
            </w:r>
          </w:p>
        </w:tc>
        <w:tc>
          <w:tcPr>
            <w:tcW w:w="1608" w:type="dxa"/>
            <w:vAlign w:val="center"/>
          </w:tcPr>
          <w:p w:rsidR="004C3644" w:rsidRPr="00F552F0" w:rsidRDefault="004C3644" w:rsidP="005C7424">
            <w:pPr>
              <w:jc w:val="center"/>
              <w:rPr>
                <w:sz w:val="20"/>
                <w:szCs w:val="20"/>
              </w:rPr>
            </w:pPr>
            <w:r w:rsidRPr="00F552F0">
              <w:rPr>
                <w:sz w:val="20"/>
                <w:szCs w:val="20"/>
              </w:rPr>
              <w:t>10</w:t>
            </w:r>
          </w:p>
        </w:tc>
      </w:tr>
      <w:tr w:rsidR="004C3644" w:rsidRPr="00F552F0" w:rsidTr="00D073CB">
        <w:tc>
          <w:tcPr>
            <w:tcW w:w="1608" w:type="dxa"/>
            <w:vAlign w:val="center"/>
          </w:tcPr>
          <w:p w:rsidR="004C3644" w:rsidRPr="00F552F0" w:rsidRDefault="004C3644" w:rsidP="005C7424">
            <w:pPr>
              <w:jc w:val="center"/>
              <w:rPr>
                <w:sz w:val="20"/>
                <w:szCs w:val="20"/>
              </w:rPr>
            </w:pPr>
            <w:smartTag w:uri="urn:schemas-microsoft-com:office:smarttags" w:element="place">
              <w:smartTag w:uri="urn:schemas-microsoft-com:office:smarttags" w:element="country-region">
                <w:r w:rsidRPr="00F552F0">
                  <w:rPr>
                    <w:sz w:val="20"/>
                    <w:szCs w:val="20"/>
                  </w:rPr>
                  <w:t>Venezuela</w:t>
                </w:r>
              </w:smartTag>
            </w:smartTag>
          </w:p>
        </w:tc>
        <w:tc>
          <w:tcPr>
            <w:tcW w:w="1608" w:type="dxa"/>
            <w:vAlign w:val="center"/>
          </w:tcPr>
          <w:p w:rsidR="004C3644" w:rsidRPr="00F552F0" w:rsidRDefault="004C3644" w:rsidP="005C7424">
            <w:pPr>
              <w:jc w:val="center"/>
              <w:rPr>
                <w:sz w:val="20"/>
                <w:szCs w:val="20"/>
              </w:rPr>
            </w:pPr>
            <w:r w:rsidRPr="00F552F0">
              <w:rPr>
                <w:sz w:val="20"/>
                <w:szCs w:val="20"/>
              </w:rPr>
              <w:t>ZM</w:t>
            </w:r>
          </w:p>
        </w:tc>
        <w:tc>
          <w:tcPr>
            <w:tcW w:w="1608" w:type="dxa"/>
            <w:vAlign w:val="center"/>
          </w:tcPr>
          <w:p w:rsidR="004C3644" w:rsidRPr="00F552F0" w:rsidRDefault="004C3644" w:rsidP="005C7424">
            <w:pPr>
              <w:jc w:val="center"/>
              <w:rPr>
                <w:sz w:val="20"/>
                <w:szCs w:val="20"/>
              </w:rPr>
            </w:pPr>
            <w:r w:rsidRPr="00F552F0">
              <w:rPr>
                <w:sz w:val="20"/>
                <w:szCs w:val="20"/>
              </w:rPr>
              <w:t>0.76</w:t>
            </w:r>
          </w:p>
        </w:tc>
        <w:tc>
          <w:tcPr>
            <w:tcW w:w="1608" w:type="dxa"/>
            <w:vAlign w:val="center"/>
          </w:tcPr>
          <w:p w:rsidR="004C3644" w:rsidRPr="00F552F0" w:rsidRDefault="004C3644" w:rsidP="005C7424">
            <w:pPr>
              <w:jc w:val="center"/>
              <w:rPr>
                <w:sz w:val="20"/>
                <w:szCs w:val="20"/>
              </w:rPr>
            </w:pPr>
            <w:r w:rsidRPr="00F552F0">
              <w:rPr>
                <w:sz w:val="20"/>
                <w:szCs w:val="20"/>
              </w:rPr>
              <w:t>0.00</w:t>
            </w:r>
          </w:p>
        </w:tc>
        <w:tc>
          <w:tcPr>
            <w:tcW w:w="1608" w:type="dxa"/>
            <w:vAlign w:val="center"/>
          </w:tcPr>
          <w:p w:rsidR="004C3644" w:rsidRPr="00F552F0" w:rsidRDefault="004C3644" w:rsidP="005C7424">
            <w:pPr>
              <w:jc w:val="center"/>
              <w:rPr>
                <w:sz w:val="20"/>
                <w:szCs w:val="20"/>
              </w:rPr>
            </w:pPr>
            <w:r w:rsidRPr="00F552F0">
              <w:rPr>
                <w:sz w:val="20"/>
                <w:szCs w:val="20"/>
              </w:rPr>
              <w:t>0.24</w:t>
            </w:r>
          </w:p>
        </w:tc>
        <w:tc>
          <w:tcPr>
            <w:tcW w:w="1608" w:type="dxa"/>
            <w:vAlign w:val="center"/>
          </w:tcPr>
          <w:p w:rsidR="004C3644" w:rsidRPr="00F552F0" w:rsidRDefault="004C3644" w:rsidP="005C7424">
            <w:pPr>
              <w:jc w:val="center"/>
              <w:rPr>
                <w:sz w:val="20"/>
                <w:szCs w:val="20"/>
              </w:rPr>
            </w:pPr>
            <w:r w:rsidRPr="00F552F0">
              <w:rPr>
                <w:sz w:val="20"/>
                <w:szCs w:val="20"/>
              </w:rPr>
              <w:t>2</w:t>
            </w:r>
          </w:p>
        </w:tc>
      </w:tr>
      <w:tr w:rsidR="004C3644" w:rsidRPr="00F552F0" w:rsidTr="00D073CB">
        <w:tc>
          <w:tcPr>
            <w:tcW w:w="1608" w:type="dxa"/>
            <w:tcBorders>
              <w:bottom w:val="single" w:sz="4" w:space="0" w:color="auto"/>
            </w:tcBorders>
            <w:vAlign w:val="center"/>
          </w:tcPr>
          <w:p w:rsidR="007B7D43" w:rsidRPr="00F552F0" w:rsidRDefault="004C3644" w:rsidP="007B7D43">
            <w:pPr>
              <w:jc w:val="center"/>
              <w:rPr>
                <w:sz w:val="20"/>
                <w:szCs w:val="20"/>
              </w:rPr>
            </w:pPr>
            <w:smartTag w:uri="urn:schemas-microsoft-com:office:smarttags" w:element="place">
              <w:smartTag w:uri="urn:schemas-microsoft-com:office:smarttags" w:element="country-region">
                <w:r w:rsidRPr="00F552F0">
                  <w:rPr>
                    <w:sz w:val="20"/>
                    <w:szCs w:val="20"/>
                  </w:rPr>
                  <w:t>Zimbabwe</w:t>
                </w:r>
              </w:smartTag>
            </w:smartTag>
          </w:p>
        </w:tc>
        <w:tc>
          <w:tcPr>
            <w:tcW w:w="1608" w:type="dxa"/>
            <w:tcBorders>
              <w:bottom w:val="single" w:sz="4" w:space="0" w:color="auto"/>
            </w:tcBorders>
            <w:vAlign w:val="center"/>
          </w:tcPr>
          <w:p w:rsidR="004C3644" w:rsidRPr="00F552F0" w:rsidRDefault="004C3644" w:rsidP="005C7424">
            <w:pPr>
              <w:jc w:val="center"/>
              <w:rPr>
                <w:sz w:val="20"/>
                <w:szCs w:val="20"/>
              </w:rPr>
            </w:pPr>
            <w:r w:rsidRPr="00F552F0">
              <w:rPr>
                <w:sz w:val="20"/>
                <w:szCs w:val="20"/>
              </w:rPr>
              <w:t>ZW</w:t>
            </w:r>
          </w:p>
        </w:tc>
        <w:tc>
          <w:tcPr>
            <w:tcW w:w="1608" w:type="dxa"/>
            <w:tcBorders>
              <w:bottom w:val="single" w:sz="4" w:space="0" w:color="auto"/>
            </w:tcBorders>
            <w:vAlign w:val="center"/>
          </w:tcPr>
          <w:p w:rsidR="004C3644" w:rsidRPr="00F552F0" w:rsidRDefault="004C3644" w:rsidP="005C7424">
            <w:pPr>
              <w:jc w:val="center"/>
              <w:rPr>
                <w:sz w:val="20"/>
                <w:szCs w:val="20"/>
              </w:rPr>
            </w:pPr>
            <w:r w:rsidRPr="00F552F0">
              <w:rPr>
                <w:sz w:val="20"/>
                <w:szCs w:val="20"/>
              </w:rPr>
              <w:t>0.00</w:t>
            </w:r>
          </w:p>
        </w:tc>
        <w:tc>
          <w:tcPr>
            <w:tcW w:w="1608" w:type="dxa"/>
            <w:tcBorders>
              <w:bottom w:val="single" w:sz="4" w:space="0" w:color="auto"/>
            </w:tcBorders>
            <w:vAlign w:val="center"/>
          </w:tcPr>
          <w:p w:rsidR="004C3644" w:rsidRPr="00F552F0" w:rsidRDefault="004C3644" w:rsidP="005C7424">
            <w:pPr>
              <w:jc w:val="center"/>
              <w:rPr>
                <w:sz w:val="20"/>
                <w:szCs w:val="20"/>
              </w:rPr>
            </w:pPr>
            <w:r w:rsidRPr="00F552F0">
              <w:rPr>
                <w:sz w:val="20"/>
                <w:szCs w:val="20"/>
              </w:rPr>
              <w:t>0.00</w:t>
            </w:r>
          </w:p>
        </w:tc>
        <w:tc>
          <w:tcPr>
            <w:tcW w:w="1608" w:type="dxa"/>
            <w:tcBorders>
              <w:bottom w:val="single" w:sz="4" w:space="0" w:color="auto"/>
            </w:tcBorders>
            <w:vAlign w:val="center"/>
          </w:tcPr>
          <w:p w:rsidR="004C3644" w:rsidRPr="00F552F0" w:rsidRDefault="004C3644" w:rsidP="005C7424">
            <w:pPr>
              <w:jc w:val="center"/>
              <w:rPr>
                <w:sz w:val="20"/>
                <w:szCs w:val="20"/>
              </w:rPr>
            </w:pPr>
            <w:r w:rsidRPr="00F552F0">
              <w:rPr>
                <w:sz w:val="20"/>
                <w:szCs w:val="20"/>
              </w:rPr>
              <w:t>1.00</w:t>
            </w:r>
          </w:p>
        </w:tc>
        <w:tc>
          <w:tcPr>
            <w:tcW w:w="1608" w:type="dxa"/>
            <w:tcBorders>
              <w:bottom w:val="single" w:sz="4" w:space="0" w:color="auto"/>
            </w:tcBorders>
            <w:vAlign w:val="center"/>
          </w:tcPr>
          <w:p w:rsidR="004C3644" w:rsidRPr="00F552F0" w:rsidRDefault="004C3644" w:rsidP="005C7424">
            <w:pPr>
              <w:jc w:val="center"/>
              <w:rPr>
                <w:sz w:val="20"/>
                <w:szCs w:val="20"/>
              </w:rPr>
            </w:pPr>
            <w:r w:rsidRPr="00F552F0">
              <w:rPr>
                <w:sz w:val="20"/>
                <w:szCs w:val="20"/>
              </w:rPr>
              <w:t>2</w:t>
            </w:r>
          </w:p>
        </w:tc>
      </w:tr>
    </w:tbl>
    <w:p w:rsidR="002A4A88" w:rsidRPr="00F552F0" w:rsidRDefault="002A4A88"/>
    <w:tbl>
      <w:tblPr>
        <w:tblW w:w="9178" w:type="dxa"/>
        <w:tblLayout w:type="fixed"/>
        <w:tblLook w:val="01E0" w:firstRow="1" w:lastRow="1" w:firstColumn="1" w:lastColumn="1" w:noHBand="0" w:noVBand="0"/>
      </w:tblPr>
      <w:tblGrid>
        <w:gridCol w:w="439"/>
        <w:gridCol w:w="3269"/>
        <w:gridCol w:w="1029"/>
        <w:gridCol w:w="144"/>
        <w:gridCol w:w="889"/>
        <w:gridCol w:w="98"/>
        <w:gridCol w:w="7"/>
        <w:gridCol w:w="996"/>
        <w:gridCol w:w="1200"/>
        <w:gridCol w:w="1107"/>
      </w:tblGrid>
      <w:tr w:rsidR="004C3644" w:rsidRPr="00F552F0" w:rsidTr="002A4A88">
        <w:tc>
          <w:tcPr>
            <w:tcW w:w="9178" w:type="dxa"/>
            <w:gridSpan w:val="10"/>
          </w:tcPr>
          <w:p w:rsidR="00E21501" w:rsidRPr="00F552F0" w:rsidRDefault="004C3644">
            <w:pPr>
              <w:rPr>
                <w:b/>
                <w:sz w:val="18"/>
                <w:szCs w:val="18"/>
              </w:rPr>
            </w:pPr>
            <w:r w:rsidRPr="00F552F0">
              <w:br w:type="page"/>
            </w:r>
            <w:r w:rsidRPr="00F552F0">
              <w:rPr>
                <w:b/>
                <w:sz w:val="18"/>
                <w:szCs w:val="18"/>
              </w:rPr>
              <w:t xml:space="preserve">Table 2 </w:t>
            </w:r>
          </w:p>
          <w:p w:rsidR="00E21501" w:rsidRPr="00F552F0" w:rsidRDefault="003D5871">
            <w:pPr>
              <w:rPr>
                <w:sz w:val="18"/>
                <w:szCs w:val="18"/>
              </w:rPr>
            </w:pPr>
            <w:r w:rsidRPr="00F552F0">
              <w:rPr>
                <w:sz w:val="18"/>
                <w:szCs w:val="18"/>
              </w:rPr>
              <w:t xml:space="preserve">Descriptive </w:t>
            </w:r>
            <w:r w:rsidR="003C5B19" w:rsidRPr="00F552F0">
              <w:rPr>
                <w:sz w:val="18"/>
                <w:szCs w:val="18"/>
              </w:rPr>
              <w:t>s</w:t>
            </w:r>
            <w:r w:rsidRPr="00F552F0">
              <w:rPr>
                <w:sz w:val="18"/>
                <w:szCs w:val="18"/>
              </w:rPr>
              <w:t xml:space="preserve">tatistics of </w:t>
            </w:r>
            <w:r w:rsidR="003C5B19" w:rsidRPr="00F552F0">
              <w:rPr>
                <w:sz w:val="18"/>
                <w:szCs w:val="18"/>
              </w:rPr>
              <w:t>m</w:t>
            </w:r>
            <w:r w:rsidRPr="00F552F0">
              <w:rPr>
                <w:sz w:val="18"/>
                <w:szCs w:val="18"/>
              </w:rPr>
              <w:t xml:space="preserve">ain </w:t>
            </w:r>
            <w:r w:rsidR="003C5B19" w:rsidRPr="00F552F0">
              <w:rPr>
                <w:sz w:val="18"/>
                <w:szCs w:val="18"/>
              </w:rPr>
              <w:t>v</w:t>
            </w:r>
            <w:r w:rsidRPr="00F552F0">
              <w:rPr>
                <w:sz w:val="18"/>
                <w:szCs w:val="18"/>
              </w:rPr>
              <w:t>ariables</w:t>
            </w:r>
          </w:p>
        </w:tc>
      </w:tr>
      <w:tr w:rsidR="004C3644" w:rsidRPr="00F552F0" w:rsidTr="002A4A88">
        <w:tc>
          <w:tcPr>
            <w:tcW w:w="9178" w:type="dxa"/>
            <w:gridSpan w:val="10"/>
            <w:tcBorders>
              <w:bottom w:val="single" w:sz="4" w:space="0" w:color="auto"/>
            </w:tcBorders>
          </w:tcPr>
          <w:p w:rsidR="004C3644" w:rsidRPr="00F552F0" w:rsidRDefault="003C5B19" w:rsidP="00E241AF">
            <w:pPr>
              <w:spacing w:after="60"/>
              <w:jc w:val="both"/>
              <w:rPr>
                <w:sz w:val="18"/>
                <w:szCs w:val="18"/>
              </w:rPr>
            </w:pPr>
            <w:r w:rsidRPr="00F552F0">
              <w:rPr>
                <w:sz w:val="18"/>
                <w:szCs w:val="18"/>
              </w:rPr>
              <w:tab/>
            </w:r>
            <w:r w:rsidR="00CA45B5" w:rsidRPr="00F552F0">
              <w:rPr>
                <w:sz w:val="18"/>
                <w:szCs w:val="18"/>
              </w:rPr>
              <w:t>The sample starts with</w:t>
            </w:r>
            <w:r w:rsidR="009E6EF4" w:rsidRPr="00F552F0">
              <w:rPr>
                <w:sz w:val="18"/>
                <w:szCs w:val="18"/>
              </w:rPr>
              <w:t xml:space="preserve"> the 44 countries and 324 listed and unl</w:t>
            </w:r>
            <w:r w:rsidR="00CA45B5" w:rsidRPr="00F552F0">
              <w:rPr>
                <w:sz w:val="18"/>
                <w:szCs w:val="18"/>
              </w:rPr>
              <w:t>isted banks described in Table</w:t>
            </w:r>
            <w:r w:rsidR="0001373F" w:rsidRPr="00F552F0">
              <w:rPr>
                <w:sz w:val="18"/>
                <w:szCs w:val="18"/>
              </w:rPr>
              <w:t xml:space="preserve"> </w:t>
            </w:r>
            <w:r w:rsidR="00CA45B5" w:rsidRPr="00F552F0">
              <w:rPr>
                <w:sz w:val="18"/>
                <w:szCs w:val="18"/>
              </w:rPr>
              <w:t>1</w:t>
            </w:r>
            <w:r w:rsidR="0001373F" w:rsidRPr="00F552F0">
              <w:rPr>
                <w:sz w:val="18"/>
                <w:szCs w:val="18"/>
              </w:rPr>
              <w:t>,</w:t>
            </w:r>
            <w:r w:rsidR="00CA45B5" w:rsidRPr="00F552F0">
              <w:rPr>
                <w:sz w:val="18"/>
                <w:szCs w:val="18"/>
              </w:rPr>
              <w:t xml:space="preserve"> but not all variables are available for all countries. </w:t>
            </w:r>
            <w:r w:rsidR="004C3644" w:rsidRPr="00F552F0">
              <w:rPr>
                <w:sz w:val="18"/>
                <w:szCs w:val="18"/>
              </w:rPr>
              <w:t xml:space="preserve">Sample is the countries listed in Table 1; variables are defined in Table 3. </w:t>
            </w:r>
          </w:p>
        </w:tc>
      </w:tr>
      <w:tr w:rsidR="004C3644" w:rsidRPr="00F552F0" w:rsidTr="002A4A88">
        <w:tc>
          <w:tcPr>
            <w:tcW w:w="439" w:type="dxa"/>
            <w:tcBorders>
              <w:top w:val="single" w:sz="4" w:space="0" w:color="auto"/>
              <w:bottom w:val="single" w:sz="4" w:space="0" w:color="auto"/>
            </w:tcBorders>
            <w:vAlign w:val="bottom"/>
          </w:tcPr>
          <w:p w:rsidR="004C3644" w:rsidRPr="00F552F0" w:rsidRDefault="004C3644">
            <w:pPr>
              <w:jc w:val="center"/>
              <w:rPr>
                <w:sz w:val="18"/>
                <w:szCs w:val="18"/>
              </w:rPr>
            </w:pPr>
          </w:p>
        </w:tc>
        <w:tc>
          <w:tcPr>
            <w:tcW w:w="3269" w:type="dxa"/>
            <w:tcBorders>
              <w:top w:val="single" w:sz="4" w:space="0" w:color="auto"/>
              <w:bottom w:val="single" w:sz="4" w:space="0" w:color="auto"/>
            </w:tcBorders>
            <w:vAlign w:val="bottom"/>
          </w:tcPr>
          <w:p w:rsidR="004C3644" w:rsidRPr="00F552F0" w:rsidRDefault="004C3644">
            <w:pPr>
              <w:jc w:val="center"/>
              <w:rPr>
                <w:sz w:val="18"/>
                <w:szCs w:val="18"/>
              </w:rPr>
            </w:pPr>
            <w:r w:rsidRPr="00F552F0">
              <w:rPr>
                <w:sz w:val="18"/>
                <w:szCs w:val="18"/>
              </w:rPr>
              <w:t xml:space="preserve"> </w:t>
            </w:r>
          </w:p>
        </w:tc>
        <w:tc>
          <w:tcPr>
            <w:tcW w:w="1029" w:type="dxa"/>
            <w:tcBorders>
              <w:top w:val="single" w:sz="4" w:space="0" w:color="auto"/>
              <w:bottom w:val="single" w:sz="4" w:space="0" w:color="auto"/>
            </w:tcBorders>
            <w:tcMar>
              <w:left w:w="0" w:type="dxa"/>
              <w:right w:w="0" w:type="dxa"/>
            </w:tcMar>
            <w:vAlign w:val="bottom"/>
          </w:tcPr>
          <w:p w:rsidR="004C3644" w:rsidRPr="00F552F0" w:rsidRDefault="003D5871">
            <w:pPr>
              <w:jc w:val="center"/>
              <w:rPr>
                <w:sz w:val="18"/>
                <w:szCs w:val="18"/>
              </w:rPr>
            </w:pPr>
            <w:r w:rsidRPr="00F552F0">
              <w:rPr>
                <w:sz w:val="18"/>
                <w:szCs w:val="18"/>
              </w:rPr>
              <w:t>Mean</w:t>
            </w:r>
          </w:p>
        </w:tc>
        <w:tc>
          <w:tcPr>
            <w:tcW w:w="1033" w:type="dxa"/>
            <w:gridSpan w:val="2"/>
            <w:tcBorders>
              <w:top w:val="single" w:sz="4" w:space="0" w:color="auto"/>
              <w:bottom w:val="single" w:sz="4" w:space="0" w:color="auto"/>
            </w:tcBorders>
            <w:vAlign w:val="bottom"/>
          </w:tcPr>
          <w:p w:rsidR="004C3644" w:rsidRPr="00F552F0" w:rsidRDefault="003D5871">
            <w:pPr>
              <w:jc w:val="center"/>
              <w:rPr>
                <w:sz w:val="18"/>
                <w:szCs w:val="18"/>
              </w:rPr>
            </w:pPr>
            <w:r w:rsidRPr="00F552F0">
              <w:rPr>
                <w:sz w:val="18"/>
                <w:szCs w:val="18"/>
              </w:rPr>
              <w:t>Median</w:t>
            </w:r>
          </w:p>
        </w:tc>
        <w:tc>
          <w:tcPr>
            <w:tcW w:w="1101" w:type="dxa"/>
            <w:gridSpan w:val="3"/>
            <w:tcBorders>
              <w:top w:val="single" w:sz="4" w:space="0" w:color="auto"/>
              <w:bottom w:val="single" w:sz="4" w:space="0" w:color="auto"/>
            </w:tcBorders>
            <w:vAlign w:val="bottom"/>
          </w:tcPr>
          <w:p w:rsidR="004C3644" w:rsidRPr="00F552F0" w:rsidRDefault="003D5871">
            <w:pPr>
              <w:jc w:val="center"/>
              <w:rPr>
                <w:sz w:val="18"/>
                <w:szCs w:val="18"/>
              </w:rPr>
            </w:pPr>
            <w:r w:rsidRPr="00F552F0">
              <w:rPr>
                <w:sz w:val="18"/>
                <w:szCs w:val="18"/>
              </w:rPr>
              <w:t>Standard</w:t>
            </w:r>
          </w:p>
          <w:p w:rsidR="004C3644" w:rsidRPr="00F552F0" w:rsidRDefault="003C5B19">
            <w:pPr>
              <w:jc w:val="center"/>
              <w:rPr>
                <w:sz w:val="18"/>
                <w:szCs w:val="18"/>
              </w:rPr>
            </w:pPr>
            <w:r w:rsidRPr="00F552F0">
              <w:rPr>
                <w:sz w:val="18"/>
                <w:szCs w:val="18"/>
              </w:rPr>
              <w:t>d</w:t>
            </w:r>
            <w:r w:rsidR="003D5871" w:rsidRPr="00F552F0">
              <w:rPr>
                <w:sz w:val="18"/>
                <w:szCs w:val="18"/>
              </w:rPr>
              <w:t>eviation</w:t>
            </w:r>
          </w:p>
        </w:tc>
        <w:tc>
          <w:tcPr>
            <w:tcW w:w="1200" w:type="dxa"/>
            <w:tcBorders>
              <w:top w:val="single" w:sz="4" w:space="0" w:color="auto"/>
              <w:bottom w:val="single" w:sz="4" w:space="0" w:color="auto"/>
            </w:tcBorders>
            <w:vAlign w:val="bottom"/>
          </w:tcPr>
          <w:p w:rsidR="004C3644" w:rsidRPr="00F552F0" w:rsidRDefault="003D5871">
            <w:pPr>
              <w:jc w:val="center"/>
              <w:rPr>
                <w:sz w:val="18"/>
                <w:szCs w:val="18"/>
              </w:rPr>
            </w:pPr>
            <w:r w:rsidRPr="00F552F0">
              <w:rPr>
                <w:sz w:val="18"/>
                <w:szCs w:val="18"/>
              </w:rPr>
              <w:t>Maximum</w:t>
            </w:r>
          </w:p>
        </w:tc>
        <w:tc>
          <w:tcPr>
            <w:tcW w:w="1107" w:type="dxa"/>
            <w:tcBorders>
              <w:top w:val="single" w:sz="4" w:space="0" w:color="auto"/>
              <w:bottom w:val="single" w:sz="4" w:space="0" w:color="auto"/>
            </w:tcBorders>
            <w:vAlign w:val="bottom"/>
          </w:tcPr>
          <w:p w:rsidR="004C3644" w:rsidRPr="00F552F0" w:rsidRDefault="003D5871">
            <w:pPr>
              <w:jc w:val="center"/>
              <w:rPr>
                <w:sz w:val="18"/>
                <w:szCs w:val="18"/>
              </w:rPr>
            </w:pPr>
            <w:r w:rsidRPr="00F552F0">
              <w:rPr>
                <w:sz w:val="18"/>
                <w:szCs w:val="18"/>
              </w:rPr>
              <w:t>Minimum</w:t>
            </w:r>
          </w:p>
        </w:tc>
      </w:tr>
      <w:tr w:rsidR="004C3644" w:rsidRPr="00F552F0" w:rsidTr="002A4A88">
        <w:tc>
          <w:tcPr>
            <w:tcW w:w="9178" w:type="dxa"/>
            <w:gridSpan w:val="10"/>
            <w:tcBorders>
              <w:top w:val="single" w:sz="4" w:space="0" w:color="auto"/>
            </w:tcBorders>
          </w:tcPr>
          <w:p w:rsidR="004C3644" w:rsidRPr="00F552F0" w:rsidRDefault="003D5871">
            <w:pPr>
              <w:spacing w:before="60"/>
              <w:rPr>
                <w:i/>
                <w:sz w:val="18"/>
                <w:szCs w:val="18"/>
              </w:rPr>
            </w:pPr>
            <w:r w:rsidRPr="00F552F0">
              <w:rPr>
                <w:i/>
                <w:sz w:val="18"/>
                <w:szCs w:val="18"/>
              </w:rPr>
              <w:t>Panel A</w:t>
            </w:r>
            <w:r w:rsidR="00BF6193" w:rsidRPr="00F552F0">
              <w:rPr>
                <w:i/>
                <w:sz w:val="18"/>
                <w:szCs w:val="18"/>
              </w:rPr>
              <w:t>:</w:t>
            </w:r>
            <w:r w:rsidRPr="00F552F0">
              <w:rPr>
                <w:i/>
                <w:sz w:val="18"/>
                <w:szCs w:val="18"/>
              </w:rPr>
              <w:t xml:space="preserve"> Bank control indexes</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p>
        </w:tc>
        <w:tc>
          <w:tcPr>
            <w:tcW w:w="3269" w:type="dxa"/>
          </w:tcPr>
          <w:p w:rsidR="004C3644" w:rsidRPr="00F552F0" w:rsidRDefault="004C3644">
            <w:pPr>
              <w:spacing w:before="60"/>
              <w:rPr>
                <w:i/>
                <w:sz w:val="18"/>
                <w:szCs w:val="18"/>
              </w:rPr>
            </w:pPr>
            <w:r w:rsidRPr="00F552F0">
              <w:rPr>
                <w:i/>
                <w:sz w:val="18"/>
                <w:szCs w:val="18"/>
              </w:rPr>
              <w:t>Family</w:t>
            </w:r>
          </w:p>
        </w:tc>
        <w:tc>
          <w:tcPr>
            <w:tcW w:w="1173" w:type="dxa"/>
            <w:gridSpan w:val="2"/>
            <w:vAlign w:val="bottom"/>
          </w:tcPr>
          <w:p w:rsidR="004C3644" w:rsidRPr="00F552F0" w:rsidRDefault="004C3644" w:rsidP="00B5368D">
            <w:pPr>
              <w:jc w:val="right"/>
              <w:rPr>
                <w:sz w:val="18"/>
                <w:szCs w:val="18"/>
              </w:rPr>
            </w:pPr>
            <w:r w:rsidRPr="00F552F0">
              <w:rPr>
                <w:sz w:val="18"/>
                <w:szCs w:val="18"/>
              </w:rPr>
              <w:t>0.27</w:t>
            </w:r>
          </w:p>
        </w:tc>
        <w:tc>
          <w:tcPr>
            <w:tcW w:w="987" w:type="dxa"/>
            <w:gridSpan w:val="2"/>
            <w:vAlign w:val="bottom"/>
          </w:tcPr>
          <w:p w:rsidR="004C3644" w:rsidRPr="00F552F0" w:rsidRDefault="004C3644">
            <w:pPr>
              <w:jc w:val="right"/>
              <w:rPr>
                <w:sz w:val="18"/>
                <w:szCs w:val="18"/>
              </w:rPr>
            </w:pPr>
            <w:r w:rsidRPr="00F552F0">
              <w:rPr>
                <w:sz w:val="18"/>
                <w:szCs w:val="18"/>
              </w:rPr>
              <w:t>0.16</w:t>
            </w:r>
          </w:p>
        </w:tc>
        <w:tc>
          <w:tcPr>
            <w:tcW w:w="1003" w:type="dxa"/>
            <w:gridSpan w:val="2"/>
            <w:vAlign w:val="bottom"/>
          </w:tcPr>
          <w:p w:rsidR="004C3644" w:rsidRPr="00F552F0" w:rsidRDefault="004C3644">
            <w:pPr>
              <w:jc w:val="right"/>
              <w:rPr>
                <w:sz w:val="18"/>
                <w:szCs w:val="18"/>
              </w:rPr>
            </w:pPr>
            <w:r w:rsidRPr="00F552F0">
              <w:rPr>
                <w:sz w:val="18"/>
                <w:szCs w:val="18"/>
              </w:rPr>
              <w:t>0.29</w:t>
            </w:r>
          </w:p>
        </w:tc>
        <w:tc>
          <w:tcPr>
            <w:tcW w:w="1200" w:type="dxa"/>
            <w:vAlign w:val="bottom"/>
          </w:tcPr>
          <w:p w:rsidR="004C3644" w:rsidRPr="00F552F0" w:rsidRDefault="004C3644">
            <w:pPr>
              <w:jc w:val="right"/>
              <w:rPr>
                <w:sz w:val="18"/>
                <w:szCs w:val="18"/>
              </w:rPr>
            </w:pPr>
            <w:r w:rsidRPr="00F552F0">
              <w:rPr>
                <w:sz w:val="18"/>
                <w:szCs w:val="18"/>
              </w:rPr>
              <w:t>0.93</w:t>
            </w:r>
          </w:p>
        </w:tc>
        <w:tc>
          <w:tcPr>
            <w:tcW w:w="1107" w:type="dxa"/>
            <w:vAlign w:val="bottom"/>
          </w:tcPr>
          <w:p w:rsidR="004C3644" w:rsidRPr="00F552F0" w:rsidRDefault="004C3644">
            <w:pPr>
              <w:jc w:val="right"/>
              <w:rPr>
                <w:sz w:val="18"/>
                <w:szCs w:val="18"/>
              </w:rPr>
            </w:pPr>
            <w:r w:rsidRPr="00F552F0">
              <w:rPr>
                <w:sz w:val="18"/>
                <w:szCs w:val="18"/>
              </w:rPr>
              <w:t>0.00</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2</w:t>
            </w:r>
          </w:p>
        </w:tc>
        <w:tc>
          <w:tcPr>
            <w:tcW w:w="3269" w:type="dxa"/>
          </w:tcPr>
          <w:p w:rsidR="004C3644" w:rsidRPr="00F552F0" w:rsidRDefault="004C3644">
            <w:pPr>
              <w:spacing w:before="60"/>
              <w:rPr>
                <w:i/>
                <w:sz w:val="18"/>
                <w:szCs w:val="18"/>
              </w:rPr>
            </w:pPr>
            <w:r w:rsidRPr="00F552F0">
              <w:rPr>
                <w:i/>
                <w:sz w:val="18"/>
                <w:szCs w:val="18"/>
              </w:rPr>
              <w:t>State</w:t>
            </w:r>
          </w:p>
        </w:tc>
        <w:tc>
          <w:tcPr>
            <w:tcW w:w="1173" w:type="dxa"/>
            <w:gridSpan w:val="2"/>
            <w:vAlign w:val="bottom"/>
          </w:tcPr>
          <w:p w:rsidR="004C3644" w:rsidRPr="00F552F0" w:rsidRDefault="004C3644" w:rsidP="00B5368D">
            <w:pPr>
              <w:jc w:val="right"/>
              <w:rPr>
                <w:sz w:val="18"/>
                <w:szCs w:val="18"/>
              </w:rPr>
            </w:pPr>
            <w:r w:rsidRPr="00F552F0">
              <w:rPr>
                <w:sz w:val="18"/>
                <w:szCs w:val="18"/>
              </w:rPr>
              <w:t>0.27</w:t>
            </w:r>
          </w:p>
        </w:tc>
        <w:tc>
          <w:tcPr>
            <w:tcW w:w="987" w:type="dxa"/>
            <w:gridSpan w:val="2"/>
            <w:vAlign w:val="bottom"/>
          </w:tcPr>
          <w:p w:rsidR="004C3644" w:rsidRPr="00F552F0" w:rsidRDefault="004C3644">
            <w:pPr>
              <w:jc w:val="right"/>
              <w:rPr>
                <w:sz w:val="18"/>
                <w:szCs w:val="18"/>
              </w:rPr>
            </w:pPr>
            <w:r w:rsidRPr="00F552F0">
              <w:rPr>
                <w:sz w:val="18"/>
                <w:szCs w:val="18"/>
              </w:rPr>
              <w:t>0.21</w:t>
            </w:r>
          </w:p>
        </w:tc>
        <w:tc>
          <w:tcPr>
            <w:tcW w:w="1003" w:type="dxa"/>
            <w:gridSpan w:val="2"/>
            <w:vAlign w:val="bottom"/>
          </w:tcPr>
          <w:p w:rsidR="004C3644" w:rsidRPr="00F552F0" w:rsidRDefault="004C3644">
            <w:pPr>
              <w:jc w:val="right"/>
              <w:rPr>
                <w:sz w:val="18"/>
                <w:szCs w:val="18"/>
              </w:rPr>
            </w:pPr>
            <w:r w:rsidRPr="00F552F0">
              <w:rPr>
                <w:sz w:val="18"/>
                <w:szCs w:val="18"/>
              </w:rPr>
              <w:t>0.31</w:t>
            </w:r>
          </w:p>
        </w:tc>
        <w:tc>
          <w:tcPr>
            <w:tcW w:w="1200" w:type="dxa"/>
            <w:vAlign w:val="bottom"/>
          </w:tcPr>
          <w:p w:rsidR="004C3644" w:rsidRPr="00F552F0" w:rsidRDefault="004C3644">
            <w:pPr>
              <w:jc w:val="right"/>
              <w:rPr>
                <w:sz w:val="18"/>
                <w:szCs w:val="18"/>
              </w:rPr>
            </w:pPr>
            <w:r w:rsidRPr="00F552F0">
              <w:rPr>
                <w:sz w:val="18"/>
                <w:szCs w:val="18"/>
              </w:rPr>
              <w:t>1.00</w:t>
            </w:r>
          </w:p>
        </w:tc>
        <w:tc>
          <w:tcPr>
            <w:tcW w:w="1107" w:type="dxa"/>
            <w:vAlign w:val="bottom"/>
          </w:tcPr>
          <w:p w:rsidR="004C3644" w:rsidRPr="00F552F0" w:rsidRDefault="004C3644">
            <w:pPr>
              <w:jc w:val="right"/>
              <w:rPr>
                <w:sz w:val="18"/>
                <w:szCs w:val="18"/>
              </w:rPr>
            </w:pPr>
            <w:r w:rsidRPr="00F552F0">
              <w:rPr>
                <w:sz w:val="18"/>
                <w:szCs w:val="18"/>
              </w:rPr>
              <w:t>0.00</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3</w:t>
            </w:r>
          </w:p>
        </w:tc>
        <w:tc>
          <w:tcPr>
            <w:tcW w:w="3269" w:type="dxa"/>
          </w:tcPr>
          <w:p w:rsidR="004C3644" w:rsidRPr="00F552F0" w:rsidRDefault="00392DB6">
            <w:pPr>
              <w:spacing w:before="60"/>
              <w:rPr>
                <w:i/>
                <w:sz w:val="18"/>
                <w:szCs w:val="18"/>
              </w:rPr>
            </w:pPr>
            <w:r w:rsidRPr="00F552F0">
              <w:rPr>
                <w:i/>
                <w:sz w:val="18"/>
                <w:szCs w:val="18"/>
              </w:rPr>
              <w:t>Widely held</w:t>
            </w:r>
            <w:r w:rsidR="004C3644" w:rsidRPr="00F552F0">
              <w:rPr>
                <w:i/>
                <w:sz w:val="18"/>
                <w:szCs w:val="18"/>
              </w:rPr>
              <w:t xml:space="preserve"> </w:t>
            </w:r>
          </w:p>
        </w:tc>
        <w:tc>
          <w:tcPr>
            <w:tcW w:w="1173" w:type="dxa"/>
            <w:gridSpan w:val="2"/>
            <w:vAlign w:val="bottom"/>
          </w:tcPr>
          <w:p w:rsidR="004C3644" w:rsidRPr="00F552F0" w:rsidRDefault="004C3644" w:rsidP="00B5368D">
            <w:pPr>
              <w:jc w:val="right"/>
              <w:rPr>
                <w:sz w:val="18"/>
                <w:szCs w:val="18"/>
              </w:rPr>
            </w:pPr>
            <w:r w:rsidRPr="00F552F0">
              <w:rPr>
                <w:sz w:val="18"/>
                <w:szCs w:val="18"/>
              </w:rPr>
              <w:t>0.46</w:t>
            </w:r>
          </w:p>
        </w:tc>
        <w:tc>
          <w:tcPr>
            <w:tcW w:w="987" w:type="dxa"/>
            <w:gridSpan w:val="2"/>
            <w:vAlign w:val="bottom"/>
          </w:tcPr>
          <w:p w:rsidR="004C3644" w:rsidRPr="00F552F0" w:rsidRDefault="004C3644">
            <w:pPr>
              <w:jc w:val="right"/>
              <w:rPr>
                <w:sz w:val="18"/>
                <w:szCs w:val="18"/>
              </w:rPr>
            </w:pPr>
            <w:r w:rsidRPr="00F552F0">
              <w:rPr>
                <w:sz w:val="18"/>
                <w:szCs w:val="18"/>
              </w:rPr>
              <w:t>0.38</w:t>
            </w:r>
          </w:p>
        </w:tc>
        <w:tc>
          <w:tcPr>
            <w:tcW w:w="1003" w:type="dxa"/>
            <w:gridSpan w:val="2"/>
            <w:vAlign w:val="bottom"/>
          </w:tcPr>
          <w:p w:rsidR="004C3644" w:rsidRPr="00F552F0" w:rsidRDefault="004C3644">
            <w:pPr>
              <w:jc w:val="right"/>
              <w:rPr>
                <w:sz w:val="18"/>
                <w:szCs w:val="18"/>
              </w:rPr>
            </w:pPr>
            <w:r w:rsidRPr="00F552F0">
              <w:rPr>
                <w:sz w:val="18"/>
                <w:szCs w:val="18"/>
              </w:rPr>
              <w:t>0.38</w:t>
            </w:r>
          </w:p>
        </w:tc>
        <w:tc>
          <w:tcPr>
            <w:tcW w:w="1200" w:type="dxa"/>
            <w:vAlign w:val="bottom"/>
          </w:tcPr>
          <w:p w:rsidR="004C3644" w:rsidRPr="00F552F0" w:rsidRDefault="004C3644">
            <w:pPr>
              <w:jc w:val="right"/>
              <w:rPr>
                <w:sz w:val="18"/>
                <w:szCs w:val="18"/>
              </w:rPr>
            </w:pPr>
            <w:r w:rsidRPr="00F552F0">
              <w:rPr>
                <w:sz w:val="18"/>
                <w:szCs w:val="18"/>
              </w:rPr>
              <w:t>1.00</w:t>
            </w:r>
          </w:p>
        </w:tc>
        <w:tc>
          <w:tcPr>
            <w:tcW w:w="1107" w:type="dxa"/>
            <w:vAlign w:val="bottom"/>
          </w:tcPr>
          <w:p w:rsidR="004C3644" w:rsidRPr="00F552F0" w:rsidRDefault="004C3644">
            <w:pPr>
              <w:jc w:val="right"/>
              <w:rPr>
                <w:sz w:val="18"/>
                <w:szCs w:val="18"/>
              </w:rPr>
            </w:pPr>
            <w:r w:rsidRPr="00F552F0">
              <w:rPr>
                <w:sz w:val="18"/>
                <w:szCs w:val="18"/>
              </w:rPr>
              <w:t>0.00</w:t>
            </w:r>
          </w:p>
        </w:tc>
      </w:tr>
      <w:tr w:rsidR="004C3644" w:rsidRPr="00F552F0" w:rsidTr="002A4A88">
        <w:tc>
          <w:tcPr>
            <w:tcW w:w="9178" w:type="dxa"/>
            <w:gridSpan w:val="10"/>
          </w:tcPr>
          <w:p w:rsidR="004C3644" w:rsidRPr="00F552F0" w:rsidRDefault="003D5871">
            <w:pPr>
              <w:spacing w:before="60"/>
              <w:rPr>
                <w:i/>
                <w:sz w:val="18"/>
                <w:szCs w:val="18"/>
              </w:rPr>
            </w:pPr>
            <w:r w:rsidRPr="00F552F0">
              <w:rPr>
                <w:i/>
                <w:sz w:val="18"/>
                <w:szCs w:val="18"/>
              </w:rPr>
              <w:t>Panel B</w:t>
            </w:r>
            <w:r w:rsidR="00BF6193" w:rsidRPr="00F552F0">
              <w:rPr>
                <w:i/>
                <w:sz w:val="18"/>
                <w:szCs w:val="18"/>
              </w:rPr>
              <w:t>:</w:t>
            </w:r>
            <w:r w:rsidRPr="00F552F0">
              <w:rPr>
                <w:i/>
                <w:sz w:val="18"/>
                <w:szCs w:val="18"/>
              </w:rPr>
              <w:t xml:space="preserve"> Financial system efficiency</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4</w:t>
            </w:r>
          </w:p>
        </w:tc>
        <w:tc>
          <w:tcPr>
            <w:tcW w:w="3269" w:type="dxa"/>
          </w:tcPr>
          <w:p w:rsidR="004C3644" w:rsidRPr="00F552F0" w:rsidRDefault="004C3644">
            <w:pPr>
              <w:spacing w:before="60"/>
              <w:rPr>
                <w:i/>
                <w:sz w:val="18"/>
                <w:szCs w:val="18"/>
              </w:rPr>
            </w:pPr>
            <w:r w:rsidRPr="00F552F0">
              <w:rPr>
                <w:i/>
                <w:sz w:val="18"/>
                <w:szCs w:val="18"/>
              </w:rPr>
              <w:t xml:space="preserve">Capital allocation efficiency, </w:t>
            </w:r>
            <w:r w:rsidR="003C5B19" w:rsidRPr="00F552F0">
              <w:rPr>
                <w:i/>
                <w:sz w:val="18"/>
                <w:szCs w:val="18"/>
              </w:rPr>
              <w:t>19</w:t>
            </w:r>
            <w:r w:rsidRPr="00F552F0">
              <w:rPr>
                <w:i/>
                <w:sz w:val="18"/>
                <w:szCs w:val="18"/>
              </w:rPr>
              <w:t>6</w:t>
            </w:r>
            <w:r w:rsidR="003C5B19" w:rsidRPr="00F552F0">
              <w:rPr>
                <w:i/>
                <w:sz w:val="18"/>
                <w:szCs w:val="18"/>
              </w:rPr>
              <w:t>3–20</w:t>
            </w:r>
            <w:r w:rsidRPr="00F552F0">
              <w:rPr>
                <w:i/>
                <w:sz w:val="18"/>
                <w:szCs w:val="18"/>
              </w:rPr>
              <w:t>03</w:t>
            </w:r>
          </w:p>
        </w:tc>
        <w:tc>
          <w:tcPr>
            <w:tcW w:w="1173" w:type="dxa"/>
            <w:gridSpan w:val="2"/>
            <w:vAlign w:val="bottom"/>
          </w:tcPr>
          <w:p w:rsidR="004C3644" w:rsidRPr="00F552F0" w:rsidRDefault="004C3644">
            <w:pPr>
              <w:jc w:val="right"/>
              <w:rPr>
                <w:sz w:val="18"/>
                <w:szCs w:val="18"/>
              </w:rPr>
            </w:pPr>
            <w:r w:rsidRPr="00F552F0">
              <w:rPr>
                <w:sz w:val="18"/>
                <w:szCs w:val="18"/>
              </w:rPr>
              <w:t>0.54</w:t>
            </w:r>
          </w:p>
        </w:tc>
        <w:tc>
          <w:tcPr>
            <w:tcW w:w="994" w:type="dxa"/>
            <w:gridSpan w:val="3"/>
            <w:vAlign w:val="bottom"/>
          </w:tcPr>
          <w:p w:rsidR="004C3644" w:rsidRPr="00F552F0" w:rsidRDefault="004C3644">
            <w:pPr>
              <w:jc w:val="right"/>
              <w:rPr>
                <w:sz w:val="18"/>
                <w:szCs w:val="18"/>
              </w:rPr>
            </w:pPr>
            <w:r w:rsidRPr="00F552F0">
              <w:rPr>
                <w:sz w:val="18"/>
                <w:szCs w:val="18"/>
              </w:rPr>
              <w:t>0.55</w:t>
            </w:r>
          </w:p>
        </w:tc>
        <w:tc>
          <w:tcPr>
            <w:tcW w:w="996" w:type="dxa"/>
            <w:vAlign w:val="bottom"/>
          </w:tcPr>
          <w:p w:rsidR="004C3644" w:rsidRPr="00F552F0" w:rsidRDefault="004C3644">
            <w:pPr>
              <w:jc w:val="right"/>
              <w:rPr>
                <w:sz w:val="18"/>
                <w:szCs w:val="18"/>
              </w:rPr>
            </w:pPr>
            <w:r w:rsidRPr="00F552F0">
              <w:rPr>
                <w:sz w:val="18"/>
                <w:szCs w:val="18"/>
              </w:rPr>
              <w:t>0.28</w:t>
            </w:r>
          </w:p>
        </w:tc>
        <w:tc>
          <w:tcPr>
            <w:tcW w:w="1200" w:type="dxa"/>
            <w:vAlign w:val="bottom"/>
          </w:tcPr>
          <w:p w:rsidR="004C3644" w:rsidRPr="00F552F0" w:rsidRDefault="004C3644">
            <w:pPr>
              <w:jc w:val="right"/>
              <w:rPr>
                <w:sz w:val="18"/>
                <w:szCs w:val="18"/>
              </w:rPr>
            </w:pPr>
            <w:r w:rsidRPr="00F552F0">
              <w:rPr>
                <w:sz w:val="18"/>
                <w:szCs w:val="18"/>
              </w:rPr>
              <w:t>1.12</w:t>
            </w:r>
          </w:p>
        </w:tc>
        <w:tc>
          <w:tcPr>
            <w:tcW w:w="1107" w:type="dxa"/>
            <w:vAlign w:val="bottom"/>
          </w:tcPr>
          <w:p w:rsidR="004C3644" w:rsidRPr="00F552F0" w:rsidRDefault="004C3644">
            <w:pPr>
              <w:jc w:val="right"/>
              <w:rPr>
                <w:sz w:val="18"/>
                <w:szCs w:val="18"/>
              </w:rPr>
            </w:pPr>
            <w:r w:rsidRPr="00F552F0">
              <w:rPr>
                <w:sz w:val="18"/>
                <w:szCs w:val="18"/>
              </w:rPr>
              <w:t>-0.03</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5</w:t>
            </w:r>
          </w:p>
        </w:tc>
        <w:tc>
          <w:tcPr>
            <w:tcW w:w="3269" w:type="dxa"/>
          </w:tcPr>
          <w:p w:rsidR="004C3644" w:rsidRPr="00F552F0" w:rsidRDefault="004C3644">
            <w:pPr>
              <w:spacing w:before="60"/>
              <w:rPr>
                <w:i/>
                <w:sz w:val="18"/>
                <w:szCs w:val="18"/>
              </w:rPr>
            </w:pPr>
            <w:r w:rsidRPr="00F552F0">
              <w:rPr>
                <w:i/>
                <w:sz w:val="18"/>
                <w:szCs w:val="18"/>
              </w:rPr>
              <w:t xml:space="preserve">Capital allocation efficiency, </w:t>
            </w:r>
            <w:r w:rsidR="003C5B19" w:rsidRPr="00F552F0">
              <w:rPr>
                <w:i/>
                <w:sz w:val="18"/>
                <w:szCs w:val="18"/>
              </w:rPr>
              <w:t>19</w:t>
            </w:r>
            <w:r w:rsidRPr="00F552F0">
              <w:rPr>
                <w:i/>
                <w:sz w:val="18"/>
                <w:szCs w:val="18"/>
              </w:rPr>
              <w:t>93</w:t>
            </w:r>
            <w:r w:rsidR="003C5B19" w:rsidRPr="00F552F0">
              <w:rPr>
                <w:i/>
                <w:sz w:val="18"/>
                <w:szCs w:val="18"/>
              </w:rPr>
              <w:t>–20</w:t>
            </w:r>
            <w:r w:rsidRPr="00F552F0">
              <w:rPr>
                <w:i/>
                <w:sz w:val="18"/>
                <w:szCs w:val="18"/>
              </w:rPr>
              <w:t>03</w:t>
            </w:r>
          </w:p>
        </w:tc>
        <w:tc>
          <w:tcPr>
            <w:tcW w:w="1173" w:type="dxa"/>
            <w:gridSpan w:val="2"/>
            <w:vAlign w:val="bottom"/>
          </w:tcPr>
          <w:p w:rsidR="004C3644" w:rsidRPr="00F552F0" w:rsidRDefault="004C3644">
            <w:pPr>
              <w:jc w:val="right"/>
              <w:rPr>
                <w:sz w:val="18"/>
                <w:szCs w:val="18"/>
              </w:rPr>
            </w:pPr>
            <w:r w:rsidRPr="00F552F0">
              <w:rPr>
                <w:sz w:val="18"/>
                <w:szCs w:val="18"/>
              </w:rPr>
              <w:t>0.43</w:t>
            </w:r>
          </w:p>
        </w:tc>
        <w:tc>
          <w:tcPr>
            <w:tcW w:w="994" w:type="dxa"/>
            <w:gridSpan w:val="3"/>
            <w:vAlign w:val="bottom"/>
          </w:tcPr>
          <w:p w:rsidR="004C3644" w:rsidRPr="00F552F0" w:rsidRDefault="004C3644">
            <w:pPr>
              <w:jc w:val="right"/>
              <w:rPr>
                <w:sz w:val="18"/>
                <w:szCs w:val="18"/>
              </w:rPr>
            </w:pPr>
            <w:r w:rsidRPr="00F552F0">
              <w:rPr>
                <w:sz w:val="18"/>
                <w:szCs w:val="18"/>
              </w:rPr>
              <w:t>0.47</w:t>
            </w:r>
          </w:p>
        </w:tc>
        <w:tc>
          <w:tcPr>
            <w:tcW w:w="996" w:type="dxa"/>
            <w:vAlign w:val="bottom"/>
          </w:tcPr>
          <w:p w:rsidR="004C3644" w:rsidRPr="00F552F0" w:rsidRDefault="004C3644">
            <w:pPr>
              <w:jc w:val="right"/>
              <w:rPr>
                <w:sz w:val="18"/>
                <w:szCs w:val="18"/>
              </w:rPr>
            </w:pPr>
            <w:r w:rsidRPr="00F552F0">
              <w:rPr>
                <w:sz w:val="18"/>
                <w:szCs w:val="18"/>
              </w:rPr>
              <w:t>0.42</w:t>
            </w:r>
          </w:p>
        </w:tc>
        <w:tc>
          <w:tcPr>
            <w:tcW w:w="1200" w:type="dxa"/>
            <w:vAlign w:val="bottom"/>
          </w:tcPr>
          <w:p w:rsidR="004C3644" w:rsidRPr="00F552F0" w:rsidRDefault="004C3644">
            <w:pPr>
              <w:jc w:val="right"/>
              <w:rPr>
                <w:sz w:val="18"/>
                <w:szCs w:val="18"/>
              </w:rPr>
            </w:pPr>
            <w:r w:rsidRPr="00F552F0">
              <w:rPr>
                <w:sz w:val="18"/>
                <w:szCs w:val="18"/>
              </w:rPr>
              <w:t>1.32</w:t>
            </w:r>
          </w:p>
        </w:tc>
        <w:tc>
          <w:tcPr>
            <w:tcW w:w="1107" w:type="dxa"/>
            <w:vAlign w:val="bottom"/>
          </w:tcPr>
          <w:p w:rsidR="004C3644" w:rsidRPr="00F552F0" w:rsidRDefault="004C3644">
            <w:pPr>
              <w:jc w:val="right"/>
              <w:rPr>
                <w:sz w:val="18"/>
                <w:szCs w:val="18"/>
              </w:rPr>
            </w:pPr>
            <w:r w:rsidRPr="00F552F0">
              <w:rPr>
                <w:sz w:val="18"/>
                <w:szCs w:val="18"/>
              </w:rPr>
              <w:t>-1.02</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6</w:t>
            </w:r>
          </w:p>
        </w:tc>
        <w:tc>
          <w:tcPr>
            <w:tcW w:w="3269" w:type="dxa"/>
          </w:tcPr>
          <w:p w:rsidR="004C3644" w:rsidRPr="00F552F0" w:rsidRDefault="001578B3">
            <w:pPr>
              <w:spacing w:before="60"/>
              <w:rPr>
                <w:i/>
                <w:sz w:val="18"/>
                <w:szCs w:val="18"/>
              </w:rPr>
            </w:pPr>
            <w:r w:rsidRPr="00F552F0">
              <w:rPr>
                <w:i/>
                <w:sz w:val="18"/>
                <w:szCs w:val="18"/>
              </w:rPr>
              <w:t>Nonperforming</w:t>
            </w:r>
            <w:r w:rsidR="004C3644" w:rsidRPr="00F552F0">
              <w:rPr>
                <w:i/>
                <w:sz w:val="18"/>
                <w:szCs w:val="18"/>
              </w:rPr>
              <w:t xml:space="preserve"> loans</w:t>
            </w:r>
          </w:p>
        </w:tc>
        <w:tc>
          <w:tcPr>
            <w:tcW w:w="1173" w:type="dxa"/>
            <w:gridSpan w:val="2"/>
            <w:vAlign w:val="bottom"/>
          </w:tcPr>
          <w:p w:rsidR="004C3644" w:rsidRPr="00F552F0" w:rsidRDefault="004C3644">
            <w:pPr>
              <w:jc w:val="right"/>
              <w:rPr>
                <w:sz w:val="18"/>
                <w:szCs w:val="18"/>
              </w:rPr>
            </w:pPr>
            <w:r w:rsidRPr="00F552F0">
              <w:rPr>
                <w:sz w:val="18"/>
                <w:szCs w:val="18"/>
              </w:rPr>
              <w:t>8.12</w:t>
            </w:r>
          </w:p>
        </w:tc>
        <w:tc>
          <w:tcPr>
            <w:tcW w:w="994" w:type="dxa"/>
            <w:gridSpan w:val="3"/>
            <w:vAlign w:val="bottom"/>
          </w:tcPr>
          <w:p w:rsidR="004C3644" w:rsidRPr="00F552F0" w:rsidRDefault="004C3644">
            <w:pPr>
              <w:jc w:val="right"/>
              <w:rPr>
                <w:sz w:val="18"/>
                <w:szCs w:val="18"/>
              </w:rPr>
            </w:pPr>
            <w:r w:rsidRPr="00F552F0">
              <w:rPr>
                <w:sz w:val="18"/>
                <w:szCs w:val="18"/>
              </w:rPr>
              <w:t>5.88</w:t>
            </w:r>
          </w:p>
        </w:tc>
        <w:tc>
          <w:tcPr>
            <w:tcW w:w="996" w:type="dxa"/>
            <w:vAlign w:val="bottom"/>
          </w:tcPr>
          <w:p w:rsidR="004C3644" w:rsidRPr="00F552F0" w:rsidRDefault="004C3644">
            <w:pPr>
              <w:jc w:val="right"/>
              <w:rPr>
                <w:sz w:val="18"/>
                <w:szCs w:val="18"/>
              </w:rPr>
            </w:pPr>
            <w:r w:rsidRPr="00F552F0">
              <w:rPr>
                <w:sz w:val="18"/>
                <w:szCs w:val="18"/>
              </w:rPr>
              <w:t>7.42</w:t>
            </w:r>
          </w:p>
        </w:tc>
        <w:tc>
          <w:tcPr>
            <w:tcW w:w="1200" w:type="dxa"/>
            <w:vAlign w:val="bottom"/>
          </w:tcPr>
          <w:p w:rsidR="004C3644" w:rsidRPr="00F552F0" w:rsidRDefault="004C3644">
            <w:pPr>
              <w:jc w:val="right"/>
              <w:rPr>
                <w:sz w:val="18"/>
                <w:szCs w:val="18"/>
              </w:rPr>
            </w:pPr>
            <w:r w:rsidRPr="00F552F0">
              <w:rPr>
                <w:sz w:val="18"/>
                <w:szCs w:val="18"/>
              </w:rPr>
              <w:t>27.43</w:t>
            </w:r>
          </w:p>
        </w:tc>
        <w:tc>
          <w:tcPr>
            <w:tcW w:w="1107" w:type="dxa"/>
            <w:vAlign w:val="bottom"/>
          </w:tcPr>
          <w:p w:rsidR="004C3644" w:rsidRPr="00F552F0" w:rsidRDefault="004C3644">
            <w:pPr>
              <w:jc w:val="right"/>
              <w:rPr>
                <w:sz w:val="18"/>
                <w:szCs w:val="18"/>
              </w:rPr>
            </w:pPr>
            <w:r w:rsidRPr="00F552F0">
              <w:rPr>
                <w:sz w:val="18"/>
                <w:szCs w:val="18"/>
              </w:rPr>
              <w:t>0.45</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7</w:t>
            </w:r>
          </w:p>
        </w:tc>
        <w:tc>
          <w:tcPr>
            <w:tcW w:w="3269" w:type="dxa"/>
          </w:tcPr>
          <w:p w:rsidR="004C3644" w:rsidRPr="00F552F0" w:rsidRDefault="004C3644">
            <w:pPr>
              <w:spacing w:before="60"/>
              <w:rPr>
                <w:i/>
                <w:sz w:val="18"/>
                <w:szCs w:val="18"/>
              </w:rPr>
            </w:pPr>
            <w:r w:rsidRPr="00F552F0">
              <w:rPr>
                <w:i/>
                <w:sz w:val="18"/>
                <w:szCs w:val="18"/>
              </w:rPr>
              <w:t xml:space="preserve">Banking crises </w:t>
            </w:r>
          </w:p>
        </w:tc>
        <w:tc>
          <w:tcPr>
            <w:tcW w:w="1173" w:type="dxa"/>
            <w:gridSpan w:val="2"/>
            <w:vAlign w:val="bottom"/>
          </w:tcPr>
          <w:p w:rsidR="004C3644" w:rsidRPr="00F552F0" w:rsidRDefault="004C3644">
            <w:pPr>
              <w:jc w:val="right"/>
              <w:rPr>
                <w:sz w:val="18"/>
                <w:szCs w:val="18"/>
              </w:rPr>
            </w:pPr>
            <w:r w:rsidRPr="00F552F0">
              <w:rPr>
                <w:sz w:val="18"/>
                <w:szCs w:val="18"/>
              </w:rPr>
              <w:t>0.23</w:t>
            </w:r>
          </w:p>
        </w:tc>
        <w:tc>
          <w:tcPr>
            <w:tcW w:w="994" w:type="dxa"/>
            <w:gridSpan w:val="3"/>
            <w:vAlign w:val="bottom"/>
          </w:tcPr>
          <w:p w:rsidR="004C3644" w:rsidRPr="00F552F0" w:rsidRDefault="004C3644">
            <w:pPr>
              <w:jc w:val="right"/>
              <w:rPr>
                <w:sz w:val="18"/>
                <w:szCs w:val="18"/>
              </w:rPr>
            </w:pPr>
            <w:r w:rsidRPr="00F552F0">
              <w:rPr>
                <w:sz w:val="18"/>
                <w:szCs w:val="18"/>
              </w:rPr>
              <w:t>0.00</w:t>
            </w:r>
          </w:p>
        </w:tc>
        <w:tc>
          <w:tcPr>
            <w:tcW w:w="996" w:type="dxa"/>
            <w:vAlign w:val="bottom"/>
          </w:tcPr>
          <w:p w:rsidR="004C3644" w:rsidRPr="00F552F0" w:rsidRDefault="004C3644">
            <w:pPr>
              <w:jc w:val="right"/>
              <w:rPr>
                <w:sz w:val="18"/>
                <w:szCs w:val="18"/>
              </w:rPr>
            </w:pPr>
            <w:r w:rsidRPr="00F552F0">
              <w:rPr>
                <w:sz w:val="18"/>
                <w:szCs w:val="18"/>
              </w:rPr>
              <w:t>0.48</w:t>
            </w:r>
          </w:p>
        </w:tc>
        <w:tc>
          <w:tcPr>
            <w:tcW w:w="1200" w:type="dxa"/>
            <w:vAlign w:val="bottom"/>
          </w:tcPr>
          <w:p w:rsidR="004C3644" w:rsidRPr="00F552F0" w:rsidRDefault="004C3644">
            <w:pPr>
              <w:jc w:val="right"/>
              <w:rPr>
                <w:sz w:val="18"/>
                <w:szCs w:val="18"/>
              </w:rPr>
            </w:pPr>
            <w:r w:rsidRPr="00F552F0">
              <w:rPr>
                <w:sz w:val="18"/>
                <w:szCs w:val="18"/>
              </w:rPr>
              <w:t>2.00</w:t>
            </w:r>
          </w:p>
        </w:tc>
        <w:tc>
          <w:tcPr>
            <w:tcW w:w="1107" w:type="dxa"/>
            <w:vAlign w:val="bottom"/>
          </w:tcPr>
          <w:p w:rsidR="004C3644" w:rsidRPr="00F552F0" w:rsidRDefault="004C3644">
            <w:pPr>
              <w:jc w:val="right"/>
              <w:rPr>
                <w:sz w:val="18"/>
                <w:szCs w:val="18"/>
              </w:rPr>
            </w:pPr>
            <w:r w:rsidRPr="00F552F0">
              <w:rPr>
                <w:sz w:val="18"/>
                <w:szCs w:val="18"/>
              </w:rPr>
              <w:t>0.00</w:t>
            </w:r>
          </w:p>
        </w:tc>
      </w:tr>
      <w:tr w:rsidR="004C3644" w:rsidRPr="00F552F0" w:rsidTr="002A4A88">
        <w:tc>
          <w:tcPr>
            <w:tcW w:w="9178" w:type="dxa"/>
            <w:gridSpan w:val="10"/>
          </w:tcPr>
          <w:p w:rsidR="004C3644" w:rsidRPr="00F552F0" w:rsidRDefault="003D5871">
            <w:pPr>
              <w:spacing w:before="60"/>
              <w:rPr>
                <w:i/>
                <w:sz w:val="18"/>
                <w:szCs w:val="18"/>
              </w:rPr>
            </w:pPr>
            <w:r w:rsidRPr="00F552F0">
              <w:rPr>
                <w:i/>
                <w:sz w:val="18"/>
                <w:szCs w:val="18"/>
              </w:rPr>
              <w:t>Panel C</w:t>
            </w:r>
            <w:r w:rsidR="00BF6193" w:rsidRPr="00F552F0">
              <w:rPr>
                <w:i/>
                <w:sz w:val="18"/>
                <w:szCs w:val="18"/>
              </w:rPr>
              <w:t>:</w:t>
            </w:r>
            <w:r w:rsidRPr="00F552F0">
              <w:rPr>
                <w:i/>
                <w:sz w:val="18"/>
                <w:szCs w:val="18"/>
              </w:rPr>
              <w:t xml:space="preserve"> Economic growth</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8</w:t>
            </w:r>
          </w:p>
        </w:tc>
        <w:tc>
          <w:tcPr>
            <w:tcW w:w="3269" w:type="dxa"/>
          </w:tcPr>
          <w:p w:rsidR="004C3644" w:rsidRPr="00F552F0" w:rsidRDefault="004C3644">
            <w:pPr>
              <w:spacing w:before="60"/>
              <w:rPr>
                <w:i/>
                <w:sz w:val="18"/>
                <w:szCs w:val="18"/>
              </w:rPr>
            </w:pPr>
            <w:r w:rsidRPr="00F552F0">
              <w:rPr>
                <w:i/>
                <w:sz w:val="18"/>
                <w:szCs w:val="18"/>
              </w:rPr>
              <w:t>Real GDP growth</w:t>
            </w:r>
          </w:p>
        </w:tc>
        <w:tc>
          <w:tcPr>
            <w:tcW w:w="1173" w:type="dxa"/>
            <w:gridSpan w:val="2"/>
            <w:vAlign w:val="bottom"/>
          </w:tcPr>
          <w:p w:rsidR="004C3644" w:rsidRPr="00F552F0" w:rsidRDefault="004C3644">
            <w:pPr>
              <w:jc w:val="right"/>
              <w:rPr>
                <w:sz w:val="18"/>
                <w:szCs w:val="18"/>
              </w:rPr>
            </w:pPr>
            <w:r w:rsidRPr="00F552F0">
              <w:rPr>
                <w:sz w:val="18"/>
                <w:szCs w:val="18"/>
              </w:rPr>
              <w:t>0.02</w:t>
            </w:r>
          </w:p>
        </w:tc>
        <w:tc>
          <w:tcPr>
            <w:tcW w:w="994" w:type="dxa"/>
            <w:gridSpan w:val="3"/>
            <w:vAlign w:val="bottom"/>
          </w:tcPr>
          <w:p w:rsidR="004C3644" w:rsidRPr="00F552F0" w:rsidRDefault="004C3644">
            <w:pPr>
              <w:jc w:val="right"/>
              <w:rPr>
                <w:sz w:val="18"/>
                <w:szCs w:val="18"/>
              </w:rPr>
            </w:pPr>
            <w:r w:rsidRPr="00F552F0">
              <w:rPr>
                <w:sz w:val="18"/>
                <w:szCs w:val="18"/>
              </w:rPr>
              <w:t>0.02</w:t>
            </w:r>
          </w:p>
        </w:tc>
        <w:tc>
          <w:tcPr>
            <w:tcW w:w="996" w:type="dxa"/>
            <w:vAlign w:val="bottom"/>
          </w:tcPr>
          <w:p w:rsidR="004C3644" w:rsidRPr="00F552F0" w:rsidRDefault="004C3644">
            <w:pPr>
              <w:jc w:val="right"/>
              <w:rPr>
                <w:sz w:val="18"/>
                <w:szCs w:val="18"/>
              </w:rPr>
            </w:pPr>
            <w:r w:rsidRPr="00F552F0">
              <w:rPr>
                <w:sz w:val="18"/>
                <w:szCs w:val="18"/>
              </w:rPr>
              <w:t>0.02</w:t>
            </w:r>
          </w:p>
        </w:tc>
        <w:tc>
          <w:tcPr>
            <w:tcW w:w="1200" w:type="dxa"/>
            <w:vAlign w:val="bottom"/>
          </w:tcPr>
          <w:p w:rsidR="004C3644" w:rsidRPr="00F552F0" w:rsidRDefault="004C3644">
            <w:pPr>
              <w:jc w:val="right"/>
              <w:rPr>
                <w:sz w:val="18"/>
                <w:szCs w:val="18"/>
              </w:rPr>
            </w:pPr>
            <w:r w:rsidRPr="00F552F0">
              <w:rPr>
                <w:sz w:val="18"/>
                <w:szCs w:val="18"/>
              </w:rPr>
              <w:t>0.07</w:t>
            </w:r>
          </w:p>
        </w:tc>
        <w:tc>
          <w:tcPr>
            <w:tcW w:w="1107" w:type="dxa"/>
            <w:vAlign w:val="bottom"/>
          </w:tcPr>
          <w:p w:rsidR="004C3644" w:rsidRPr="00F552F0" w:rsidRDefault="004C3644">
            <w:pPr>
              <w:jc w:val="right"/>
              <w:rPr>
                <w:sz w:val="18"/>
                <w:szCs w:val="18"/>
              </w:rPr>
            </w:pPr>
            <w:r w:rsidRPr="00F552F0">
              <w:rPr>
                <w:sz w:val="18"/>
                <w:szCs w:val="18"/>
              </w:rPr>
              <w:t>-0.02</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9</w:t>
            </w:r>
          </w:p>
        </w:tc>
        <w:tc>
          <w:tcPr>
            <w:tcW w:w="3269" w:type="dxa"/>
          </w:tcPr>
          <w:p w:rsidR="004C3644" w:rsidRPr="00F552F0" w:rsidRDefault="004C3644">
            <w:pPr>
              <w:spacing w:before="60"/>
              <w:rPr>
                <w:i/>
                <w:sz w:val="18"/>
                <w:szCs w:val="18"/>
              </w:rPr>
            </w:pPr>
            <w:r w:rsidRPr="00F552F0">
              <w:rPr>
                <w:i/>
                <w:sz w:val="18"/>
                <w:szCs w:val="18"/>
              </w:rPr>
              <w:t>TFP growth</w:t>
            </w:r>
          </w:p>
        </w:tc>
        <w:tc>
          <w:tcPr>
            <w:tcW w:w="1173" w:type="dxa"/>
            <w:gridSpan w:val="2"/>
            <w:vAlign w:val="bottom"/>
          </w:tcPr>
          <w:p w:rsidR="004C3644" w:rsidRPr="00F552F0" w:rsidRDefault="004C3644">
            <w:pPr>
              <w:jc w:val="right"/>
              <w:rPr>
                <w:sz w:val="18"/>
                <w:szCs w:val="18"/>
              </w:rPr>
            </w:pPr>
            <w:r w:rsidRPr="00F552F0">
              <w:rPr>
                <w:sz w:val="18"/>
                <w:szCs w:val="18"/>
              </w:rPr>
              <w:t>0.02</w:t>
            </w:r>
          </w:p>
        </w:tc>
        <w:tc>
          <w:tcPr>
            <w:tcW w:w="994" w:type="dxa"/>
            <w:gridSpan w:val="3"/>
            <w:vAlign w:val="bottom"/>
          </w:tcPr>
          <w:p w:rsidR="004C3644" w:rsidRPr="00F552F0" w:rsidRDefault="004C3644">
            <w:pPr>
              <w:jc w:val="right"/>
              <w:rPr>
                <w:sz w:val="18"/>
                <w:szCs w:val="18"/>
              </w:rPr>
            </w:pPr>
            <w:r w:rsidRPr="00F552F0">
              <w:rPr>
                <w:sz w:val="18"/>
                <w:szCs w:val="18"/>
              </w:rPr>
              <w:t>0.02</w:t>
            </w:r>
          </w:p>
        </w:tc>
        <w:tc>
          <w:tcPr>
            <w:tcW w:w="996" w:type="dxa"/>
            <w:vAlign w:val="bottom"/>
          </w:tcPr>
          <w:p w:rsidR="004C3644" w:rsidRPr="00F552F0" w:rsidRDefault="004C3644">
            <w:pPr>
              <w:jc w:val="right"/>
              <w:rPr>
                <w:sz w:val="18"/>
                <w:szCs w:val="18"/>
              </w:rPr>
            </w:pPr>
            <w:r w:rsidRPr="00F552F0">
              <w:rPr>
                <w:sz w:val="18"/>
                <w:szCs w:val="18"/>
              </w:rPr>
              <w:t>0.01</w:t>
            </w:r>
          </w:p>
        </w:tc>
        <w:tc>
          <w:tcPr>
            <w:tcW w:w="1200" w:type="dxa"/>
            <w:vAlign w:val="bottom"/>
          </w:tcPr>
          <w:p w:rsidR="004C3644" w:rsidRPr="00F552F0" w:rsidRDefault="004C3644">
            <w:pPr>
              <w:jc w:val="right"/>
              <w:rPr>
                <w:sz w:val="18"/>
                <w:szCs w:val="18"/>
              </w:rPr>
            </w:pPr>
            <w:r w:rsidRPr="00F552F0">
              <w:rPr>
                <w:sz w:val="18"/>
                <w:szCs w:val="18"/>
              </w:rPr>
              <w:t>0.07</w:t>
            </w:r>
          </w:p>
        </w:tc>
        <w:tc>
          <w:tcPr>
            <w:tcW w:w="1107" w:type="dxa"/>
            <w:vAlign w:val="bottom"/>
          </w:tcPr>
          <w:p w:rsidR="004C3644" w:rsidRPr="00F552F0" w:rsidRDefault="004C3644">
            <w:pPr>
              <w:jc w:val="right"/>
              <w:rPr>
                <w:sz w:val="18"/>
                <w:szCs w:val="18"/>
              </w:rPr>
            </w:pPr>
            <w:r w:rsidRPr="00F552F0">
              <w:rPr>
                <w:sz w:val="18"/>
                <w:szCs w:val="18"/>
              </w:rPr>
              <w:t>-0.01</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10</w:t>
            </w:r>
          </w:p>
        </w:tc>
        <w:tc>
          <w:tcPr>
            <w:tcW w:w="3269" w:type="dxa"/>
          </w:tcPr>
          <w:p w:rsidR="004C3644" w:rsidRPr="00F552F0" w:rsidRDefault="004C3644">
            <w:pPr>
              <w:spacing w:before="60"/>
              <w:rPr>
                <w:i/>
                <w:sz w:val="18"/>
                <w:szCs w:val="18"/>
              </w:rPr>
            </w:pPr>
            <w:r w:rsidRPr="00F552F0">
              <w:rPr>
                <w:i/>
                <w:sz w:val="18"/>
                <w:szCs w:val="18"/>
              </w:rPr>
              <w:t>Capital accumulation</w:t>
            </w:r>
          </w:p>
        </w:tc>
        <w:tc>
          <w:tcPr>
            <w:tcW w:w="1173" w:type="dxa"/>
            <w:gridSpan w:val="2"/>
            <w:vAlign w:val="bottom"/>
          </w:tcPr>
          <w:p w:rsidR="004C3644" w:rsidRPr="00F552F0" w:rsidRDefault="004C3644">
            <w:pPr>
              <w:jc w:val="right"/>
              <w:rPr>
                <w:sz w:val="18"/>
                <w:szCs w:val="18"/>
              </w:rPr>
            </w:pPr>
            <w:r w:rsidRPr="00F552F0">
              <w:rPr>
                <w:sz w:val="18"/>
                <w:szCs w:val="18"/>
              </w:rPr>
              <w:t>-0.01</w:t>
            </w:r>
          </w:p>
        </w:tc>
        <w:tc>
          <w:tcPr>
            <w:tcW w:w="994" w:type="dxa"/>
            <w:gridSpan w:val="3"/>
            <w:vAlign w:val="bottom"/>
          </w:tcPr>
          <w:p w:rsidR="004C3644" w:rsidRPr="00F552F0" w:rsidRDefault="004C3644">
            <w:pPr>
              <w:jc w:val="right"/>
              <w:rPr>
                <w:sz w:val="18"/>
                <w:szCs w:val="18"/>
              </w:rPr>
            </w:pPr>
            <w:r w:rsidRPr="00F552F0">
              <w:rPr>
                <w:sz w:val="18"/>
                <w:szCs w:val="18"/>
              </w:rPr>
              <w:t>-0.01</w:t>
            </w:r>
          </w:p>
        </w:tc>
        <w:tc>
          <w:tcPr>
            <w:tcW w:w="996" w:type="dxa"/>
            <w:vAlign w:val="bottom"/>
          </w:tcPr>
          <w:p w:rsidR="004C3644" w:rsidRPr="00F552F0" w:rsidRDefault="004C3644">
            <w:pPr>
              <w:jc w:val="right"/>
              <w:rPr>
                <w:sz w:val="18"/>
                <w:szCs w:val="18"/>
              </w:rPr>
            </w:pPr>
            <w:r w:rsidRPr="00F552F0">
              <w:rPr>
                <w:sz w:val="18"/>
                <w:szCs w:val="18"/>
              </w:rPr>
              <w:t>0.01</w:t>
            </w:r>
          </w:p>
        </w:tc>
        <w:tc>
          <w:tcPr>
            <w:tcW w:w="1200" w:type="dxa"/>
            <w:vAlign w:val="bottom"/>
          </w:tcPr>
          <w:p w:rsidR="004C3644" w:rsidRPr="00F552F0" w:rsidRDefault="004C3644">
            <w:pPr>
              <w:jc w:val="right"/>
              <w:rPr>
                <w:sz w:val="18"/>
                <w:szCs w:val="18"/>
              </w:rPr>
            </w:pPr>
            <w:r w:rsidRPr="00F552F0">
              <w:rPr>
                <w:sz w:val="18"/>
                <w:szCs w:val="18"/>
              </w:rPr>
              <w:t>0.01</w:t>
            </w:r>
          </w:p>
        </w:tc>
        <w:tc>
          <w:tcPr>
            <w:tcW w:w="1107" w:type="dxa"/>
            <w:vAlign w:val="bottom"/>
          </w:tcPr>
          <w:p w:rsidR="004C3644" w:rsidRPr="00F552F0" w:rsidRDefault="004C3644">
            <w:pPr>
              <w:jc w:val="right"/>
              <w:rPr>
                <w:sz w:val="18"/>
                <w:szCs w:val="18"/>
              </w:rPr>
            </w:pPr>
            <w:r w:rsidRPr="00F552F0">
              <w:rPr>
                <w:sz w:val="18"/>
                <w:szCs w:val="18"/>
              </w:rPr>
              <w:t>-0.04</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11</w:t>
            </w:r>
          </w:p>
        </w:tc>
        <w:tc>
          <w:tcPr>
            <w:tcW w:w="3269" w:type="dxa"/>
          </w:tcPr>
          <w:p w:rsidR="004C3644" w:rsidRPr="00F552F0" w:rsidRDefault="004C3644">
            <w:pPr>
              <w:spacing w:before="60"/>
              <w:rPr>
                <w:i/>
                <w:sz w:val="18"/>
                <w:szCs w:val="18"/>
              </w:rPr>
            </w:pPr>
            <w:r w:rsidRPr="00F552F0">
              <w:rPr>
                <w:i/>
                <w:sz w:val="18"/>
                <w:szCs w:val="18"/>
              </w:rPr>
              <w:t>Growth rate volatility</w:t>
            </w:r>
          </w:p>
        </w:tc>
        <w:tc>
          <w:tcPr>
            <w:tcW w:w="1173" w:type="dxa"/>
            <w:gridSpan w:val="2"/>
            <w:vAlign w:val="bottom"/>
          </w:tcPr>
          <w:p w:rsidR="004C3644" w:rsidRPr="00F552F0" w:rsidRDefault="004C3644">
            <w:pPr>
              <w:jc w:val="right"/>
              <w:rPr>
                <w:sz w:val="18"/>
                <w:szCs w:val="18"/>
              </w:rPr>
            </w:pPr>
            <w:r w:rsidRPr="00F552F0">
              <w:rPr>
                <w:sz w:val="18"/>
                <w:szCs w:val="18"/>
              </w:rPr>
              <w:t>0.03</w:t>
            </w:r>
          </w:p>
        </w:tc>
        <w:tc>
          <w:tcPr>
            <w:tcW w:w="994" w:type="dxa"/>
            <w:gridSpan w:val="3"/>
            <w:vAlign w:val="bottom"/>
          </w:tcPr>
          <w:p w:rsidR="004C3644" w:rsidRPr="00F552F0" w:rsidRDefault="004C3644">
            <w:pPr>
              <w:jc w:val="right"/>
              <w:rPr>
                <w:sz w:val="18"/>
                <w:szCs w:val="18"/>
              </w:rPr>
            </w:pPr>
            <w:r w:rsidRPr="00F552F0">
              <w:rPr>
                <w:sz w:val="18"/>
                <w:szCs w:val="18"/>
              </w:rPr>
              <w:t>0.02</w:t>
            </w:r>
          </w:p>
        </w:tc>
        <w:tc>
          <w:tcPr>
            <w:tcW w:w="996" w:type="dxa"/>
            <w:vAlign w:val="bottom"/>
          </w:tcPr>
          <w:p w:rsidR="004C3644" w:rsidRPr="00F552F0" w:rsidRDefault="004C3644">
            <w:pPr>
              <w:jc w:val="right"/>
              <w:rPr>
                <w:sz w:val="18"/>
                <w:szCs w:val="18"/>
              </w:rPr>
            </w:pPr>
            <w:r w:rsidRPr="00F552F0">
              <w:rPr>
                <w:sz w:val="18"/>
                <w:szCs w:val="18"/>
              </w:rPr>
              <w:t>0.02</w:t>
            </w:r>
          </w:p>
        </w:tc>
        <w:tc>
          <w:tcPr>
            <w:tcW w:w="1200" w:type="dxa"/>
            <w:vAlign w:val="bottom"/>
          </w:tcPr>
          <w:p w:rsidR="004C3644" w:rsidRPr="00F552F0" w:rsidRDefault="004C3644">
            <w:pPr>
              <w:jc w:val="right"/>
              <w:rPr>
                <w:sz w:val="18"/>
                <w:szCs w:val="18"/>
              </w:rPr>
            </w:pPr>
            <w:r w:rsidRPr="00F552F0">
              <w:rPr>
                <w:sz w:val="18"/>
                <w:szCs w:val="18"/>
              </w:rPr>
              <w:t>0.08</w:t>
            </w:r>
          </w:p>
        </w:tc>
        <w:tc>
          <w:tcPr>
            <w:tcW w:w="1107" w:type="dxa"/>
            <w:vAlign w:val="bottom"/>
          </w:tcPr>
          <w:p w:rsidR="004C3644" w:rsidRPr="00F552F0" w:rsidRDefault="004C3644">
            <w:pPr>
              <w:jc w:val="right"/>
              <w:rPr>
                <w:sz w:val="18"/>
                <w:szCs w:val="18"/>
              </w:rPr>
            </w:pPr>
            <w:r w:rsidRPr="00F552F0">
              <w:rPr>
                <w:sz w:val="18"/>
                <w:szCs w:val="18"/>
              </w:rPr>
              <w:t>0.01</w:t>
            </w:r>
          </w:p>
        </w:tc>
      </w:tr>
      <w:tr w:rsidR="004C3644" w:rsidRPr="00F552F0" w:rsidTr="002A4A88">
        <w:tc>
          <w:tcPr>
            <w:tcW w:w="9178" w:type="dxa"/>
            <w:gridSpan w:val="10"/>
          </w:tcPr>
          <w:p w:rsidR="004C3644" w:rsidRPr="00F552F0" w:rsidRDefault="003D5871">
            <w:pPr>
              <w:spacing w:before="60"/>
              <w:rPr>
                <w:i/>
                <w:sz w:val="18"/>
                <w:szCs w:val="18"/>
              </w:rPr>
            </w:pPr>
            <w:r w:rsidRPr="00F552F0">
              <w:rPr>
                <w:i/>
                <w:sz w:val="18"/>
                <w:szCs w:val="18"/>
              </w:rPr>
              <w:t>Panel D</w:t>
            </w:r>
            <w:r w:rsidR="00BF6193" w:rsidRPr="00F552F0">
              <w:rPr>
                <w:i/>
                <w:sz w:val="18"/>
                <w:szCs w:val="18"/>
              </w:rPr>
              <w:t>:</w:t>
            </w:r>
            <w:r w:rsidRPr="00F552F0">
              <w:rPr>
                <w:i/>
                <w:sz w:val="18"/>
                <w:szCs w:val="18"/>
              </w:rPr>
              <w:t xml:space="preserve"> Crony capitalism</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12</w:t>
            </w:r>
          </w:p>
        </w:tc>
        <w:tc>
          <w:tcPr>
            <w:tcW w:w="3269" w:type="dxa"/>
          </w:tcPr>
          <w:p w:rsidR="004C3644" w:rsidRPr="00F552F0" w:rsidRDefault="004C3644">
            <w:pPr>
              <w:spacing w:before="60"/>
              <w:rPr>
                <w:i/>
                <w:sz w:val="18"/>
                <w:szCs w:val="18"/>
              </w:rPr>
            </w:pPr>
            <w:r w:rsidRPr="00F552F0">
              <w:rPr>
                <w:i/>
                <w:sz w:val="18"/>
                <w:szCs w:val="18"/>
              </w:rPr>
              <w:t>Income inequality</w:t>
            </w:r>
          </w:p>
        </w:tc>
        <w:tc>
          <w:tcPr>
            <w:tcW w:w="1173" w:type="dxa"/>
            <w:gridSpan w:val="2"/>
            <w:vAlign w:val="bottom"/>
          </w:tcPr>
          <w:p w:rsidR="004C3644" w:rsidRPr="00F552F0" w:rsidRDefault="004C3644">
            <w:pPr>
              <w:jc w:val="right"/>
              <w:rPr>
                <w:sz w:val="18"/>
                <w:szCs w:val="18"/>
              </w:rPr>
            </w:pPr>
            <w:r w:rsidRPr="00F552F0">
              <w:rPr>
                <w:sz w:val="18"/>
                <w:szCs w:val="18"/>
              </w:rPr>
              <w:t>38.88</w:t>
            </w:r>
          </w:p>
        </w:tc>
        <w:tc>
          <w:tcPr>
            <w:tcW w:w="994" w:type="dxa"/>
            <w:gridSpan w:val="3"/>
            <w:vAlign w:val="bottom"/>
          </w:tcPr>
          <w:p w:rsidR="004C3644" w:rsidRPr="00F552F0" w:rsidRDefault="004C3644">
            <w:pPr>
              <w:jc w:val="right"/>
              <w:rPr>
                <w:sz w:val="18"/>
                <w:szCs w:val="18"/>
              </w:rPr>
            </w:pPr>
            <w:r w:rsidRPr="00F552F0">
              <w:rPr>
                <w:sz w:val="18"/>
                <w:szCs w:val="18"/>
              </w:rPr>
              <w:t>36.00</w:t>
            </w:r>
          </w:p>
        </w:tc>
        <w:tc>
          <w:tcPr>
            <w:tcW w:w="996" w:type="dxa"/>
            <w:vAlign w:val="bottom"/>
          </w:tcPr>
          <w:p w:rsidR="004C3644" w:rsidRPr="00F552F0" w:rsidRDefault="004C3644">
            <w:pPr>
              <w:jc w:val="right"/>
              <w:rPr>
                <w:sz w:val="18"/>
                <w:szCs w:val="18"/>
              </w:rPr>
            </w:pPr>
            <w:r w:rsidRPr="00F552F0">
              <w:rPr>
                <w:sz w:val="18"/>
                <w:szCs w:val="18"/>
              </w:rPr>
              <w:t>9.57</w:t>
            </w:r>
          </w:p>
        </w:tc>
        <w:tc>
          <w:tcPr>
            <w:tcW w:w="1200" w:type="dxa"/>
            <w:vAlign w:val="bottom"/>
          </w:tcPr>
          <w:p w:rsidR="004C3644" w:rsidRPr="00F552F0" w:rsidRDefault="004C3644">
            <w:pPr>
              <w:jc w:val="right"/>
              <w:rPr>
                <w:sz w:val="18"/>
                <w:szCs w:val="18"/>
              </w:rPr>
            </w:pPr>
            <w:r w:rsidRPr="00F552F0">
              <w:rPr>
                <w:sz w:val="18"/>
                <w:szCs w:val="18"/>
              </w:rPr>
              <w:t>59.08</w:t>
            </w:r>
          </w:p>
        </w:tc>
        <w:tc>
          <w:tcPr>
            <w:tcW w:w="1107" w:type="dxa"/>
            <w:vAlign w:val="bottom"/>
          </w:tcPr>
          <w:p w:rsidR="004C3644" w:rsidRPr="00F552F0" w:rsidRDefault="004C3644">
            <w:pPr>
              <w:jc w:val="right"/>
              <w:rPr>
                <w:sz w:val="18"/>
                <w:szCs w:val="18"/>
              </w:rPr>
            </w:pPr>
            <w:r w:rsidRPr="00F552F0">
              <w:rPr>
                <w:sz w:val="18"/>
                <w:szCs w:val="18"/>
              </w:rPr>
              <w:t>24.70</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13</w:t>
            </w:r>
          </w:p>
        </w:tc>
        <w:tc>
          <w:tcPr>
            <w:tcW w:w="3269" w:type="dxa"/>
          </w:tcPr>
          <w:p w:rsidR="004C3644" w:rsidRPr="00F552F0" w:rsidRDefault="004C3644">
            <w:pPr>
              <w:spacing w:before="60"/>
              <w:rPr>
                <w:i/>
                <w:sz w:val="18"/>
                <w:szCs w:val="18"/>
              </w:rPr>
            </w:pPr>
            <w:r w:rsidRPr="00F552F0">
              <w:rPr>
                <w:i/>
                <w:sz w:val="18"/>
                <w:szCs w:val="18"/>
              </w:rPr>
              <w:t>Oligarchy</w:t>
            </w:r>
          </w:p>
        </w:tc>
        <w:tc>
          <w:tcPr>
            <w:tcW w:w="1173" w:type="dxa"/>
            <w:gridSpan w:val="2"/>
            <w:vAlign w:val="bottom"/>
          </w:tcPr>
          <w:p w:rsidR="004C3644" w:rsidRPr="00F552F0" w:rsidRDefault="004C3644">
            <w:pPr>
              <w:jc w:val="right"/>
              <w:rPr>
                <w:sz w:val="18"/>
                <w:szCs w:val="18"/>
              </w:rPr>
            </w:pPr>
            <w:r w:rsidRPr="00F552F0">
              <w:rPr>
                <w:sz w:val="18"/>
                <w:szCs w:val="18"/>
              </w:rPr>
              <w:t>0.62</w:t>
            </w:r>
          </w:p>
        </w:tc>
        <w:tc>
          <w:tcPr>
            <w:tcW w:w="994" w:type="dxa"/>
            <w:gridSpan w:val="3"/>
            <w:vAlign w:val="bottom"/>
          </w:tcPr>
          <w:p w:rsidR="004C3644" w:rsidRPr="00F552F0" w:rsidRDefault="004C3644">
            <w:pPr>
              <w:jc w:val="right"/>
              <w:rPr>
                <w:sz w:val="18"/>
                <w:szCs w:val="18"/>
              </w:rPr>
            </w:pPr>
            <w:r w:rsidRPr="00F552F0">
              <w:rPr>
                <w:sz w:val="18"/>
                <w:szCs w:val="18"/>
              </w:rPr>
              <w:t>0.70</w:t>
            </w:r>
          </w:p>
        </w:tc>
        <w:tc>
          <w:tcPr>
            <w:tcW w:w="996" w:type="dxa"/>
            <w:vAlign w:val="bottom"/>
          </w:tcPr>
          <w:p w:rsidR="004C3644" w:rsidRPr="00F552F0" w:rsidRDefault="004C3644">
            <w:pPr>
              <w:jc w:val="right"/>
              <w:rPr>
                <w:sz w:val="18"/>
                <w:szCs w:val="18"/>
              </w:rPr>
            </w:pPr>
            <w:r w:rsidRPr="00F552F0">
              <w:rPr>
                <w:sz w:val="18"/>
                <w:szCs w:val="18"/>
              </w:rPr>
              <w:t>0.33</w:t>
            </w:r>
          </w:p>
        </w:tc>
        <w:tc>
          <w:tcPr>
            <w:tcW w:w="1200" w:type="dxa"/>
            <w:vAlign w:val="bottom"/>
          </w:tcPr>
          <w:p w:rsidR="004C3644" w:rsidRPr="00F552F0" w:rsidRDefault="004C3644">
            <w:pPr>
              <w:jc w:val="right"/>
              <w:rPr>
                <w:sz w:val="18"/>
                <w:szCs w:val="18"/>
              </w:rPr>
            </w:pPr>
            <w:r w:rsidRPr="00F552F0">
              <w:rPr>
                <w:sz w:val="18"/>
                <w:szCs w:val="18"/>
              </w:rPr>
              <w:t>1.00</w:t>
            </w:r>
          </w:p>
        </w:tc>
        <w:tc>
          <w:tcPr>
            <w:tcW w:w="1107" w:type="dxa"/>
            <w:vAlign w:val="bottom"/>
          </w:tcPr>
          <w:p w:rsidR="004C3644" w:rsidRPr="00F552F0" w:rsidRDefault="004C3644">
            <w:pPr>
              <w:jc w:val="right"/>
              <w:rPr>
                <w:sz w:val="18"/>
                <w:szCs w:val="18"/>
              </w:rPr>
            </w:pPr>
            <w:r w:rsidRPr="00F552F0">
              <w:rPr>
                <w:sz w:val="18"/>
                <w:szCs w:val="18"/>
              </w:rPr>
              <w:t>0.00</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r w:rsidR="00953EC2" w:rsidRPr="00F552F0">
              <w:rPr>
                <w:sz w:val="18"/>
                <w:szCs w:val="18"/>
              </w:rPr>
              <w:t>4</w:t>
            </w:r>
          </w:p>
        </w:tc>
        <w:tc>
          <w:tcPr>
            <w:tcW w:w="3269" w:type="dxa"/>
          </w:tcPr>
          <w:p w:rsidR="004C3644" w:rsidRPr="00F552F0" w:rsidRDefault="004C3644">
            <w:pPr>
              <w:spacing w:before="60"/>
              <w:rPr>
                <w:i/>
                <w:sz w:val="18"/>
                <w:szCs w:val="18"/>
              </w:rPr>
            </w:pPr>
            <w:r w:rsidRPr="00F552F0">
              <w:rPr>
                <w:i/>
                <w:sz w:val="18"/>
                <w:szCs w:val="18"/>
              </w:rPr>
              <w:t xml:space="preserve">Number of </w:t>
            </w:r>
            <w:r w:rsidR="003C5B19" w:rsidRPr="00F552F0">
              <w:rPr>
                <w:i/>
                <w:sz w:val="18"/>
                <w:szCs w:val="18"/>
              </w:rPr>
              <w:t>p</w:t>
            </w:r>
            <w:r w:rsidRPr="00F552F0">
              <w:rPr>
                <w:i/>
                <w:sz w:val="18"/>
                <w:szCs w:val="18"/>
              </w:rPr>
              <w:t>rocedures</w:t>
            </w:r>
          </w:p>
        </w:tc>
        <w:tc>
          <w:tcPr>
            <w:tcW w:w="1173" w:type="dxa"/>
            <w:gridSpan w:val="2"/>
            <w:vAlign w:val="bottom"/>
          </w:tcPr>
          <w:p w:rsidR="004C3644" w:rsidRPr="00F552F0" w:rsidRDefault="004C3644">
            <w:pPr>
              <w:jc w:val="right"/>
              <w:rPr>
                <w:sz w:val="18"/>
                <w:szCs w:val="18"/>
              </w:rPr>
            </w:pPr>
            <w:r w:rsidRPr="00F552F0">
              <w:rPr>
                <w:sz w:val="18"/>
                <w:szCs w:val="18"/>
              </w:rPr>
              <w:t>2.10</w:t>
            </w:r>
          </w:p>
        </w:tc>
        <w:tc>
          <w:tcPr>
            <w:tcW w:w="994" w:type="dxa"/>
            <w:gridSpan w:val="3"/>
            <w:vAlign w:val="bottom"/>
          </w:tcPr>
          <w:p w:rsidR="004C3644" w:rsidRPr="00F552F0" w:rsidRDefault="004C3644">
            <w:pPr>
              <w:jc w:val="right"/>
              <w:rPr>
                <w:sz w:val="18"/>
                <w:szCs w:val="18"/>
              </w:rPr>
            </w:pPr>
            <w:r w:rsidRPr="00F552F0">
              <w:rPr>
                <w:sz w:val="18"/>
                <w:szCs w:val="18"/>
              </w:rPr>
              <w:t>2.20</w:t>
            </w:r>
          </w:p>
        </w:tc>
        <w:tc>
          <w:tcPr>
            <w:tcW w:w="996" w:type="dxa"/>
            <w:vAlign w:val="bottom"/>
          </w:tcPr>
          <w:p w:rsidR="004C3644" w:rsidRPr="00F552F0" w:rsidRDefault="004C3644">
            <w:pPr>
              <w:jc w:val="right"/>
              <w:rPr>
                <w:sz w:val="18"/>
                <w:szCs w:val="18"/>
              </w:rPr>
            </w:pPr>
            <w:r w:rsidRPr="00F552F0">
              <w:rPr>
                <w:sz w:val="18"/>
                <w:szCs w:val="18"/>
              </w:rPr>
              <w:t>0.56</w:t>
            </w:r>
          </w:p>
        </w:tc>
        <w:tc>
          <w:tcPr>
            <w:tcW w:w="1200" w:type="dxa"/>
            <w:vAlign w:val="bottom"/>
          </w:tcPr>
          <w:p w:rsidR="004C3644" w:rsidRPr="00F552F0" w:rsidRDefault="004C3644">
            <w:pPr>
              <w:jc w:val="right"/>
              <w:rPr>
                <w:sz w:val="18"/>
                <w:szCs w:val="18"/>
              </w:rPr>
            </w:pPr>
            <w:r w:rsidRPr="00F552F0">
              <w:rPr>
                <w:sz w:val="18"/>
                <w:szCs w:val="18"/>
              </w:rPr>
              <w:t>2.89</w:t>
            </w:r>
          </w:p>
        </w:tc>
        <w:tc>
          <w:tcPr>
            <w:tcW w:w="1107" w:type="dxa"/>
            <w:vAlign w:val="bottom"/>
          </w:tcPr>
          <w:p w:rsidR="004C3644" w:rsidRPr="00F552F0" w:rsidRDefault="004C3644">
            <w:pPr>
              <w:jc w:val="right"/>
              <w:rPr>
                <w:sz w:val="18"/>
                <w:szCs w:val="18"/>
              </w:rPr>
            </w:pPr>
            <w:r w:rsidRPr="00F552F0">
              <w:rPr>
                <w:sz w:val="18"/>
                <w:szCs w:val="18"/>
              </w:rPr>
              <w:t>0.69</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r w:rsidR="00953EC2" w:rsidRPr="00F552F0">
              <w:rPr>
                <w:sz w:val="18"/>
                <w:szCs w:val="18"/>
              </w:rPr>
              <w:t>5</w:t>
            </w:r>
          </w:p>
        </w:tc>
        <w:tc>
          <w:tcPr>
            <w:tcW w:w="3269" w:type="dxa"/>
          </w:tcPr>
          <w:p w:rsidR="004C3644" w:rsidRPr="00F552F0" w:rsidRDefault="004C3644">
            <w:pPr>
              <w:spacing w:before="60"/>
              <w:rPr>
                <w:i/>
                <w:sz w:val="18"/>
                <w:szCs w:val="18"/>
              </w:rPr>
            </w:pPr>
            <w:r w:rsidRPr="00F552F0">
              <w:rPr>
                <w:i/>
                <w:sz w:val="18"/>
                <w:szCs w:val="18"/>
              </w:rPr>
              <w:t>Time</w:t>
            </w:r>
          </w:p>
        </w:tc>
        <w:tc>
          <w:tcPr>
            <w:tcW w:w="1173" w:type="dxa"/>
            <w:gridSpan w:val="2"/>
            <w:vAlign w:val="bottom"/>
          </w:tcPr>
          <w:p w:rsidR="004C3644" w:rsidRPr="00F552F0" w:rsidRDefault="004C3644">
            <w:pPr>
              <w:jc w:val="right"/>
              <w:rPr>
                <w:sz w:val="18"/>
                <w:szCs w:val="18"/>
              </w:rPr>
            </w:pPr>
            <w:r w:rsidRPr="00F552F0">
              <w:rPr>
                <w:sz w:val="18"/>
                <w:szCs w:val="18"/>
              </w:rPr>
              <w:t>3.38</w:t>
            </w:r>
          </w:p>
        </w:tc>
        <w:tc>
          <w:tcPr>
            <w:tcW w:w="994" w:type="dxa"/>
            <w:gridSpan w:val="3"/>
            <w:vAlign w:val="bottom"/>
          </w:tcPr>
          <w:p w:rsidR="004C3644" w:rsidRPr="00F552F0" w:rsidRDefault="004C3644">
            <w:pPr>
              <w:jc w:val="right"/>
              <w:rPr>
                <w:sz w:val="18"/>
                <w:szCs w:val="18"/>
              </w:rPr>
            </w:pPr>
            <w:r w:rsidRPr="00F552F0">
              <w:rPr>
                <w:sz w:val="18"/>
                <w:szCs w:val="18"/>
              </w:rPr>
              <w:t>3.61</w:t>
            </w:r>
          </w:p>
        </w:tc>
        <w:tc>
          <w:tcPr>
            <w:tcW w:w="996" w:type="dxa"/>
            <w:vAlign w:val="bottom"/>
          </w:tcPr>
          <w:p w:rsidR="004C3644" w:rsidRPr="00F552F0" w:rsidRDefault="004C3644">
            <w:pPr>
              <w:jc w:val="right"/>
              <w:rPr>
                <w:sz w:val="18"/>
                <w:szCs w:val="18"/>
              </w:rPr>
            </w:pPr>
            <w:r w:rsidRPr="00F552F0">
              <w:rPr>
                <w:sz w:val="18"/>
                <w:szCs w:val="18"/>
              </w:rPr>
              <w:t>1.00</w:t>
            </w:r>
          </w:p>
        </w:tc>
        <w:tc>
          <w:tcPr>
            <w:tcW w:w="1200" w:type="dxa"/>
            <w:vAlign w:val="bottom"/>
          </w:tcPr>
          <w:p w:rsidR="004C3644" w:rsidRPr="00F552F0" w:rsidRDefault="004C3644">
            <w:pPr>
              <w:jc w:val="right"/>
              <w:rPr>
                <w:sz w:val="18"/>
                <w:szCs w:val="18"/>
              </w:rPr>
            </w:pPr>
            <w:r w:rsidRPr="00F552F0">
              <w:rPr>
                <w:sz w:val="18"/>
                <w:szCs w:val="18"/>
              </w:rPr>
              <w:t>4.85</w:t>
            </w:r>
          </w:p>
        </w:tc>
        <w:tc>
          <w:tcPr>
            <w:tcW w:w="1107" w:type="dxa"/>
            <w:vAlign w:val="bottom"/>
          </w:tcPr>
          <w:p w:rsidR="004C3644" w:rsidRPr="00F552F0" w:rsidRDefault="004C3644">
            <w:pPr>
              <w:jc w:val="right"/>
              <w:rPr>
                <w:sz w:val="18"/>
                <w:szCs w:val="18"/>
              </w:rPr>
            </w:pPr>
            <w:r w:rsidRPr="00F552F0">
              <w:rPr>
                <w:sz w:val="18"/>
                <w:szCs w:val="18"/>
              </w:rPr>
              <w:t>0.69</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r w:rsidR="00953EC2" w:rsidRPr="00F552F0">
              <w:rPr>
                <w:sz w:val="18"/>
                <w:szCs w:val="18"/>
              </w:rPr>
              <w:t>6</w:t>
            </w:r>
          </w:p>
        </w:tc>
        <w:tc>
          <w:tcPr>
            <w:tcW w:w="3269" w:type="dxa"/>
          </w:tcPr>
          <w:p w:rsidR="004C3644" w:rsidRPr="00F552F0" w:rsidRDefault="004C3644">
            <w:pPr>
              <w:spacing w:before="60"/>
              <w:rPr>
                <w:i/>
                <w:sz w:val="18"/>
                <w:szCs w:val="18"/>
              </w:rPr>
            </w:pPr>
            <w:r w:rsidRPr="00F552F0">
              <w:rPr>
                <w:i/>
                <w:sz w:val="18"/>
                <w:szCs w:val="18"/>
              </w:rPr>
              <w:t>Cost</w:t>
            </w:r>
          </w:p>
        </w:tc>
        <w:tc>
          <w:tcPr>
            <w:tcW w:w="1173" w:type="dxa"/>
            <w:gridSpan w:val="2"/>
            <w:vAlign w:val="bottom"/>
          </w:tcPr>
          <w:p w:rsidR="004C3644" w:rsidRPr="00F552F0" w:rsidRDefault="004C3644">
            <w:pPr>
              <w:jc w:val="right"/>
              <w:rPr>
                <w:sz w:val="18"/>
                <w:szCs w:val="18"/>
              </w:rPr>
            </w:pPr>
            <w:r w:rsidRPr="00F552F0">
              <w:rPr>
                <w:sz w:val="18"/>
                <w:szCs w:val="18"/>
              </w:rPr>
              <w:t>6.75</w:t>
            </w:r>
          </w:p>
        </w:tc>
        <w:tc>
          <w:tcPr>
            <w:tcW w:w="994" w:type="dxa"/>
            <w:gridSpan w:val="3"/>
            <w:vAlign w:val="bottom"/>
          </w:tcPr>
          <w:p w:rsidR="004C3644" w:rsidRPr="00F552F0" w:rsidRDefault="004C3644">
            <w:pPr>
              <w:jc w:val="right"/>
              <w:rPr>
                <w:sz w:val="18"/>
                <w:szCs w:val="18"/>
              </w:rPr>
            </w:pPr>
            <w:r w:rsidRPr="00F552F0">
              <w:rPr>
                <w:sz w:val="18"/>
                <w:szCs w:val="18"/>
              </w:rPr>
              <w:t>6.68</w:t>
            </w:r>
          </w:p>
        </w:tc>
        <w:tc>
          <w:tcPr>
            <w:tcW w:w="996" w:type="dxa"/>
            <w:vAlign w:val="bottom"/>
          </w:tcPr>
          <w:p w:rsidR="004C3644" w:rsidRPr="00F552F0" w:rsidRDefault="004C3644">
            <w:pPr>
              <w:jc w:val="right"/>
              <w:rPr>
                <w:sz w:val="18"/>
                <w:szCs w:val="18"/>
              </w:rPr>
            </w:pPr>
            <w:r w:rsidRPr="00F552F0">
              <w:rPr>
                <w:sz w:val="18"/>
                <w:szCs w:val="18"/>
              </w:rPr>
              <w:t>1.26</w:t>
            </w:r>
          </w:p>
        </w:tc>
        <w:tc>
          <w:tcPr>
            <w:tcW w:w="1200" w:type="dxa"/>
            <w:vAlign w:val="bottom"/>
          </w:tcPr>
          <w:p w:rsidR="004C3644" w:rsidRPr="00F552F0" w:rsidRDefault="004C3644">
            <w:pPr>
              <w:jc w:val="right"/>
              <w:rPr>
                <w:sz w:val="18"/>
                <w:szCs w:val="18"/>
              </w:rPr>
            </w:pPr>
            <w:r w:rsidRPr="00F552F0">
              <w:rPr>
                <w:sz w:val="18"/>
                <w:szCs w:val="18"/>
              </w:rPr>
              <w:t>8.87</w:t>
            </w:r>
          </w:p>
        </w:tc>
        <w:tc>
          <w:tcPr>
            <w:tcW w:w="1107" w:type="dxa"/>
            <w:vAlign w:val="bottom"/>
          </w:tcPr>
          <w:p w:rsidR="004C3644" w:rsidRPr="00F552F0" w:rsidRDefault="004C3644">
            <w:pPr>
              <w:jc w:val="right"/>
              <w:rPr>
                <w:sz w:val="18"/>
                <w:szCs w:val="18"/>
              </w:rPr>
            </w:pPr>
            <w:r w:rsidRPr="00F552F0">
              <w:rPr>
                <w:sz w:val="18"/>
                <w:szCs w:val="18"/>
              </w:rPr>
              <w:t>4.21</w:t>
            </w:r>
          </w:p>
        </w:tc>
      </w:tr>
      <w:tr w:rsidR="004C3644" w:rsidRPr="00F552F0" w:rsidTr="002A4A88">
        <w:tc>
          <w:tcPr>
            <w:tcW w:w="9178" w:type="dxa"/>
            <w:gridSpan w:val="10"/>
          </w:tcPr>
          <w:p w:rsidR="004C3644" w:rsidRPr="00F552F0" w:rsidRDefault="003D5871">
            <w:pPr>
              <w:spacing w:before="60"/>
              <w:rPr>
                <w:i/>
                <w:sz w:val="18"/>
                <w:szCs w:val="18"/>
              </w:rPr>
            </w:pPr>
            <w:r w:rsidRPr="00F552F0">
              <w:rPr>
                <w:i/>
                <w:sz w:val="18"/>
                <w:szCs w:val="18"/>
              </w:rPr>
              <w:t>Panel E</w:t>
            </w:r>
            <w:r w:rsidR="00BF6193" w:rsidRPr="00F552F0">
              <w:rPr>
                <w:i/>
                <w:sz w:val="18"/>
                <w:szCs w:val="18"/>
              </w:rPr>
              <w:t>:</w:t>
            </w:r>
            <w:r w:rsidRPr="00F552F0">
              <w:rPr>
                <w:i/>
                <w:sz w:val="18"/>
                <w:szCs w:val="18"/>
              </w:rPr>
              <w:t xml:space="preserve"> Main controls</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r w:rsidR="00953EC2" w:rsidRPr="00F552F0">
              <w:rPr>
                <w:sz w:val="18"/>
                <w:szCs w:val="18"/>
              </w:rPr>
              <w:t>7</w:t>
            </w:r>
          </w:p>
        </w:tc>
        <w:tc>
          <w:tcPr>
            <w:tcW w:w="3269" w:type="dxa"/>
          </w:tcPr>
          <w:p w:rsidR="004C3644" w:rsidRPr="00F552F0" w:rsidRDefault="004C3644">
            <w:pPr>
              <w:spacing w:before="60"/>
              <w:rPr>
                <w:i/>
                <w:sz w:val="18"/>
                <w:szCs w:val="18"/>
              </w:rPr>
            </w:pPr>
            <w:r w:rsidRPr="00F552F0">
              <w:rPr>
                <w:i/>
                <w:sz w:val="18"/>
                <w:szCs w:val="18"/>
              </w:rPr>
              <w:t>Initial income</w:t>
            </w:r>
          </w:p>
        </w:tc>
        <w:tc>
          <w:tcPr>
            <w:tcW w:w="1173" w:type="dxa"/>
            <w:gridSpan w:val="2"/>
            <w:vAlign w:val="bottom"/>
          </w:tcPr>
          <w:p w:rsidR="004C3644" w:rsidRPr="00F552F0" w:rsidRDefault="004C3644">
            <w:pPr>
              <w:jc w:val="right"/>
              <w:rPr>
                <w:sz w:val="18"/>
                <w:szCs w:val="18"/>
              </w:rPr>
            </w:pPr>
            <w:r w:rsidRPr="00F552F0">
              <w:rPr>
                <w:sz w:val="18"/>
                <w:szCs w:val="18"/>
              </w:rPr>
              <w:t>8.66</w:t>
            </w:r>
          </w:p>
        </w:tc>
        <w:tc>
          <w:tcPr>
            <w:tcW w:w="994" w:type="dxa"/>
            <w:gridSpan w:val="3"/>
            <w:vAlign w:val="bottom"/>
          </w:tcPr>
          <w:p w:rsidR="004C3644" w:rsidRPr="00F552F0" w:rsidRDefault="004C3644">
            <w:pPr>
              <w:jc w:val="right"/>
              <w:rPr>
                <w:sz w:val="18"/>
                <w:szCs w:val="18"/>
              </w:rPr>
            </w:pPr>
            <w:r w:rsidRPr="00F552F0">
              <w:rPr>
                <w:sz w:val="18"/>
                <w:szCs w:val="18"/>
              </w:rPr>
              <w:t>9.10</w:t>
            </w:r>
          </w:p>
        </w:tc>
        <w:tc>
          <w:tcPr>
            <w:tcW w:w="996" w:type="dxa"/>
            <w:vAlign w:val="bottom"/>
          </w:tcPr>
          <w:p w:rsidR="004C3644" w:rsidRPr="00F552F0" w:rsidRDefault="004C3644">
            <w:pPr>
              <w:jc w:val="right"/>
              <w:rPr>
                <w:sz w:val="18"/>
                <w:szCs w:val="18"/>
              </w:rPr>
            </w:pPr>
            <w:r w:rsidRPr="00F552F0">
              <w:rPr>
                <w:sz w:val="18"/>
                <w:szCs w:val="18"/>
              </w:rPr>
              <w:t>1.41</w:t>
            </w:r>
          </w:p>
        </w:tc>
        <w:tc>
          <w:tcPr>
            <w:tcW w:w="1200" w:type="dxa"/>
            <w:vAlign w:val="bottom"/>
          </w:tcPr>
          <w:p w:rsidR="004C3644" w:rsidRPr="00F552F0" w:rsidRDefault="004C3644">
            <w:pPr>
              <w:jc w:val="right"/>
              <w:rPr>
                <w:sz w:val="18"/>
                <w:szCs w:val="18"/>
              </w:rPr>
            </w:pPr>
            <w:r w:rsidRPr="00F552F0">
              <w:rPr>
                <w:sz w:val="18"/>
                <w:szCs w:val="18"/>
              </w:rPr>
              <w:t>10.45</w:t>
            </w:r>
          </w:p>
        </w:tc>
        <w:tc>
          <w:tcPr>
            <w:tcW w:w="1107" w:type="dxa"/>
            <w:vAlign w:val="bottom"/>
          </w:tcPr>
          <w:p w:rsidR="004C3644" w:rsidRPr="00F552F0" w:rsidRDefault="004C3644">
            <w:pPr>
              <w:jc w:val="right"/>
              <w:rPr>
                <w:sz w:val="18"/>
                <w:szCs w:val="18"/>
              </w:rPr>
            </w:pPr>
            <w:r w:rsidRPr="00F552F0">
              <w:rPr>
                <w:sz w:val="18"/>
                <w:szCs w:val="18"/>
              </w:rPr>
              <w:t>5.78</w:t>
            </w:r>
          </w:p>
        </w:tc>
      </w:tr>
      <w:tr w:rsidR="004C3644" w:rsidRPr="00F552F0" w:rsidTr="002A4A88">
        <w:tc>
          <w:tcPr>
            <w:tcW w:w="439" w:type="dxa"/>
          </w:tcPr>
          <w:p w:rsidR="004C3644" w:rsidRPr="00F552F0" w:rsidRDefault="004C3644">
            <w:pPr>
              <w:spacing w:before="60"/>
              <w:jc w:val="center"/>
              <w:rPr>
                <w:sz w:val="18"/>
                <w:szCs w:val="18"/>
              </w:rPr>
            </w:pPr>
            <w:r w:rsidRPr="00F552F0">
              <w:rPr>
                <w:sz w:val="18"/>
                <w:szCs w:val="18"/>
              </w:rPr>
              <w:t>1</w:t>
            </w:r>
            <w:r w:rsidR="00953EC2" w:rsidRPr="00F552F0">
              <w:rPr>
                <w:sz w:val="18"/>
                <w:szCs w:val="18"/>
              </w:rPr>
              <w:t>8</w:t>
            </w:r>
          </w:p>
        </w:tc>
        <w:tc>
          <w:tcPr>
            <w:tcW w:w="3269" w:type="dxa"/>
          </w:tcPr>
          <w:p w:rsidR="004C3644" w:rsidRPr="00F552F0" w:rsidRDefault="004C3644">
            <w:pPr>
              <w:spacing w:before="60"/>
              <w:rPr>
                <w:i/>
                <w:sz w:val="18"/>
                <w:szCs w:val="18"/>
              </w:rPr>
            </w:pPr>
            <w:r w:rsidRPr="00F552F0">
              <w:rPr>
                <w:i/>
                <w:sz w:val="18"/>
                <w:szCs w:val="18"/>
              </w:rPr>
              <w:t>Stock market size</w:t>
            </w:r>
          </w:p>
        </w:tc>
        <w:tc>
          <w:tcPr>
            <w:tcW w:w="1173" w:type="dxa"/>
            <w:gridSpan w:val="2"/>
            <w:vAlign w:val="bottom"/>
          </w:tcPr>
          <w:p w:rsidR="004C3644" w:rsidRPr="00F552F0" w:rsidRDefault="004C3644">
            <w:pPr>
              <w:jc w:val="right"/>
              <w:rPr>
                <w:sz w:val="18"/>
                <w:szCs w:val="18"/>
              </w:rPr>
            </w:pPr>
            <w:r w:rsidRPr="00F552F0">
              <w:rPr>
                <w:sz w:val="18"/>
                <w:szCs w:val="18"/>
              </w:rPr>
              <w:t>3.92</w:t>
            </w:r>
          </w:p>
        </w:tc>
        <w:tc>
          <w:tcPr>
            <w:tcW w:w="994" w:type="dxa"/>
            <w:gridSpan w:val="3"/>
            <w:vAlign w:val="bottom"/>
          </w:tcPr>
          <w:p w:rsidR="004C3644" w:rsidRPr="00F552F0" w:rsidRDefault="004C3644">
            <w:pPr>
              <w:jc w:val="right"/>
              <w:rPr>
                <w:sz w:val="18"/>
                <w:szCs w:val="18"/>
              </w:rPr>
            </w:pPr>
            <w:r w:rsidRPr="00F552F0">
              <w:rPr>
                <w:sz w:val="18"/>
                <w:szCs w:val="18"/>
              </w:rPr>
              <w:t>3.95</w:t>
            </w:r>
          </w:p>
        </w:tc>
        <w:tc>
          <w:tcPr>
            <w:tcW w:w="996" w:type="dxa"/>
            <w:vAlign w:val="bottom"/>
          </w:tcPr>
          <w:p w:rsidR="004C3644" w:rsidRPr="00F552F0" w:rsidRDefault="004C3644">
            <w:pPr>
              <w:jc w:val="right"/>
              <w:rPr>
                <w:sz w:val="18"/>
                <w:szCs w:val="18"/>
              </w:rPr>
            </w:pPr>
            <w:r w:rsidRPr="00F552F0">
              <w:rPr>
                <w:sz w:val="18"/>
                <w:szCs w:val="18"/>
              </w:rPr>
              <w:t>0.82</w:t>
            </w:r>
          </w:p>
        </w:tc>
        <w:tc>
          <w:tcPr>
            <w:tcW w:w="1200" w:type="dxa"/>
            <w:vAlign w:val="bottom"/>
          </w:tcPr>
          <w:p w:rsidR="004C3644" w:rsidRPr="00F552F0" w:rsidRDefault="004C3644">
            <w:pPr>
              <w:jc w:val="right"/>
              <w:rPr>
                <w:sz w:val="18"/>
                <w:szCs w:val="18"/>
              </w:rPr>
            </w:pPr>
            <w:r w:rsidRPr="00F552F0">
              <w:rPr>
                <w:sz w:val="18"/>
                <w:szCs w:val="18"/>
              </w:rPr>
              <w:t>5.68</w:t>
            </w:r>
          </w:p>
        </w:tc>
        <w:tc>
          <w:tcPr>
            <w:tcW w:w="1107" w:type="dxa"/>
            <w:vAlign w:val="bottom"/>
          </w:tcPr>
          <w:p w:rsidR="004C3644" w:rsidRPr="00F552F0" w:rsidRDefault="004C3644">
            <w:pPr>
              <w:jc w:val="right"/>
              <w:rPr>
                <w:sz w:val="18"/>
                <w:szCs w:val="18"/>
              </w:rPr>
            </w:pPr>
            <w:r w:rsidRPr="00F552F0">
              <w:rPr>
                <w:sz w:val="18"/>
                <w:szCs w:val="18"/>
              </w:rPr>
              <w:t>2.15</w:t>
            </w:r>
          </w:p>
        </w:tc>
      </w:tr>
      <w:tr w:rsidR="004C3644" w:rsidRPr="00F552F0" w:rsidTr="002A4A88">
        <w:tc>
          <w:tcPr>
            <w:tcW w:w="439" w:type="dxa"/>
          </w:tcPr>
          <w:p w:rsidR="004C3644" w:rsidRPr="00F552F0" w:rsidRDefault="00953EC2">
            <w:pPr>
              <w:spacing w:before="60"/>
              <w:jc w:val="center"/>
              <w:rPr>
                <w:sz w:val="18"/>
                <w:szCs w:val="18"/>
              </w:rPr>
            </w:pPr>
            <w:r w:rsidRPr="00F552F0">
              <w:rPr>
                <w:sz w:val="18"/>
                <w:szCs w:val="18"/>
              </w:rPr>
              <w:t>19</w:t>
            </w:r>
          </w:p>
        </w:tc>
        <w:tc>
          <w:tcPr>
            <w:tcW w:w="3269" w:type="dxa"/>
          </w:tcPr>
          <w:p w:rsidR="004C3644" w:rsidRPr="00F552F0" w:rsidRDefault="004C3644">
            <w:pPr>
              <w:spacing w:before="60"/>
              <w:rPr>
                <w:i/>
                <w:sz w:val="18"/>
                <w:szCs w:val="18"/>
              </w:rPr>
            </w:pPr>
            <w:r w:rsidRPr="00F552F0">
              <w:rPr>
                <w:i/>
                <w:sz w:val="18"/>
                <w:szCs w:val="18"/>
              </w:rPr>
              <w:t>Banking system size</w:t>
            </w:r>
          </w:p>
        </w:tc>
        <w:tc>
          <w:tcPr>
            <w:tcW w:w="1173" w:type="dxa"/>
            <w:gridSpan w:val="2"/>
            <w:vAlign w:val="bottom"/>
          </w:tcPr>
          <w:p w:rsidR="004C3644" w:rsidRPr="00F552F0" w:rsidRDefault="004C3644">
            <w:pPr>
              <w:jc w:val="right"/>
              <w:rPr>
                <w:sz w:val="18"/>
                <w:szCs w:val="18"/>
              </w:rPr>
            </w:pPr>
            <w:r w:rsidRPr="00F552F0">
              <w:rPr>
                <w:sz w:val="18"/>
                <w:szCs w:val="18"/>
              </w:rPr>
              <w:t>4.41</w:t>
            </w:r>
          </w:p>
        </w:tc>
        <w:tc>
          <w:tcPr>
            <w:tcW w:w="994" w:type="dxa"/>
            <w:gridSpan w:val="3"/>
            <w:vAlign w:val="bottom"/>
          </w:tcPr>
          <w:p w:rsidR="004C3644" w:rsidRPr="00F552F0" w:rsidRDefault="004C3644">
            <w:pPr>
              <w:jc w:val="right"/>
              <w:rPr>
                <w:sz w:val="18"/>
                <w:szCs w:val="18"/>
              </w:rPr>
            </w:pPr>
            <w:r w:rsidRPr="00F552F0">
              <w:rPr>
                <w:sz w:val="18"/>
                <w:szCs w:val="18"/>
              </w:rPr>
              <w:t>4.49</w:t>
            </w:r>
          </w:p>
        </w:tc>
        <w:tc>
          <w:tcPr>
            <w:tcW w:w="996" w:type="dxa"/>
            <w:vAlign w:val="bottom"/>
          </w:tcPr>
          <w:p w:rsidR="004C3644" w:rsidRPr="00F552F0" w:rsidRDefault="004C3644">
            <w:pPr>
              <w:jc w:val="right"/>
              <w:rPr>
                <w:sz w:val="18"/>
                <w:szCs w:val="18"/>
              </w:rPr>
            </w:pPr>
            <w:r w:rsidRPr="00F552F0">
              <w:rPr>
                <w:sz w:val="18"/>
                <w:szCs w:val="18"/>
              </w:rPr>
              <w:t>0.58</w:t>
            </w:r>
          </w:p>
        </w:tc>
        <w:tc>
          <w:tcPr>
            <w:tcW w:w="1200" w:type="dxa"/>
            <w:vAlign w:val="bottom"/>
          </w:tcPr>
          <w:p w:rsidR="004C3644" w:rsidRPr="00F552F0" w:rsidRDefault="004C3644">
            <w:pPr>
              <w:jc w:val="right"/>
              <w:rPr>
                <w:sz w:val="18"/>
                <w:szCs w:val="18"/>
              </w:rPr>
            </w:pPr>
            <w:r w:rsidRPr="00F552F0">
              <w:rPr>
                <w:sz w:val="18"/>
                <w:szCs w:val="18"/>
              </w:rPr>
              <w:t>5.68</w:t>
            </w:r>
          </w:p>
        </w:tc>
        <w:tc>
          <w:tcPr>
            <w:tcW w:w="1107" w:type="dxa"/>
            <w:vAlign w:val="bottom"/>
          </w:tcPr>
          <w:p w:rsidR="004C3644" w:rsidRPr="00F552F0" w:rsidRDefault="004C3644">
            <w:pPr>
              <w:jc w:val="right"/>
              <w:rPr>
                <w:sz w:val="18"/>
                <w:szCs w:val="18"/>
              </w:rPr>
            </w:pPr>
            <w:r w:rsidRPr="00F552F0">
              <w:rPr>
                <w:sz w:val="18"/>
                <w:szCs w:val="18"/>
              </w:rPr>
              <w:t>2.98</w:t>
            </w:r>
          </w:p>
        </w:tc>
      </w:tr>
      <w:tr w:rsidR="004C3644" w:rsidRPr="00F552F0" w:rsidTr="002A4A88">
        <w:tc>
          <w:tcPr>
            <w:tcW w:w="439" w:type="dxa"/>
          </w:tcPr>
          <w:p w:rsidR="004C3644" w:rsidRPr="00F552F0" w:rsidRDefault="00953EC2">
            <w:pPr>
              <w:spacing w:before="60"/>
              <w:jc w:val="center"/>
              <w:rPr>
                <w:sz w:val="18"/>
                <w:szCs w:val="18"/>
              </w:rPr>
            </w:pPr>
            <w:r w:rsidRPr="00F552F0">
              <w:rPr>
                <w:sz w:val="18"/>
                <w:szCs w:val="18"/>
              </w:rPr>
              <w:t>20</w:t>
            </w:r>
          </w:p>
        </w:tc>
        <w:tc>
          <w:tcPr>
            <w:tcW w:w="3269" w:type="dxa"/>
          </w:tcPr>
          <w:p w:rsidR="004C3644" w:rsidRPr="00F552F0" w:rsidRDefault="004C3644">
            <w:pPr>
              <w:spacing w:before="60"/>
              <w:rPr>
                <w:i/>
                <w:sz w:val="18"/>
                <w:szCs w:val="18"/>
              </w:rPr>
            </w:pPr>
            <w:r w:rsidRPr="00F552F0">
              <w:rPr>
                <w:i/>
                <w:sz w:val="18"/>
                <w:szCs w:val="18"/>
              </w:rPr>
              <w:t>Trade openness</w:t>
            </w:r>
          </w:p>
        </w:tc>
        <w:tc>
          <w:tcPr>
            <w:tcW w:w="1173" w:type="dxa"/>
            <w:gridSpan w:val="2"/>
            <w:vAlign w:val="bottom"/>
          </w:tcPr>
          <w:p w:rsidR="004C3644" w:rsidRPr="00F552F0" w:rsidRDefault="004C3644">
            <w:pPr>
              <w:jc w:val="right"/>
              <w:rPr>
                <w:sz w:val="18"/>
                <w:szCs w:val="18"/>
              </w:rPr>
            </w:pPr>
            <w:r w:rsidRPr="00F552F0">
              <w:rPr>
                <w:sz w:val="18"/>
                <w:szCs w:val="18"/>
              </w:rPr>
              <w:t>4.13</w:t>
            </w:r>
          </w:p>
        </w:tc>
        <w:tc>
          <w:tcPr>
            <w:tcW w:w="994" w:type="dxa"/>
            <w:gridSpan w:val="3"/>
            <w:vAlign w:val="bottom"/>
          </w:tcPr>
          <w:p w:rsidR="004C3644" w:rsidRPr="00F552F0" w:rsidRDefault="004C3644">
            <w:pPr>
              <w:jc w:val="right"/>
              <w:rPr>
                <w:sz w:val="18"/>
                <w:szCs w:val="18"/>
              </w:rPr>
            </w:pPr>
            <w:r w:rsidRPr="00F552F0">
              <w:rPr>
                <w:sz w:val="18"/>
                <w:szCs w:val="18"/>
              </w:rPr>
              <w:t>4.08</w:t>
            </w:r>
          </w:p>
        </w:tc>
        <w:tc>
          <w:tcPr>
            <w:tcW w:w="996" w:type="dxa"/>
            <w:vAlign w:val="bottom"/>
          </w:tcPr>
          <w:p w:rsidR="004C3644" w:rsidRPr="00F552F0" w:rsidRDefault="004C3644">
            <w:pPr>
              <w:jc w:val="right"/>
              <w:rPr>
                <w:sz w:val="18"/>
                <w:szCs w:val="18"/>
              </w:rPr>
            </w:pPr>
            <w:r w:rsidRPr="00F552F0">
              <w:rPr>
                <w:sz w:val="18"/>
                <w:szCs w:val="18"/>
              </w:rPr>
              <w:t>0.62</w:t>
            </w:r>
          </w:p>
        </w:tc>
        <w:tc>
          <w:tcPr>
            <w:tcW w:w="1200" w:type="dxa"/>
            <w:vAlign w:val="bottom"/>
          </w:tcPr>
          <w:p w:rsidR="004C3644" w:rsidRPr="00F552F0" w:rsidRDefault="004C3644">
            <w:pPr>
              <w:jc w:val="right"/>
              <w:rPr>
                <w:sz w:val="18"/>
                <w:szCs w:val="18"/>
              </w:rPr>
            </w:pPr>
            <w:r w:rsidRPr="00F552F0">
              <w:rPr>
                <w:sz w:val="18"/>
                <w:szCs w:val="18"/>
              </w:rPr>
              <w:t>5.94</w:t>
            </w:r>
          </w:p>
        </w:tc>
        <w:tc>
          <w:tcPr>
            <w:tcW w:w="1107" w:type="dxa"/>
            <w:vAlign w:val="bottom"/>
          </w:tcPr>
          <w:p w:rsidR="004C3644" w:rsidRPr="00F552F0" w:rsidRDefault="004C3644">
            <w:pPr>
              <w:jc w:val="right"/>
              <w:rPr>
                <w:sz w:val="18"/>
                <w:szCs w:val="18"/>
              </w:rPr>
            </w:pPr>
            <w:r w:rsidRPr="00F552F0">
              <w:rPr>
                <w:sz w:val="18"/>
                <w:szCs w:val="18"/>
              </w:rPr>
              <w:t>2.96</w:t>
            </w:r>
          </w:p>
        </w:tc>
      </w:tr>
      <w:tr w:rsidR="004C3644" w:rsidRPr="00F552F0" w:rsidTr="002A4A88">
        <w:tc>
          <w:tcPr>
            <w:tcW w:w="439" w:type="dxa"/>
            <w:tcBorders>
              <w:bottom w:val="single" w:sz="4" w:space="0" w:color="auto"/>
            </w:tcBorders>
          </w:tcPr>
          <w:p w:rsidR="004C3644" w:rsidRPr="00F552F0" w:rsidRDefault="00953EC2">
            <w:pPr>
              <w:spacing w:before="60"/>
              <w:rPr>
                <w:sz w:val="18"/>
                <w:szCs w:val="18"/>
              </w:rPr>
            </w:pPr>
            <w:r w:rsidRPr="00F552F0">
              <w:rPr>
                <w:sz w:val="18"/>
                <w:szCs w:val="18"/>
              </w:rPr>
              <w:t>21</w:t>
            </w:r>
          </w:p>
        </w:tc>
        <w:tc>
          <w:tcPr>
            <w:tcW w:w="3269" w:type="dxa"/>
            <w:tcBorders>
              <w:bottom w:val="single" w:sz="4" w:space="0" w:color="auto"/>
            </w:tcBorders>
          </w:tcPr>
          <w:p w:rsidR="004C3644" w:rsidRPr="00F552F0" w:rsidRDefault="004C3644">
            <w:pPr>
              <w:spacing w:before="60"/>
              <w:rPr>
                <w:i/>
                <w:sz w:val="18"/>
                <w:szCs w:val="18"/>
              </w:rPr>
            </w:pPr>
            <w:r w:rsidRPr="00F552F0">
              <w:rPr>
                <w:i/>
                <w:sz w:val="18"/>
                <w:szCs w:val="18"/>
              </w:rPr>
              <w:t>Human capital</w:t>
            </w:r>
          </w:p>
        </w:tc>
        <w:tc>
          <w:tcPr>
            <w:tcW w:w="1173" w:type="dxa"/>
            <w:gridSpan w:val="2"/>
            <w:tcBorders>
              <w:bottom w:val="single" w:sz="4" w:space="0" w:color="auto"/>
            </w:tcBorders>
            <w:vAlign w:val="bottom"/>
          </w:tcPr>
          <w:p w:rsidR="004C3644" w:rsidRPr="00F552F0" w:rsidRDefault="004C3644">
            <w:pPr>
              <w:jc w:val="right"/>
              <w:rPr>
                <w:sz w:val="18"/>
                <w:szCs w:val="18"/>
              </w:rPr>
            </w:pPr>
            <w:r w:rsidRPr="00F552F0">
              <w:rPr>
                <w:sz w:val="18"/>
                <w:szCs w:val="18"/>
              </w:rPr>
              <w:t>2.05</w:t>
            </w:r>
          </w:p>
        </w:tc>
        <w:tc>
          <w:tcPr>
            <w:tcW w:w="994" w:type="dxa"/>
            <w:gridSpan w:val="3"/>
            <w:tcBorders>
              <w:bottom w:val="single" w:sz="4" w:space="0" w:color="auto"/>
            </w:tcBorders>
            <w:vAlign w:val="bottom"/>
          </w:tcPr>
          <w:p w:rsidR="004C3644" w:rsidRPr="00F552F0" w:rsidRDefault="004C3644">
            <w:pPr>
              <w:jc w:val="right"/>
              <w:rPr>
                <w:sz w:val="18"/>
                <w:szCs w:val="18"/>
              </w:rPr>
            </w:pPr>
            <w:r w:rsidRPr="00F552F0">
              <w:rPr>
                <w:sz w:val="18"/>
                <w:szCs w:val="18"/>
              </w:rPr>
              <w:t>2.05</w:t>
            </w:r>
          </w:p>
        </w:tc>
        <w:tc>
          <w:tcPr>
            <w:tcW w:w="996" w:type="dxa"/>
            <w:tcBorders>
              <w:bottom w:val="single" w:sz="4" w:space="0" w:color="auto"/>
            </w:tcBorders>
            <w:vAlign w:val="bottom"/>
          </w:tcPr>
          <w:p w:rsidR="004C3644" w:rsidRPr="00F552F0" w:rsidRDefault="004C3644">
            <w:pPr>
              <w:jc w:val="right"/>
              <w:rPr>
                <w:sz w:val="18"/>
                <w:szCs w:val="18"/>
              </w:rPr>
            </w:pPr>
            <w:r w:rsidRPr="00F552F0">
              <w:rPr>
                <w:sz w:val="18"/>
                <w:szCs w:val="18"/>
              </w:rPr>
              <w:t>0.30</w:t>
            </w:r>
          </w:p>
        </w:tc>
        <w:tc>
          <w:tcPr>
            <w:tcW w:w="1200" w:type="dxa"/>
            <w:tcBorders>
              <w:bottom w:val="single" w:sz="4" w:space="0" w:color="auto"/>
            </w:tcBorders>
            <w:vAlign w:val="bottom"/>
          </w:tcPr>
          <w:p w:rsidR="004C3644" w:rsidRPr="00F552F0" w:rsidRDefault="004C3644">
            <w:pPr>
              <w:jc w:val="right"/>
              <w:rPr>
                <w:sz w:val="18"/>
                <w:szCs w:val="18"/>
              </w:rPr>
            </w:pPr>
            <w:r w:rsidRPr="00F552F0">
              <w:rPr>
                <w:sz w:val="18"/>
                <w:szCs w:val="18"/>
              </w:rPr>
              <w:t>2.54</w:t>
            </w:r>
          </w:p>
        </w:tc>
        <w:tc>
          <w:tcPr>
            <w:tcW w:w="1107" w:type="dxa"/>
            <w:tcBorders>
              <w:bottom w:val="single" w:sz="4" w:space="0" w:color="auto"/>
            </w:tcBorders>
            <w:vAlign w:val="bottom"/>
          </w:tcPr>
          <w:p w:rsidR="004C3644" w:rsidRPr="00F552F0" w:rsidRDefault="004C3644">
            <w:pPr>
              <w:jc w:val="right"/>
              <w:rPr>
                <w:sz w:val="18"/>
                <w:szCs w:val="18"/>
              </w:rPr>
            </w:pPr>
            <w:r w:rsidRPr="00F552F0">
              <w:rPr>
                <w:sz w:val="18"/>
                <w:szCs w:val="18"/>
              </w:rPr>
              <w:t>1.49</w:t>
            </w:r>
          </w:p>
        </w:tc>
      </w:tr>
    </w:tbl>
    <w:p w:rsidR="004C3644" w:rsidRPr="00F552F0" w:rsidRDefault="004C3644"/>
    <w:p w:rsidR="004C3644" w:rsidRPr="00F552F0" w:rsidRDefault="004C3644"/>
    <w:p w:rsidR="004C3644" w:rsidRPr="00F552F0" w:rsidRDefault="004C3644">
      <w:pPr>
        <w:rPr>
          <w:rFonts w:ascii="Arial" w:hAnsi="Arial" w:cs="Arial"/>
          <w:b/>
        </w:rPr>
      </w:pPr>
      <w:r w:rsidRPr="00F552F0">
        <w:br w:type="page"/>
      </w:r>
    </w:p>
    <w:tbl>
      <w:tblPr>
        <w:tblW w:w="9648" w:type="dxa"/>
        <w:tblLook w:val="01E0" w:firstRow="1" w:lastRow="1" w:firstColumn="1" w:lastColumn="1" w:noHBand="0" w:noVBand="0"/>
      </w:tblPr>
      <w:tblGrid>
        <w:gridCol w:w="1450"/>
        <w:gridCol w:w="8198"/>
      </w:tblGrid>
      <w:tr w:rsidR="004C3644" w:rsidRPr="00F552F0" w:rsidTr="00C616BD">
        <w:tc>
          <w:tcPr>
            <w:tcW w:w="9648" w:type="dxa"/>
            <w:gridSpan w:val="2"/>
          </w:tcPr>
          <w:p w:rsidR="00E21501" w:rsidRPr="00F552F0" w:rsidRDefault="004C3644">
            <w:pPr>
              <w:autoSpaceDE w:val="0"/>
              <w:autoSpaceDN w:val="0"/>
              <w:adjustRightInd w:val="0"/>
              <w:rPr>
                <w:b/>
                <w:sz w:val="22"/>
                <w:szCs w:val="22"/>
              </w:rPr>
            </w:pPr>
            <w:r w:rsidRPr="00F552F0">
              <w:rPr>
                <w:b/>
                <w:sz w:val="22"/>
                <w:szCs w:val="22"/>
              </w:rPr>
              <w:lastRenderedPageBreak/>
              <w:t>Table 3</w:t>
            </w:r>
          </w:p>
          <w:p w:rsidR="00E21501" w:rsidRPr="00F552F0" w:rsidRDefault="003D5871">
            <w:pPr>
              <w:autoSpaceDE w:val="0"/>
              <w:autoSpaceDN w:val="0"/>
              <w:adjustRightInd w:val="0"/>
              <w:rPr>
                <w:szCs w:val="22"/>
              </w:rPr>
            </w:pPr>
            <w:r w:rsidRPr="00F552F0">
              <w:rPr>
                <w:sz w:val="22"/>
                <w:szCs w:val="22"/>
              </w:rPr>
              <w:t xml:space="preserve">Variable </w:t>
            </w:r>
            <w:r w:rsidR="004C066F" w:rsidRPr="00F552F0">
              <w:rPr>
                <w:sz w:val="22"/>
                <w:szCs w:val="22"/>
              </w:rPr>
              <w:t>d</w:t>
            </w:r>
            <w:r w:rsidRPr="00F552F0">
              <w:rPr>
                <w:sz w:val="22"/>
                <w:szCs w:val="22"/>
              </w:rPr>
              <w:t xml:space="preserve">efinitions and </w:t>
            </w:r>
            <w:r w:rsidR="004C066F" w:rsidRPr="00F552F0">
              <w:rPr>
                <w:sz w:val="22"/>
                <w:szCs w:val="22"/>
              </w:rPr>
              <w:t>s</w:t>
            </w:r>
            <w:r w:rsidRPr="00F552F0">
              <w:rPr>
                <w:sz w:val="22"/>
                <w:szCs w:val="22"/>
              </w:rPr>
              <w:t>ources</w:t>
            </w:r>
          </w:p>
        </w:tc>
      </w:tr>
      <w:tr w:rsidR="004C3644" w:rsidRPr="00F552F0" w:rsidTr="00C616BD">
        <w:tc>
          <w:tcPr>
            <w:tcW w:w="9648" w:type="dxa"/>
            <w:gridSpan w:val="2"/>
          </w:tcPr>
          <w:p w:rsidR="004C3644" w:rsidRPr="00F552F0" w:rsidRDefault="003D5871">
            <w:pPr>
              <w:autoSpaceDE w:val="0"/>
              <w:autoSpaceDN w:val="0"/>
              <w:adjustRightInd w:val="0"/>
              <w:spacing w:before="120"/>
              <w:rPr>
                <w:i/>
                <w:sz w:val="20"/>
                <w:szCs w:val="20"/>
              </w:rPr>
            </w:pPr>
            <w:r w:rsidRPr="00F552F0">
              <w:rPr>
                <w:i/>
                <w:sz w:val="20"/>
                <w:szCs w:val="20"/>
              </w:rPr>
              <w:t>Panel A</w:t>
            </w:r>
            <w:r w:rsidR="00BF6193" w:rsidRPr="00F552F0">
              <w:rPr>
                <w:i/>
                <w:sz w:val="20"/>
                <w:szCs w:val="20"/>
              </w:rPr>
              <w:t>:</w:t>
            </w:r>
            <w:r w:rsidRPr="00F552F0">
              <w:rPr>
                <w:i/>
                <w:sz w:val="20"/>
                <w:szCs w:val="20"/>
              </w:rPr>
              <w:t xml:space="preserve"> Bank control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Family</w:t>
            </w:r>
          </w:p>
        </w:tc>
        <w:tc>
          <w:tcPr>
            <w:tcW w:w="8231" w:type="dxa"/>
          </w:tcPr>
          <w:p w:rsidR="00E21501" w:rsidRPr="00F552F0" w:rsidRDefault="005C7424">
            <w:pPr>
              <w:autoSpaceDE w:val="0"/>
              <w:autoSpaceDN w:val="0"/>
              <w:adjustRightInd w:val="0"/>
              <w:spacing w:after="120"/>
              <w:jc w:val="both"/>
              <w:rPr>
                <w:sz w:val="20"/>
                <w:szCs w:val="20"/>
              </w:rPr>
            </w:pPr>
            <w:r w:rsidRPr="00F552F0">
              <w:rPr>
                <w:sz w:val="20"/>
                <w:szCs w:val="20"/>
              </w:rPr>
              <w:t>Total 2001 credit-weighted fraction of listed and unlisted banks controlled by an individual or family. Control is imputed to the largest blockholder whose voting control, direct and indirect, sums to at least 10% for 2001 or the nearest year with data. Indirect control is inferred using the “weakest link” method,</w:t>
            </w:r>
            <w:r w:rsidR="00B31298" w:rsidRPr="00F552F0">
              <w:rPr>
                <w:sz w:val="20"/>
                <w:szCs w:val="20"/>
              </w:rPr>
              <w:t xml:space="preserve"> as in La </w:t>
            </w:r>
            <w:proofErr w:type="spellStart"/>
            <w:r w:rsidR="00B31298" w:rsidRPr="00F552F0">
              <w:rPr>
                <w:sz w:val="20"/>
                <w:szCs w:val="20"/>
              </w:rPr>
              <w:t>Porta</w:t>
            </w:r>
            <w:proofErr w:type="spellEnd"/>
            <w:r w:rsidR="00B31298" w:rsidRPr="00F552F0">
              <w:rPr>
                <w:sz w:val="20"/>
                <w:szCs w:val="20"/>
              </w:rPr>
              <w:t xml:space="preserve"> </w:t>
            </w:r>
            <w:r w:rsidR="003D5871" w:rsidRPr="00F552F0">
              <w:rPr>
                <w:sz w:val="20"/>
                <w:szCs w:val="20"/>
              </w:rPr>
              <w:t>et al.</w:t>
            </w:r>
            <w:r w:rsidR="00B31298" w:rsidRPr="00F552F0">
              <w:rPr>
                <w:sz w:val="20"/>
                <w:szCs w:val="20"/>
              </w:rPr>
              <w:t xml:space="preserve"> (1999). </w:t>
            </w:r>
            <w:r w:rsidRPr="00F552F0">
              <w:rPr>
                <w:sz w:val="20"/>
                <w:szCs w:val="20"/>
              </w:rPr>
              <w:t xml:space="preserve">Sources: </w:t>
            </w:r>
            <w:proofErr w:type="spellStart"/>
            <w:r w:rsidRPr="00F552F0">
              <w:rPr>
                <w:sz w:val="20"/>
                <w:szCs w:val="20"/>
              </w:rPr>
              <w:t>Caprio</w:t>
            </w:r>
            <w:proofErr w:type="spellEnd"/>
            <w:r w:rsidRPr="00F552F0">
              <w:rPr>
                <w:sz w:val="20"/>
                <w:szCs w:val="20"/>
              </w:rPr>
              <w:t xml:space="preserve"> </w:t>
            </w:r>
            <w:r w:rsidR="003D5871" w:rsidRPr="00F552F0">
              <w:rPr>
                <w:sz w:val="20"/>
                <w:szCs w:val="20"/>
              </w:rPr>
              <w:t>et al.</w:t>
            </w:r>
            <w:r w:rsidRPr="00F552F0">
              <w:rPr>
                <w:sz w:val="20"/>
                <w:szCs w:val="20"/>
              </w:rPr>
              <w:t xml:space="preserve"> (2007)</w:t>
            </w:r>
            <w:r w:rsidR="0008282E" w:rsidRPr="00F552F0">
              <w:rPr>
                <w:sz w:val="20"/>
                <w:szCs w:val="20"/>
              </w:rPr>
              <w:t>;</w:t>
            </w:r>
            <w:r w:rsidRPr="00F552F0">
              <w:rPr>
                <w:sz w:val="20"/>
                <w:szCs w:val="20"/>
              </w:rPr>
              <w:t xml:space="preserve"> </w:t>
            </w:r>
            <w:proofErr w:type="spellStart"/>
            <w:r w:rsidRPr="00F552F0">
              <w:rPr>
                <w:sz w:val="20"/>
                <w:szCs w:val="20"/>
              </w:rPr>
              <w:t>Bank</w:t>
            </w:r>
            <w:r w:rsidR="004C066F" w:rsidRPr="00F552F0">
              <w:rPr>
                <w:sz w:val="20"/>
                <w:szCs w:val="20"/>
              </w:rPr>
              <w:t>s</w:t>
            </w:r>
            <w:r w:rsidRPr="00F552F0">
              <w:rPr>
                <w:sz w:val="20"/>
                <w:szCs w:val="20"/>
              </w:rPr>
              <w:t>cope</w:t>
            </w:r>
            <w:proofErr w:type="spellEnd"/>
            <w:r w:rsidRPr="00F552F0">
              <w:rPr>
                <w:sz w:val="20"/>
                <w:szCs w:val="20"/>
              </w:rPr>
              <w:t>.</w:t>
            </w:r>
            <w:r w:rsidR="00B31298" w:rsidRPr="00F552F0">
              <w:rPr>
                <w:sz w:val="20"/>
                <w:szCs w:val="20"/>
              </w:rPr>
              <w:t xml:space="preserve">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State</w:t>
            </w:r>
          </w:p>
        </w:tc>
        <w:tc>
          <w:tcPr>
            <w:tcW w:w="8231" w:type="dxa"/>
          </w:tcPr>
          <w:p w:rsidR="00E21501" w:rsidRPr="00F552F0" w:rsidRDefault="004C3644">
            <w:pPr>
              <w:autoSpaceDE w:val="0"/>
              <w:autoSpaceDN w:val="0"/>
              <w:adjustRightInd w:val="0"/>
              <w:spacing w:after="120"/>
              <w:jc w:val="both"/>
              <w:rPr>
                <w:sz w:val="20"/>
                <w:szCs w:val="20"/>
              </w:rPr>
            </w:pPr>
            <w:r w:rsidRPr="00F552F0">
              <w:rPr>
                <w:sz w:val="20"/>
                <w:szCs w:val="20"/>
              </w:rPr>
              <w:t xml:space="preserve">Total credit-weighted fraction of banks controlled by state organs. Constructed analogously to </w:t>
            </w:r>
            <w:r w:rsidRPr="00F552F0">
              <w:rPr>
                <w:i/>
                <w:sz w:val="20"/>
                <w:szCs w:val="20"/>
              </w:rPr>
              <w:t>Family</w:t>
            </w:r>
            <w:r w:rsidRPr="00F552F0">
              <w:rPr>
                <w:sz w:val="20"/>
                <w:szCs w:val="20"/>
              </w:rPr>
              <w:t>.</w:t>
            </w:r>
          </w:p>
        </w:tc>
      </w:tr>
      <w:tr w:rsidR="004C3644" w:rsidRPr="00F552F0" w:rsidTr="00C616BD">
        <w:tc>
          <w:tcPr>
            <w:tcW w:w="1417" w:type="dxa"/>
          </w:tcPr>
          <w:p w:rsidR="004C3644" w:rsidRPr="00F552F0" w:rsidRDefault="00392DB6">
            <w:pPr>
              <w:autoSpaceDE w:val="0"/>
              <w:autoSpaceDN w:val="0"/>
              <w:adjustRightInd w:val="0"/>
              <w:spacing w:after="120"/>
              <w:rPr>
                <w:i/>
                <w:sz w:val="20"/>
                <w:szCs w:val="20"/>
              </w:rPr>
            </w:pPr>
            <w:r w:rsidRPr="00F552F0">
              <w:rPr>
                <w:i/>
                <w:sz w:val="20"/>
                <w:szCs w:val="20"/>
              </w:rPr>
              <w:t>Widely held</w:t>
            </w:r>
            <w:r w:rsidR="004C3644" w:rsidRPr="00F552F0">
              <w:rPr>
                <w:i/>
                <w:sz w:val="20"/>
                <w:szCs w:val="20"/>
              </w:rPr>
              <w:t xml:space="preserve"> </w:t>
            </w:r>
          </w:p>
        </w:tc>
        <w:tc>
          <w:tcPr>
            <w:tcW w:w="8231" w:type="dxa"/>
          </w:tcPr>
          <w:p w:rsidR="00E21501" w:rsidRPr="00F552F0" w:rsidRDefault="004C3644">
            <w:pPr>
              <w:spacing w:after="120"/>
              <w:jc w:val="both"/>
              <w:rPr>
                <w:sz w:val="20"/>
                <w:szCs w:val="20"/>
              </w:rPr>
            </w:pPr>
            <w:r w:rsidRPr="00F552F0">
              <w:rPr>
                <w:sz w:val="20"/>
                <w:szCs w:val="20"/>
              </w:rPr>
              <w:t xml:space="preserve">Total credit-weighted fraction of banks with no controlling shareholder. Constructed analogously to </w:t>
            </w:r>
            <w:r w:rsidRPr="00F552F0">
              <w:rPr>
                <w:i/>
                <w:sz w:val="20"/>
                <w:szCs w:val="20"/>
              </w:rPr>
              <w:t>Family</w:t>
            </w:r>
            <w:r w:rsidRPr="00F552F0">
              <w:rPr>
                <w:sz w:val="20"/>
                <w:szCs w:val="20"/>
              </w:rPr>
              <w:t>.</w:t>
            </w:r>
          </w:p>
        </w:tc>
      </w:tr>
      <w:tr w:rsidR="004C3644" w:rsidRPr="00F552F0" w:rsidTr="00C616BD">
        <w:tc>
          <w:tcPr>
            <w:tcW w:w="9648" w:type="dxa"/>
            <w:gridSpan w:val="2"/>
          </w:tcPr>
          <w:p w:rsidR="004C3644" w:rsidRPr="00F552F0" w:rsidRDefault="003D5871">
            <w:pPr>
              <w:spacing w:before="120"/>
              <w:rPr>
                <w:i/>
                <w:sz w:val="20"/>
                <w:szCs w:val="20"/>
              </w:rPr>
            </w:pPr>
            <w:r w:rsidRPr="00F552F0">
              <w:rPr>
                <w:i/>
                <w:sz w:val="20"/>
                <w:szCs w:val="20"/>
              </w:rPr>
              <w:t>Panel B</w:t>
            </w:r>
            <w:r w:rsidR="00BF6193" w:rsidRPr="00F552F0">
              <w:rPr>
                <w:i/>
                <w:sz w:val="20"/>
                <w:szCs w:val="20"/>
              </w:rPr>
              <w:t>:</w:t>
            </w:r>
            <w:r w:rsidRPr="00F552F0">
              <w:rPr>
                <w:i/>
                <w:sz w:val="20"/>
                <w:szCs w:val="20"/>
              </w:rPr>
              <w:t xml:space="preserve"> Financial system efficiency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Capital allocation efficiency</w:t>
            </w:r>
          </w:p>
        </w:tc>
        <w:tc>
          <w:tcPr>
            <w:tcW w:w="8231" w:type="dxa"/>
          </w:tcPr>
          <w:p w:rsidR="00E21501" w:rsidRPr="00F552F0" w:rsidRDefault="004C3644">
            <w:pPr>
              <w:spacing w:after="120"/>
              <w:jc w:val="both"/>
              <w:rPr>
                <w:sz w:val="20"/>
                <w:szCs w:val="20"/>
              </w:rPr>
            </w:pPr>
            <w:r w:rsidRPr="00F552F0">
              <w:rPr>
                <w:sz w:val="20"/>
                <w:szCs w:val="20"/>
              </w:rPr>
              <w:t>The efficiency of capital allocation is the estimated elasticity of manufacturing investment to value</w:t>
            </w:r>
            <w:r w:rsidR="0008282E" w:rsidRPr="00F552F0">
              <w:rPr>
                <w:sz w:val="20"/>
                <w:szCs w:val="20"/>
              </w:rPr>
              <w:t>-</w:t>
            </w:r>
            <w:r w:rsidRPr="00F552F0">
              <w:rPr>
                <w:sz w:val="20"/>
                <w:szCs w:val="20"/>
              </w:rPr>
              <w:t>added, estimated</w:t>
            </w:r>
            <w:r w:rsidR="005C7424" w:rsidRPr="00F552F0">
              <w:rPr>
                <w:sz w:val="20"/>
                <w:szCs w:val="20"/>
              </w:rPr>
              <w:t xml:space="preserve"> as in </w:t>
            </w:r>
            <w:proofErr w:type="spellStart"/>
            <w:r w:rsidR="005C7424" w:rsidRPr="00F552F0">
              <w:rPr>
                <w:sz w:val="20"/>
                <w:szCs w:val="20"/>
              </w:rPr>
              <w:t>Wurgler</w:t>
            </w:r>
            <w:proofErr w:type="spellEnd"/>
            <w:r w:rsidR="005C7424" w:rsidRPr="00F552F0">
              <w:rPr>
                <w:sz w:val="20"/>
                <w:szCs w:val="20"/>
              </w:rPr>
              <w:t xml:space="preserve"> (2000).</w:t>
            </w:r>
            <w:r w:rsidR="001F449F" w:rsidRPr="00F552F0">
              <w:rPr>
                <w:sz w:val="20"/>
                <w:szCs w:val="20"/>
              </w:rPr>
              <w:t xml:space="preserve"> </w:t>
            </w:r>
            <w:r w:rsidR="00B31298" w:rsidRPr="00F552F0">
              <w:rPr>
                <w:sz w:val="20"/>
                <w:szCs w:val="20"/>
              </w:rPr>
              <w:t xml:space="preserve">Note: </w:t>
            </w:r>
            <w:r w:rsidRPr="00F552F0">
              <w:rPr>
                <w:sz w:val="20"/>
                <w:szCs w:val="20"/>
              </w:rPr>
              <w:t>Two versions of this variable are used, one using all available data and the other using d</w:t>
            </w:r>
            <w:r w:rsidR="00B31298" w:rsidRPr="00F552F0">
              <w:rPr>
                <w:sz w:val="20"/>
                <w:szCs w:val="20"/>
              </w:rPr>
              <w:t>ata for 1993 through 2003 only.</w:t>
            </w:r>
            <w:r w:rsidRPr="00F552F0">
              <w:rPr>
                <w:sz w:val="20"/>
                <w:szCs w:val="20"/>
              </w:rPr>
              <w:t xml:space="preserve"> </w:t>
            </w:r>
          </w:p>
        </w:tc>
      </w:tr>
      <w:tr w:rsidR="00717D54" w:rsidRPr="00F552F0" w:rsidTr="00D47B74">
        <w:trPr>
          <w:trHeight w:val="1008"/>
        </w:trPr>
        <w:tc>
          <w:tcPr>
            <w:tcW w:w="1417" w:type="dxa"/>
          </w:tcPr>
          <w:p w:rsidR="00717D54" w:rsidRPr="00F552F0" w:rsidRDefault="00717D54">
            <w:pPr>
              <w:autoSpaceDE w:val="0"/>
              <w:autoSpaceDN w:val="0"/>
              <w:adjustRightInd w:val="0"/>
              <w:spacing w:after="120"/>
              <w:rPr>
                <w:i/>
                <w:sz w:val="20"/>
                <w:szCs w:val="20"/>
              </w:rPr>
            </w:pPr>
            <w:r w:rsidRPr="00F552F0">
              <w:rPr>
                <w:i/>
                <w:sz w:val="20"/>
                <w:szCs w:val="20"/>
              </w:rPr>
              <w:t xml:space="preserve">External </w:t>
            </w:r>
            <w:r w:rsidR="0008282E" w:rsidRPr="00F552F0">
              <w:rPr>
                <w:i/>
                <w:sz w:val="20"/>
                <w:szCs w:val="20"/>
              </w:rPr>
              <w:t>d</w:t>
            </w:r>
            <w:r w:rsidR="00663428" w:rsidRPr="00F552F0">
              <w:rPr>
                <w:i/>
                <w:sz w:val="20"/>
                <w:szCs w:val="20"/>
              </w:rPr>
              <w:t>ependence</w:t>
            </w:r>
          </w:p>
        </w:tc>
        <w:tc>
          <w:tcPr>
            <w:tcW w:w="8231" w:type="dxa"/>
          </w:tcPr>
          <w:p w:rsidR="00717D54" w:rsidRPr="00F552F0" w:rsidRDefault="00E269EA" w:rsidP="0008282E">
            <w:pPr>
              <w:autoSpaceDE w:val="0"/>
              <w:autoSpaceDN w:val="0"/>
              <w:adjustRightInd w:val="0"/>
              <w:jc w:val="both"/>
              <w:rPr>
                <w:sz w:val="20"/>
                <w:szCs w:val="20"/>
              </w:rPr>
            </w:pPr>
            <w:r w:rsidRPr="00F552F0">
              <w:rPr>
                <w:sz w:val="20"/>
                <w:szCs w:val="20"/>
              </w:rPr>
              <w:t xml:space="preserve">This is a dummy variable that is equal to one if the industry is externally dependent relative to the median industry. External </w:t>
            </w:r>
            <w:r w:rsidR="00663428" w:rsidRPr="00F552F0">
              <w:rPr>
                <w:sz w:val="20"/>
                <w:szCs w:val="20"/>
              </w:rPr>
              <w:t>dependence</w:t>
            </w:r>
            <w:r w:rsidRPr="00F552F0">
              <w:rPr>
                <w:sz w:val="20"/>
                <w:szCs w:val="20"/>
              </w:rPr>
              <w:t xml:space="preserve"> measure is from </w:t>
            </w:r>
            <w:proofErr w:type="spellStart"/>
            <w:r w:rsidRPr="00F552F0">
              <w:rPr>
                <w:sz w:val="20"/>
                <w:szCs w:val="20"/>
              </w:rPr>
              <w:t>Rajan</w:t>
            </w:r>
            <w:proofErr w:type="spellEnd"/>
            <w:r w:rsidRPr="00F552F0">
              <w:rPr>
                <w:sz w:val="20"/>
                <w:szCs w:val="20"/>
              </w:rPr>
              <w:t xml:space="preserve"> and </w:t>
            </w:r>
            <w:proofErr w:type="spellStart"/>
            <w:r w:rsidRPr="00F552F0">
              <w:rPr>
                <w:sz w:val="20"/>
                <w:szCs w:val="20"/>
              </w:rPr>
              <w:t>Zingales</w:t>
            </w:r>
            <w:proofErr w:type="spellEnd"/>
            <w:r w:rsidR="0008282E" w:rsidRPr="00F552F0">
              <w:rPr>
                <w:sz w:val="20"/>
                <w:szCs w:val="20"/>
              </w:rPr>
              <w:t xml:space="preserve"> </w:t>
            </w:r>
            <w:r w:rsidRPr="00F552F0">
              <w:rPr>
                <w:sz w:val="20"/>
                <w:szCs w:val="20"/>
              </w:rPr>
              <w:t xml:space="preserve">(1998), who define external </w:t>
            </w:r>
            <w:r w:rsidR="00663428" w:rsidRPr="00F552F0">
              <w:rPr>
                <w:sz w:val="20"/>
                <w:szCs w:val="20"/>
              </w:rPr>
              <w:t>dependence</w:t>
            </w:r>
            <w:r w:rsidRPr="00F552F0">
              <w:rPr>
                <w:sz w:val="20"/>
                <w:szCs w:val="20"/>
              </w:rPr>
              <w:t xml:space="preserve"> as c</w:t>
            </w:r>
            <w:r w:rsidR="00717D54" w:rsidRPr="00F552F0">
              <w:rPr>
                <w:sz w:val="20"/>
                <w:szCs w:val="20"/>
              </w:rPr>
              <w:t>apital expenditures minus cash flow from operations divided by capital expenditures for U</w:t>
            </w:r>
            <w:r w:rsidR="00FA3474" w:rsidRPr="00F552F0">
              <w:rPr>
                <w:sz w:val="20"/>
                <w:szCs w:val="20"/>
              </w:rPr>
              <w:t>S industries between</w:t>
            </w:r>
            <w:r w:rsidR="00F24057" w:rsidRPr="00F552F0">
              <w:rPr>
                <w:sz w:val="20"/>
                <w:szCs w:val="20"/>
              </w:rPr>
              <w:t xml:space="preserve"> 1980</w:t>
            </w:r>
            <w:r w:rsidR="00FA3474" w:rsidRPr="00F552F0">
              <w:rPr>
                <w:sz w:val="20"/>
                <w:szCs w:val="20"/>
              </w:rPr>
              <w:t xml:space="preserve"> </w:t>
            </w:r>
            <w:proofErr w:type="gramStart"/>
            <w:r w:rsidR="00FA3474" w:rsidRPr="00F552F0">
              <w:rPr>
                <w:sz w:val="20"/>
                <w:szCs w:val="20"/>
              </w:rPr>
              <w:t xml:space="preserve">and  </w:t>
            </w:r>
            <w:r w:rsidR="00F24057" w:rsidRPr="00F552F0">
              <w:rPr>
                <w:sz w:val="20"/>
                <w:szCs w:val="20"/>
              </w:rPr>
              <w:t>1990</w:t>
            </w:r>
            <w:proofErr w:type="gramEnd"/>
            <w:r w:rsidRPr="00F552F0">
              <w:rPr>
                <w:sz w:val="20"/>
                <w:szCs w:val="20"/>
              </w:rPr>
              <w:t>.</w:t>
            </w:r>
            <w:r w:rsidR="00013FEB" w:rsidRPr="00F552F0">
              <w:rPr>
                <w:sz w:val="20"/>
                <w:szCs w:val="20"/>
              </w:rPr>
              <w:t xml:space="preserve"> </w:t>
            </w:r>
          </w:p>
        </w:tc>
      </w:tr>
      <w:tr w:rsidR="004C3644" w:rsidRPr="00F552F0" w:rsidTr="00C616BD">
        <w:tc>
          <w:tcPr>
            <w:tcW w:w="1417" w:type="dxa"/>
          </w:tcPr>
          <w:p w:rsidR="004C3644" w:rsidRPr="00F552F0" w:rsidRDefault="001578B3">
            <w:pPr>
              <w:autoSpaceDE w:val="0"/>
              <w:autoSpaceDN w:val="0"/>
              <w:adjustRightInd w:val="0"/>
              <w:spacing w:after="120"/>
              <w:rPr>
                <w:i/>
                <w:sz w:val="20"/>
                <w:szCs w:val="20"/>
              </w:rPr>
            </w:pPr>
            <w:r w:rsidRPr="00F552F0">
              <w:rPr>
                <w:i/>
                <w:sz w:val="20"/>
                <w:szCs w:val="20"/>
              </w:rPr>
              <w:t>Nonperforming</w:t>
            </w:r>
            <w:r w:rsidR="004C3644" w:rsidRPr="00F552F0">
              <w:rPr>
                <w:i/>
                <w:sz w:val="20"/>
                <w:szCs w:val="20"/>
              </w:rPr>
              <w:t xml:space="preserve"> loans</w:t>
            </w:r>
          </w:p>
        </w:tc>
        <w:tc>
          <w:tcPr>
            <w:tcW w:w="8231" w:type="dxa"/>
          </w:tcPr>
          <w:p w:rsidR="00E21501" w:rsidRPr="00F552F0" w:rsidRDefault="0052279E">
            <w:pPr>
              <w:spacing w:after="120"/>
              <w:jc w:val="both"/>
              <w:rPr>
                <w:sz w:val="20"/>
                <w:szCs w:val="20"/>
              </w:rPr>
            </w:pPr>
            <w:r w:rsidRPr="00F552F0">
              <w:rPr>
                <w:sz w:val="20"/>
                <w:szCs w:val="20"/>
              </w:rPr>
              <w:t>Ratio of non</w:t>
            </w:r>
            <w:r w:rsidR="004C3644" w:rsidRPr="00F552F0">
              <w:rPr>
                <w:sz w:val="20"/>
                <w:szCs w:val="20"/>
              </w:rPr>
              <w:t xml:space="preserve">performing loans as a fraction of total gross loans, averaged over 1993 through 2003. In regressions and correlations, this variable is log normalized by the formula: </w:t>
            </w:r>
            <w:r w:rsidRPr="00F552F0">
              <w:rPr>
                <w:i/>
                <w:sz w:val="20"/>
                <w:szCs w:val="20"/>
              </w:rPr>
              <w:t>normalized</w:t>
            </w:r>
            <w:r w:rsidRPr="00F552F0">
              <w:rPr>
                <w:sz w:val="20"/>
                <w:szCs w:val="20"/>
              </w:rPr>
              <w:t xml:space="preserve"> [</w:t>
            </w:r>
            <w:r w:rsidRPr="00F552F0">
              <w:rPr>
                <w:i/>
                <w:sz w:val="20"/>
                <w:szCs w:val="20"/>
              </w:rPr>
              <w:t>x</w:t>
            </w:r>
            <w:r w:rsidRPr="00F552F0">
              <w:rPr>
                <w:sz w:val="20"/>
                <w:szCs w:val="20"/>
              </w:rPr>
              <w:t xml:space="preserve">] = </w:t>
            </w:r>
            <w:proofErr w:type="spellStart"/>
            <w:r w:rsidRPr="00F552F0">
              <w:rPr>
                <w:sz w:val="20"/>
                <w:szCs w:val="20"/>
              </w:rPr>
              <w:t>ln</w:t>
            </w:r>
            <w:proofErr w:type="spellEnd"/>
            <w:r w:rsidRPr="00F552F0">
              <w:rPr>
                <w:sz w:val="20"/>
                <w:szCs w:val="20"/>
              </w:rPr>
              <w:t xml:space="preserve"> [</w:t>
            </w:r>
            <w:r w:rsidRPr="00F552F0">
              <w:rPr>
                <w:i/>
                <w:sz w:val="20"/>
                <w:szCs w:val="20"/>
              </w:rPr>
              <w:t>x</w:t>
            </w:r>
            <w:proofErr w:type="gramStart"/>
            <w:r w:rsidRPr="00F552F0">
              <w:rPr>
                <w:b/>
                <w:sz w:val="20"/>
                <w:szCs w:val="20"/>
              </w:rPr>
              <w:t>/</w:t>
            </w:r>
            <w:r w:rsidRPr="00F552F0">
              <w:rPr>
                <w:sz w:val="20"/>
                <w:szCs w:val="20"/>
              </w:rPr>
              <w:t>(</w:t>
            </w:r>
            <w:proofErr w:type="gramEnd"/>
            <w:r w:rsidRPr="00F552F0">
              <w:rPr>
                <w:sz w:val="20"/>
                <w:szCs w:val="20"/>
              </w:rPr>
              <w:t>1-</w:t>
            </w:r>
            <w:r w:rsidRPr="00F552F0">
              <w:rPr>
                <w:i/>
                <w:sz w:val="20"/>
                <w:szCs w:val="20"/>
              </w:rPr>
              <w:t>x</w:t>
            </w:r>
            <w:r w:rsidRPr="00F552F0">
              <w:rPr>
                <w:sz w:val="20"/>
                <w:szCs w:val="20"/>
              </w:rPr>
              <w:t xml:space="preserve">)]. </w:t>
            </w:r>
            <w:r w:rsidR="004C3644" w:rsidRPr="00F552F0">
              <w:rPr>
                <w:sz w:val="20"/>
                <w:szCs w:val="20"/>
              </w:rPr>
              <w:t>Source</w:t>
            </w:r>
            <w:r w:rsidR="0008282E" w:rsidRPr="00F552F0">
              <w:rPr>
                <w:sz w:val="20"/>
                <w:szCs w:val="20"/>
              </w:rPr>
              <w:t>:</w:t>
            </w:r>
            <w:r w:rsidR="004C3644" w:rsidRPr="00F552F0">
              <w:rPr>
                <w:sz w:val="20"/>
                <w:szCs w:val="20"/>
              </w:rPr>
              <w:t xml:space="preserve"> World Development Indicators</w:t>
            </w:r>
            <w:r w:rsidR="009E6EF4" w:rsidRPr="00F552F0">
              <w:rPr>
                <w:sz w:val="20"/>
                <w:szCs w:val="20"/>
              </w:rPr>
              <w:t>, World Bank</w:t>
            </w:r>
            <w:r w:rsidR="004C3644" w:rsidRPr="00F552F0">
              <w:rPr>
                <w:sz w:val="20"/>
                <w:szCs w:val="20"/>
              </w:rPr>
              <w:t>.</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 xml:space="preserve">Banking crises </w:t>
            </w:r>
          </w:p>
        </w:tc>
        <w:tc>
          <w:tcPr>
            <w:tcW w:w="8231" w:type="dxa"/>
          </w:tcPr>
          <w:p w:rsidR="00E21501" w:rsidRPr="00F552F0" w:rsidRDefault="00A826AD">
            <w:pPr>
              <w:spacing w:after="120"/>
              <w:jc w:val="both"/>
              <w:rPr>
                <w:sz w:val="20"/>
                <w:szCs w:val="20"/>
              </w:rPr>
            </w:pPr>
            <w:r w:rsidRPr="00F552F0">
              <w:rPr>
                <w:sz w:val="20"/>
                <w:szCs w:val="20"/>
              </w:rPr>
              <w:t>The number of b</w:t>
            </w:r>
            <w:r w:rsidR="00D073CB" w:rsidRPr="00F552F0">
              <w:rPr>
                <w:sz w:val="20"/>
                <w:szCs w:val="20"/>
              </w:rPr>
              <w:t>anking crises in each</w:t>
            </w:r>
            <w:r w:rsidRPr="00F552F0">
              <w:rPr>
                <w:sz w:val="20"/>
                <w:szCs w:val="20"/>
              </w:rPr>
              <w:t xml:space="preserve"> country covered in </w:t>
            </w:r>
            <w:proofErr w:type="spellStart"/>
            <w:r w:rsidRPr="00F552F0">
              <w:rPr>
                <w:sz w:val="20"/>
                <w:szCs w:val="20"/>
              </w:rPr>
              <w:t>Demirguc-Kunt</w:t>
            </w:r>
            <w:proofErr w:type="spellEnd"/>
            <w:r w:rsidRPr="00F552F0">
              <w:rPr>
                <w:sz w:val="20"/>
                <w:szCs w:val="20"/>
              </w:rPr>
              <w:t xml:space="preserve"> </w:t>
            </w:r>
            <w:r w:rsidR="003D5871" w:rsidRPr="00F552F0">
              <w:rPr>
                <w:sz w:val="20"/>
                <w:szCs w:val="20"/>
              </w:rPr>
              <w:t>et al.</w:t>
            </w:r>
            <w:r w:rsidR="009118A3" w:rsidRPr="00F552F0">
              <w:rPr>
                <w:sz w:val="20"/>
                <w:szCs w:val="20"/>
              </w:rPr>
              <w:t xml:space="preserve"> </w:t>
            </w:r>
            <w:r w:rsidRPr="00F552F0">
              <w:rPr>
                <w:sz w:val="20"/>
                <w:szCs w:val="20"/>
              </w:rPr>
              <w:t xml:space="preserve">(2006) plus </w:t>
            </w:r>
            <w:proofErr w:type="spellStart"/>
            <w:r w:rsidRPr="00F552F0">
              <w:rPr>
                <w:sz w:val="20"/>
                <w:szCs w:val="20"/>
              </w:rPr>
              <w:t>Dell'Ariccia</w:t>
            </w:r>
            <w:proofErr w:type="spellEnd"/>
            <w:r w:rsidRPr="00F552F0">
              <w:rPr>
                <w:sz w:val="20"/>
                <w:szCs w:val="20"/>
              </w:rPr>
              <w:t xml:space="preserve"> </w:t>
            </w:r>
            <w:r w:rsidR="003D5871" w:rsidRPr="00F552F0">
              <w:rPr>
                <w:sz w:val="20"/>
                <w:szCs w:val="20"/>
              </w:rPr>
              <w:t>et al.</w:t>
            </w:r>
            <w:r w:rsidRPr="00F552F0">
              <w:rPr>
                <w:sz w:val="20"/>
                <w:szCs w:val="20"/>
              </w:rPr>
              <w:t xml:space="preserve"> (2008) after 1993. </w:t>
            </w:r>
          </w:p>
        </w:tc>
      </w:tr>
      <w:tr w:rsidR="00A826AD" w:rsidRPr="00F552F0" w:rsidTr="00C616BD">
        <w:tc>
          <w:tcPr>
            <w:tcW w:w="1417" w:type="dxa"/>
          </w:tcPr>
          <w:p w:rsidR="00A826AD" w:rsidRPr="00F552F0" w:rsidRDefault="00A826AD">
            <w:pPr>
              <w:autoSpaceDE w:val="0"/>
              <w:autoSpaceDN w:val="0"/>
              <w:adjustRightInd w:val="0"/>
              <w:spacing w:after="120"/>
              <w:rPr>
                <w:i/>
                <w:sz w:val="20"/>
                <w:szCs w:val="20"/>
              </w:rPr>
            </w:pPr>
            <w:r w:rsidRPr="00F552F0">
              <w:rPr>
                <w:i/>
                <w:sz w:val="20"/>
                <w:szCs w:val="20"/>
              </w:rPr>
              <w:t xml:space="preserve">Banking </w:t>
            </w:r>
            <w:r w:rsidR="00F03F2A" w:rsidRPr="00F552F0">
              <w:rPr>
                <w:i/>
                <w:sz w:val="20"/>
                <w:szCs w:val="20"/>
              </w:rPr>
              <w:t xml:space="preserve">crises </w:t>
            </w:r>
            <w:r w:rsidR="008A18B1" w:rsidRPr="00F552F0">
              <w:rPr>
                <w:i/>
                <w:sz w:val="20"/>
                <w:szCs w:val="20"/>
              </w:rPr>
              <w:t>+</w:t>
            </w:r>
            <w:r w:rsidR="00F03F2A" w:rsidRPr="00F552F0">
              <w:rPr>
                <w:i/>
                <w:sz w:val="20"/>
                <w:szCs w:val="20"/>
              </w:rPr>
              <w:t>2008</w:t>
            </w:r>
          </w:p>
        </w:tc>
        <w:tc>
          <w:tcPr>
            <w:tcW w:w="8231" w:type="dxa"/>
          </w:tcPr>
          <w:p w:rsidR="00E21501" w:rsidRPr="00F552F0" w:rsidRDefault="00F03F2A">
            <w:pPr>
              <w:spacing w:after="120"/>
              <w:jc w:val="both"/>
              <w:rPr>
                <w:sz w:val="20"/>
                <w:szCs w:val="20"/>
              </w:rPr>
            </w:pPr>
            <w:r w:rsidRPr="00F552F0">
              <w:rPr>
                <w:sz w:val="20"/>
                <w:szCs w:val="20"/>
              </w:rPr>
              <w:t xml:space="preserve">This variable adds </w:t>
            </w:r>
            <w:r w:rsidR="0008282E" w:rsidRPr="00F552F0">
              <w:rPr>
                <w:sz w:val="20"/>
                <w:szCs w:val="20"/>
              </w:rPr>
              <w:t>one</w:t>
            </w:r>
            <w:r w:rsidRPr="00F552F0">
              <w:rPr>
                <w:sz w:val="20"/>
                <w:szCs w:val="20"/>
              </w:rPr>
              <w:t xml:space="preserve"> to “</w:t>
            </w:r>
            <w:r w:rsidRPr="00F552F0">
              <w:rPr>
                <w:i/>
                <w:sz w:val="20"/>
                <w:szCs w:val="20"/>
              </w:rPr>
              <w:t>Banking crises</w:t>
            </w:r>
            <w:r w:rsidR="00D073CB" w:rsidRPr="00F552F0">
              <w:rPr>
                <w:sz w:val="20"/>
                <w:szCs w:val="20"/>
              </w:rPr>
              <w:t>”</w:t>
            </w:r>
            <w:r w:rsidRPr="00F552F0">
              <w:rPr>
                <w:sz w:val="20"/>
                <w:szCs w:val="20"/>
              </w:rPr>
              <w:t xml:space="preserve"> if governments directly intervened</w:t>
            </w:r>
            <w:r w:rsidR="0008282E" w:rsidRPr="00F552F0">
              <w:rPr>
                <w:sz w:val="20"/>
                <w:szCs w:val="20"/>
              </w:rPr>
              <w:t xml:space="preserve"> with</w:t>
            </w:r>
            <w:r w:rsidRPr="00F552F0">
              <w:rPr>
                <w:sz w:val="20"/>
                <w:szCs w:val="20"/>
              </w:rPr>
              <w:t xml:space="preserve"> large financial institutions in 2008 and 2009 according to the IMF Global Financial Stability Report (April 2009)</w:t>
            </w:r>
            <w:r w:rsidR="00B31298" w:rsidRPr="00F552F0">
              <w:rPr>
                <w:sz w:val="20"/>
                <w:szCs w:val="20"/>
              </w:rPr>
              <w:t>.</w:t>
            </w:r>
            <w:r w:rsidRPr="00F552F0">
              <w:rPr>
                <w:sz w:val="20"/>
                <w:szCs w:val="20"/>
              </w:rPr>
              <w:t xml:space="preserve"> </w:t>
            </w:r>
          </w:p>
        </w:tc>
      </w:tr>
      <w:tr w:rsidR="004C3644" w:rsidRPr="00F552F0" w:rsidTr="00C616BD">
        <w:tc>
          <w:tcPr>
            <w:tcW w:w="9648" w:type="dxa"/>
            <w:gridSpan w:val="2"/>
          </w:tcPr>
          <w:p w:rsidR="004C3644" w:rsidRPr="00F552F0" w:rsidRDefault="003D5871">
            <w:pPr>
              <w:spacing w:before="120"/>
              <w:rPr>
                <w:i/>
                <w:sz w:val="20"/>
                <w:szCs w:val="20"/>
              </w:rPr>
            </w:pPr>
            <w:r w:rsidRPr="00F552F0">
              <w:rPr>
                <w:i/>
                <w:sz w:val="20"/>
                <w:szCs w:val="20"/>
              </w:rPr>
              <w:t>Panel C</w:t>
            </w:r>
            <w:r w:rsidR="00BF6193" w:rsidRPr="00F552F0">
              <w:rPr>
                <w:i/>
                <w:sz w:val="20"/>
                <w:szCs w:val="20"/>
              </w:rPr>
              <w:t>:</w:t>
            </w:r>
            <w:r w:rsidRPr="00F552F0">
              <w:rPr>
                <w:i/>
                <w:sz w:val="20"/>
                <w:szCs w:val="20"/>
              </w:rPr>
              <w:t xml:space="preserve"> Economic </w:t>
            </w:r>
            <w:r w:rsidR="00BF6193" w:rsidRPr="00F552F0">
              <w:rPr>
                <w:i/>
                <w:sz w:val="20"/>
                <w:szCs w:val="20"/>
              </w:rPr>
              <w:t>g</w:t>
            </w:r>
            <w:r w:rsidRPr="00F552F0">
              <w:rPr>
                <w:i/>
                <w:sz w:val="20"/>
                <w:szCs w:val="20"/>
              </w:rPr>
              <w:t xml:space="preserve">rowth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Income growth</w:t>
            </w:r>
          </w:p>
        </w:tc>
        <w:tc>
          <w:tcPr>
            <w:tcW w:w="8231" w:type="dxa"/>
          </w:tcPr>
          <w:p w:rsidR="00E21501" w:rsidRPr="00F552F0" w:rsidRDefault="004C3644">
            <w:pPr>
              <w:spacing w:after="120"/>
              <w:jc w:val="both"/>
              <w:rPr>
                <w:sz w:val="20"/>
                <w:szCs w:val="20"/>
              </w:rPr>
            </w:pPr>
            <w:r w:rsidRPr="00F552F0">
              <w:rPr>
                <w:sz w:val="20"/>
                <w:szCs w:val="20"/>
              </w:rPr>
              <w:t>Real</w:t>
            </w:r>
            <w:r w:rsidRPr="00F552F0">
              <w:rPr>
                <w:i/>
                <w:sz w:val="20"/>
                <w:szCs w:val="20"/>
              </w:rPr>
              <w:t xml:space="preserve"> </w:t>
            </w:r>
            <w:r w:rsidR="003D5871" w:rsidRPr="00F552F0">
              <w:rPr>
                <w:sz w:val="20"/>
                <w:szCs w:val="20"/>
              </w:rPr>
              <w:t>per capita</w:t>
            </w:r>
            <w:r w:rsidRPr="00F552F0">
              <w:rPr>
                <w:i/>
                <w:sz w:val="20"/>
                <w:szCs w:val="20"/>
              </w:rPr>
              <w:t xml:space="preserve"> </w:t>
            </w:r>
            <w:r w:rsidRPr="00F552F0">
              <w:rPr>
                <w:sz w:val="20"/>
                <w:szCs w:val="20"/>
              </w:rPr>
              <w:t xml:space="preserve">GDP growth is the coefficient in an OLS regression of log real per capita GDP time trend and intercept </w:t>
            </w:r>
            <w:r w:rsidRPr="00F552F0">
              <w:rPr>
                <w:color w:val="000000"/>
                <w:sz w:val="20"/>
                <w:szCs w:val="20"/>
              </w:rPr>
              <w:t xml:space="preserve">as in Beck </w:t>
            </w:r>
            <w:r w:rsidR="003D5871" w:rsidRPr="00F552F0">
              <w:rPr>
                <w:color w:val="000000"/>
                <w:sz w:val="20"/>
                <w:szCs w:val="20"/>
              </w:rPr>
              <w:t>et al.</w:t>
            </w:r>
            <w:r w:rsidRPr="00F552F0">
              <w:rPr>
                <w:color w:val="000000"/>
                <w:sz w:val="20"/>
                <w:szCs w:val="20"/>
              </w:rPr>
              <w:t xml:space="preserve"> (2000)</w:t>
            </w:r>
            <w:r w:rsidR="004B57AE" w:rsidRPr="00F552F0">
              <w:rPr>
                <w:sz w:val="20"/>
                <w:szCs w:val="20"/>
              </w:rPr>
              <w:t>. Data are for 1993 through 2004</w:t>
            </w:r>
            <w:r w:rsidRPr="00F552F0">
              <w:rPr>
                <w:sz w:val="20"/>
                <w:szCs w:val="20"/>
              </w:rPr>
              <w:t xml:space="preserve">, and are from Penn World Tables.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TFP growth</w:t>
            </w:r>
          </w:p>
        </w:tc>
        <w:tc>
          <w:tcPr>
            <w:tcW w:w="8231" w:type="dxa"/>
          </w:tcPr>
          <w:p w:rsidR="00E21501" w:rsidRPr="00F552F0" w:rsidRDefault="004C3644">
            <w:pPr>
              <w:spacing w:after="120"/>
              <w:jc w:val="both"/>
              <w:rPr>
                <w:sz w:val="20"/>
                <w:szCs w:val="20"/>
              </w:rPr>
            </w:pPr>
            <w:r w:rsidRPr="00F552F0">
              <w:rPr>
                <w:color w:val="000000"/>
                <w:sz w:val="20"/>
                <w:szCs w:val="20"/>
              </w:rPr>
              <w:t xml:space="preserve">Each country’s total factor productivity (TFP) growth is </w:t>
            </w:r>
            <w:r w:rsidRPr="00F552F0">
              <w:rPr>
                <w:i/>
                <w:color w:val="000000"/>
                <w:sz w:val="20"/>
                <w:szCs w:val="20"/>
              </w:rPr>
              <w:t xml:space="preserve">A </w:t>
            </w:r>
            <w:r w:rsidRPr="00F552F0">
              <w:rPr>
                <w:color w:val="000000"/>
                <w:sz w:val="20"/>
                <w:szCs w:val="20"/>
              </w:rPr>
              <w:t xml:space="preserve">in the production function </w:t>
            </w:r>
            <w:r w:rsidRPr="00F552F0">
              <w:rPr>
                <w:i/>
                <w:color w:val="000000"/>
                <w:sz w:val="20"/>
                <w:szCs w:val="20"/>
              </w:rPr>
              <w:t xml:space="preserve">Y </w:t>
            </w:r>
            <w:r w:rsidRPr="00F552F0">
              <w:rPr>
                <w:color w:val="000000"/>
                <w:sz w:val="20"/>
                <w:szCs w:val="20"/>
              </w:rPr>
              <w:t>=</w:t>
            </w:r>
            <w:r w:rsidRPr="00F552F0">
              <w:rPr>
                <w:i/>
                <w:color w:val="000000"/>
                <w:sz w:val="20"/>
                <w:szCs w:val="20"/>
              </w:rPr>
              <w:t xml:space="preserve"> A K</w:t>
            </w:r>
            <w:r w:rsidR="003D5871" w:rsidRPr="00F552F0">
              <w:rPr>
                <w:color w:val="000000"/>
                <w:sz w:val="20"/>
                <w:szCs w:val="20"/>
                <w:vertAlign w:val="superscript"/>
              </w:rPr>
              <w:t>α</w:t>
            </w:r>
            <w:r w:rsidRPr="00F552F0">
              <w:rPr>
                <w:i/>
                <w:color w:val="000000"/>
                <w:sz w:val="20"/>
                <w:szCs w:val="20"/>
              </w:rPr>
              <w:t xml:space="preserve"> L</w:t>
            </w:r>
            <w:r w:rsidR="003D5871" w:rsidRPr="00F552F0">
              <w:rPr>
                <w:color w:val="000000"/>
                <w:sz w:val="20"/>
                <w:szCs w:val="20"/>
                <w:vertAlign w:val="superscript"/>
              </w:rPr>
              <w:t>1-α</w:t>
            </w:r>
            <w:r w:rsidRPr="00F552F0">
              <w:rPr>
                <w:sz w:val="20"/>
                <w:szCs w:val="20"/>
              </w:rPr>
              <w:t xml:space="preserve">, with </w:t>
            </w:r>
            <w:r w:rsidRPr="00F552F0">
              <w:rPr>
                <w:i/>
                <w:color w:val="000000"/>
                <w:sz w:val="20"/>
                <w:szCs w:val="20"/>
              </w:rPr>
              <w:t>Y</w:t>
            </w:r>
            <w:r w:rsidRPr="00F552F0">
              <w:rPr>
                <w:color w:val="000000"/>
                <w:sz w:val="20"/>
                <w:szCs w:val="20"/>
              </w:rPr>
              <w:t xml:space="preserve">, </w:t>
            </w:r>
            <w:r w:rsidRPr="00F552F0">
              <w:rPr>
                <w:i/>
                <w:color w:val="000000"/>
                <w:sz w:val="20"/>
                <w:szCs w:val="20"/>
              </w:rPr>
              <w:t>K</w:t>
            </w:r>
            <w:r w:rsidRPr="00F552F0">
              <w:rPr>
                <w:color w:val="000000"/>
                <w:sz w:val="20"/>
                <w:szCs w:val="20"/>
              </w:rPr>
              <w:t xml:space="preserve">, and </w:t>
            </w:r>
            <w:r w:rsidRPr="00F552F0">
              <w:rPr>
                <w:i/>
                <w:color w:val="000000"/>
                <w:sz w:val="20"/>
                <w:szCs w:val="20"/>
              </w:rPr>
              <w:t>L</w:t>
            </w:r>
            <w:r w:rsidRPr="00F552F0">
              <w:rPr>
                <w:color w:val="000000"/>
                <w:sz w:val="20"/>
                <w:szCs w:val="20"/>
              </w:rPr>
              <w:t xml:space="preserve"> </w:t>
            </w:r>
            <w:r w:rsidR="0008282E" w:rsidRPr="00F552F0">
              <w:rPr>
                <w:color w:val="000000"/>
                <w:sz w:val="20"/>
                <w:szCs w:val="20"/>
              </w:rPr>
              <w:t xml:space="preserve">as </w:t>
            </w:r>
            <w:r w:rsidRPr="00F552F0">
              <w:rPr>
                <w:color w:val="000000"/>
                <w:sz w:val="20"/>
                <w:szCs w:val="20"/>
              </w:rPr>
              <w:t xml:space="preserve">the country’s GDP, capital stock, and labor force, respectively; and with capital share </w:t>
            </w:r>
            <w:r w:rsidRPr="00F552F0">
              <w:rPr>
                <w:i/>
                <w:color w:val="000000"/>
                <w:sz w:val="20"/>
                <w:szCs w:val="20"/>
              </w:rPr>
              <w:t>α</w:t>
            </w:r>
            <w:r w:rsidRPr="00F552F0">
              <w:rPr>
                <w:color w:val="000000"/>
                <w:sz w:val="20"/>
                <w:szCs w:val="20"/>
              </w:rPr>
              <w:t xml:space="preserve"> = 0.03 as in Beck </w:t>
            </w:r>
            <w:r w:rsidR="003D5871" w:rsidRPr="00F552F0">
              <w:rPr>
                <w:color w:val="000000"/>
                <w:sz w:val="20"/>
                <w:szCs w:val="20"/>
              </w:rPr>
              <w:t>et al.</w:t>
            </w:r>
            <w:r w:rsidRPr="00F552F0">
              <w:rPr>
                <w:color w:val="000000"/>
                <w:sz w:val="20"/>
                <w:szCs w:val="20"/>
              </w:rPr>
              <w:t xml:space="preserve"> (2000). </w:t>
            </w:r>
            <w:r w:rsidRPr="00F552F0">
              <w:rPr>
                <w:sz w:val="20"/>
                <w:szCs w:val="20"/>
              </w:rPr>
              <w:t>Data are for 1993 through</w:t>
            </w:r>
            <w:r w:rsidR="004B57AE" w:rsidRPr="00F552F0">
              <w:rPr>
                <w:sz w:val="20"/>
                <w:szCs w:val="20"/>
              </w:rPr>
              <w:t xml:space="preserve"> 2004</w:t>
            </w:r>
            <w:r w:rsidRPr="00F552F0">
              <w:rPr>
                <w:sz w:val="20"/>
                <w:szCs w:val="20"/>
              </w:rPr>
              <w:t xml:space="preserve">, and are from Penn World Tables. </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Capital accumulation</w:t>
            </w:r>
          </w:p>
        </w:tc>
        <w:tc>
          <w:tcPr>
            <w:tcW w:w="8231" w:type="dxa"/>
          </w:tcPr>
          <w:p w:rsidR="00E21501" w:rsidRPr="00F552F0" w:rsidRDefault="004C3644">
            <w:pPr>
              <w:spacing w:after="120"/>
              <w:jc w:val="both"/>
              <w:rPr>
                <w:sz w:val="20"/>
                <w:szCs w:val="20"/>
              </w:rPr>
            </w:pPr>
            <w:r w:rsidRPr="00F552F0">
              <w:rPr>
                <w:sz w:val="20"/>
                <w:szCs w:val="20"/>
              </w:rPr>
              <w:t>Average growth rate in</w:t>
            </w:r>
            <w:r w:rsidR="004B57AE" w:rsidRPr="00F552F0">
              <w:rPr>
                <w:sz w:val="20"/>
                <w:szCs w:val="20"/>
              </w:rPr>
              <w:t xml:space="preserve"> capital stock from 1993 to 2004</w:t>
            </w:r>
            <w:r w:rsidRPr="00F552F0">
              <w:rPr>
                <w:sz w:val="20"/>
                <w:szCs w:val="20"/>
              </w:rPr>
              <w:t xml:space="preserve">, assuming 1964 capital stocks are in steady state and using aggregate real investment and 7% depreciation recursively to generate capital stock estimates going forward, as in </w:t>
            </w:r>
            <w:r w:rsidRPr="00F552F0">
              <w:rPr>
                <w:color w:val="000000"/>
                <w:sz w:val="20"/>
                <w:szCs w:val="20"/>
              </w:rPr>
              <w:t xml:space="preserve">Beck </w:t>
            </w:r>
            <w:r w:rsidR="003D5871" w:rsidRPr="00F552F0">
              <w:rPr>
                <w:color w:val="000000"/>
                <w:sz w:val="20"/>
                <w:szCs w:val="20"/>
              </w:rPr>
              <w:t>et al.</w:t>
            </w:r>
            <w:r w:rsidRPr="00F552F0">
              <w:rPr>
                <w:color w:val="000000"/>
                <w:sz w:val="20"/>
                <w:szCs w:val="20"/>
              </w:rPr>
              <w:t xml:space="preserve"> (2000). </w:t>
            </w:r>
            <w:r w:rsidRPr="00F552F0">
              <w:rPr>
                <w:sz w:val="20"/>
                <w:szCs w:val="20"/>
              </w:rPr>
              <w:t>Data are from Penn</w:t>
            </w:r>
            <w:r w:rsidR="0008282E" w:rsidRPr="00F552F0">
              <w:rPr>
                <w:sz w:val="20"/>
                <w:szCs w:val="20"/>
              </w:rPr>
              <w:t xml:space="preserve"> World</w:t>
            </w:r>
            <w:r w:rsidRPr="00F552F0">
              <w:rPr>
                <w:sz w:val="20"/>
                <w:szCs w:val="20"/>
              </w:rPr>
              <w:t xml:space="preserve"> Tables.</w:t>
            </w:r>
          </w:p>
        </w:tc>
      </w:tr>
      <w:tr w:rsidR="004C3644" w:rsidRPr="00F552F0" w:rsidTr="00C616BD">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Growth</w:t>
            </w:r>
            <w:r w:rsidR="0008282E" w:rsidRPr="00F552F0">
              <w:rPr>
                <w:i/>
                <w:sz w:val="20"/>
                <w:szCs w:val="20"/>
              </w:rPr>
              <w:t>-</w:t>
            </w:r>
            <w:r w:rsidRPr="00F552F0">
              <w:rPr>
                <w:i/>
                <w:sz w:val="20"/>
                <w:szCs w:val="20"/>
              </w:rPr>
              <w:t xml:space="preserve">rate volatility </w:t>
            </w:r>
          </w:p>
        </w:tc>
        <w:tc>
          <w:tcPr>
            <w:tcW w:w="8231" w:type="dxa"/>
          </w:tcPr>
          <w:p w:rsidR="00E21501" w:rsidRPr="00F552F0" w:rsidRDefault="004C3644">
            <w:pPr>
              <w:spacing w:after="120"/>
              <w:jc w:val="both"/>
              <w:rPr>
                <w:sz w:val="20"/>
                <w:szCs w:val="20"/>
              </w:rPr>
            </w:pPr>
            <w:r w:rsidRPr="00F552F0">
              <w:rPr>
                <w:sz w:val="20"/>
                <w:szCs w:val="20"/>
              </w:rPr>
              <w:t xml:space="preserve">Standard deviation of real </w:t>
            </w:r>
            <w:r w:rsidR="004B57AE" w:rsidRPr="00F552F0">
              <w:rPr>
                <w:sz w:val="20"/>
                <w:szCs w:val="20"/>
              </w:rPr>
              <w:t>GDP per capita growth, 1993</w:t>
            </w:r>
            <w:r w:rsidR="0008282E" w:rsidRPr="00F552F0">
              <w:rPr>
                <w:sz w:val="20"/>
                <w:szCs w:val="20"/>
              </w:rPr>
              <w:t>–</w:t>
            </w:r>
            <w:r w:rsidR="004B57AE" w:rsidRPr="00F552F0">
              <w:rPr>
                <w:sz w:val="20"/>
                <w:szCs w:val="20"/>
              </w:rPr>
              <w:t>2004</w:t>
            </w:r>
            <w:r w:rsidRPr="00F552F0">
              <w:rPr>
                <w:sz w:val="20"/>
                <w:szCs w:val="20"/>
              </w:rPr>
              <w:t>. Source: Calculated from Penn</w:t>
            </w:r>
            <w:r w:rsidR="0008282E" w:rsidRPr="00F552F0">
              <w:rPr>
                <w:sz w:val="20"/>
                <w:szCs w:val="20"/>
              </w:rPr>
              <w:t xml:space="preserve"> World</w:t>
            </w:r>
            <w:r w:rsidRPr="00F552F0">
              <w:rPr>
                <w:sz w:val="20"/>
                <w:szCs w:val="20"/>
              </w:rPr>
              <w:t xml:space="preserve"> Tables data.</w:t>
            </w:r>
            <w:r w:rsidRPr="00F552F0">
              <w:rPr>
                <w:i/>
                <w:sz w:val="20"/>
                <w:szCs w:val="20"/>
              </w:rPr>
              <w:t xml:space="preserve"> </w:t>
            </w:r>
          </w:p>
        </w:tc>
      </w:tr>
      <w:tr w:rsidR="00DF2D94" w:rsidRPr="00F552F0" w:rsidTr="00C616BD">
        <w:tc>
          <w:tcPr>
            <w:tcW w:w="1417" w:type="dxa"/>
          </w:tcPr>
          <w:p w:rsidR="00DF2D94" w:rsidRPr="00F552F0" w:rsidRDefault="00DF2D94">
            <w:pPr>
              <w:autoSpaceDE w:val="0"/>
              <w:autoSpaceDN w:val="0"/>
              <w:adjustRightInd w:val="0"/>
              <w:spacing w:after="120"/>
              <w:rPr>
                <w:i/>
                <w:sz w:val="20"/>
                <w:szCs w:val="20"/>
              </w:rPr>
            </w:pPr>
            <w:r w:rsidRPr="00F552F0">
              <w:rPr>
                <w:i/>
                <w:sz w:val="20"/>
                <w:szCs w:val="20"/>
              </w:rPr>
              <w:t>Industry value-added growth</w:t>
            </w:r>
          </w:p>
        </w:tc>
        <w:tc>
          <w:tcPr>
            <w:tcW w:w="8231" w:type="dxa"/>
          </w:tcPr>
          <w:p w:rsidR="00E21501" w:rsidRPr="00F552F0" w:rsidRDefault="00D47B74">
            <w:pPr>
              <w:spacing w:after="120"/>
              <w:jc w:val="both"/>
              <w:rPr>
                <w:sz w:val="20"/>
                <w:szCs w:val="20"/>
              </w:rPr>
            </w:pPr>
            <w:r w:rsidRPr="00F552F0">
              <w:rPr>
                <w:sz w:val="20"/>
                <w:szCs w:val="20"/>
              </w:rPr>
              <w:t>Annualized compounded</w:t>
            </w:r>
            <w:r w:rsidR="0001487A" w:rsidRPr="00F552F0">
              <w:rPr>
                <w:sz w:val="20"/>
                <w:szCs w:val="20"/>
              </w:rPr>
              <w:t xml:space="preserve"> nominal</w:t>
            </w:r>
            <w:r w:rsidRPr="00F552F0">
              <w:rPr>
                <w:sz w:val="20"/>
                <w:szCs w:val="20"/>
              </w:rPr>
              <w:t xml:space="preserve"> value</w:t>
            </w:r>
            <w:r w:rsidR="0008282E" w:rsidRPr="00F552F0">
              <w:rPr>
                <w:sz w:val="20"/>
                <w:szCs w:val="20"/>
              </w:rPr>
              <w:t>-</w:t>
            </w:r>
            <w:r w:rsidRPr="00F552F0">
              <w:rPr>
                <w:sz w:val="20"/>
                <w:szCs w:val="20"/>
              </w:rPr>
              <w:t>added growth between 1993 and 2003. Source: UNIDO General Industrial Statistics.</w:t>
            </w:r>
          </w:p>
        </w:tc>
      </w:tr>
      <w:tr w:rsidR="004C3644" w:rsidRPr="00F552F0" w:rsidTr="00FC73D7">
        <w:tc>
          <w:tcPr>
            <w:tcW w:w="9648" w:type="dxa"/>
            <w:gridSpan w:val="2"/>
          </w:tcPr>
          <w:p w:rsidR="004C3644" w:rsidRPr="00F552F0" w:rsidRDefault="003D5871" w:rsidP="004C066F">
            <w:pPr>
              <w:spacing w:before="120"/>
              <w:rPr>
                <w:i/>
                <w:sz w:val="20"/>
                <w:szCs w:val="20"/>
              </w:rPr>
            </w:pPr>
            <w:r w:rsidRPr="00F552F0">
              <w:rPr>
                <w:i/>
                <w:sz w:val="20"/>
                <w:szCs w:val="20"/>
              </w:rPr>
              <w:t>Panel D</w:t>
            </w:r>
            <w:r w:rsidR="00BF6193" w:rsidRPr="00F552F0">
              <w:rPr>
                <w:i/>
                <w:sz w:val="20"/>
                <w:szCs w:val="20"/>
              </w:rPr>
              <w:t>:</w:t>
            </w:r>
            <w:r w:rsidRPr="00F552F0">
              <w:rPr>
                <w:i/>
                <w:sz w:val="20"/>
                <w:szCs w:val="20"/>
              </w:rPr>
              <w:t xml:space="preserve"> Crony </w:t>
            </w:r>
            <w:r w:rsidR="00BF6193" w:rsidRPr="00F552F0">
              <w:rPr>
                <w:i/>
                <w:sz w:val="20"/>
                <w:szCs w:val="20"/>
              </w:rPr>
              <w:t>c</w:t>
            </w:r>
            <w:r w:rsidRPr="00F552F0">
              <w:rPr>
                <w:i/>
                <w:sz w:val="20"/>
                <w:szCs w:val="20"/>
              </w:rPr>
              <w:t xml:space="preserve">apitalism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 xml:space="preserve">Income inequality </w:t>
            </w:r>
          </w:p>
        </w:tc>
        <w:tc>
          <w:tcPr>
            <w:tcW w:w="8231" w:type="dxa"/>
          </w:tcPr>
          <w:p w:rsidR="00E21501" w:rsidRPr="00F552F0" w:rsidRDefault="004C3644">
            <w:pPr>
              <w:spacing w:after="120"/>
              <w:jc w:val="both"/>
              <w:rPr>
                <w:i/>
                <w:sz w:val="20"/>
                <w:szCs w:val="20"/>
              </w:rPr>
            </w:pPr>
            <w:r w:rsidRPr="00F552F0">
              <w:rPr>
                <w:sz w:val="20"/>
                <w:szCs w:val="20"/>
              </w:rPr>
              <w:t xml:space="preserve">Average </w:t>
            </w:r>
            <w:proofErr w:type="spellStart"/>
            <w:r w:rsidRPr="00F552F0">
              <w:rPr>
                <w:i/>
                <w:sz w:val="20"/>
                <w:szCs w:val="20"/>
              </w:rPr>
              <w:t>Gini</w:t>
            </w:r>
            <w:proofErr w:type="spellEnd"/>
            <w:r w:rsidRPr="00F552F0">
              <w:rPr>
                <w:i/>
                <w:sz w:val="20"/>
                <w:szCs w:val="20"/>
              </w:rPr>
              <w:t xml:space="preserve"> coefficient</w:t>
            </w:r>
            <w:r w:rsidR="002A4A88" w:rsidRPr="00F552F0">
              <w:rPr>
                <w:i/>
                <w:sz w:val="20"/>
                <w:szCs w:val="20"/>
              </w:rPr>
              <w:t>s</w:t>
            </w:r>
            <w:r w:rsidRPr="00F552F0">
              <w:rPr>
                <w:sz w:val="20"/>
                <w:szCs w:val="20"/>
              </w:rPr>
              <w:t xml:space="preserve"> </w:t>
            </w:r>
            <w:r w:rsidR="002A4A88" w:rsidRPr="00F552F0">
              <w:rPr>
                <w:sz w:val="20"/>
                <w:szCs w:val="20"/>
              </w:rPr>
              <w:t>measure the</w:t>
            </w:r>
            <w:r w:rsidRPr="00F552F0">
              <w:rPr>
                <w:sz w:val="20"/>
                <w:szCs w:val="20"/>
              </w:rPr>
              <w:t xml:space="preserve"> deviation of income distribution fr</w:t>
            </w:r>
            <w:r w:rsidR="005C7424" w:rsidRPr="00F552F0">
              <w:rPr>
                <w:sz w:val="20"/>
                <w:szCs w:val="20"/>
              </w:rPr>
              <w:t>om uniformity</w:t>
            </w:r>
            <w:r w:rsidRPr="00F552F0">
              <w:rPr>
                <w:sz w:val="20"/>
                <w:szCs w:val="20"/>
              </w:rPr>
              <w:t xml:space="preserve"> </w:t>
            </w:r>
            <w:r w:rsidR="005C7424" w:rsidRPr="00F552F0">
              <w:rPr>
                <w:sz w:val="20"/>
                <w:szCs w:val="20"/>
              </w:rPr>
              <w:t>(</w:t>
            </w:r>
            <w:proofErr w:type="spellStart"/>
            <w:r w:rsidR="005C7424" w:rsidRPr="00F552F0">
              <w:rPr>
                <w:sz w:val="20"/>
                <w:szCs w:val="20"/>
              </w:rPr>
              <w:t>Gini</w:t>
            </w:r>
            <w:proofErr w:type="spellEnd"/>
            <w:r w:rsidR="006F1BEA" w:rsidRPr="00F552F0">
              <w:rPr>
                <w:sz w:val="20"/>
                <w:szCs w:val="20"/>
              </w:rPr>
              <w:t>,</w:t>
            </w:r>
            <w:r w:rsidR="00297A6C" w:rsidRPr="00F552F0">
              <w:rPr>
                <w:sz w:val="20"/>
                <w:szCs w:val="20"/>
              </w:rPr>
              <w:t xml:space="preserve"> 19</w:t>
            </w:r>
            <w:r w:rsidR="009E6EF4" w:rsidRPr="00F552F0">
              <w:rPr>
                <w:sz w:val="20"/>
                <w:szCs w:val="20"/>
              </w:rPr>
              <w:t>21</w:t>
            </w:r>
            <w:r w:rsidR="005C7424" w:rsidRPr="00F552F0">
              <w:rPr>
                <w:sz w:val="20"/>
                <w:szCs w:val="20"/>
              </w:rPr>
              <w:t xml:space="preserve">), </w:t>
            </w:r>
            <w:r w:rsidRPr="00F552F0">
              <w:rPr>
                <w:sz w:val="20"/>
                <w:szCs w:val="20"/>
              </w:rPr>
              <w:t xml:space="preserve">from 1993 </w:t>
            </w:r>
            <w:r w:rsidR="00340459" w:rsidRPr="00F552F0">
              <w:rPr>
                <w:sz w:val="20"/>
                <w:szCs w:val="20"/>
              </w:rPr>
              <w:t>through</w:t>
            </w:r>
            <w:r w:rsidRPr="00F552F0">
              <w:rPr>
                <w:sz w:val="20"/>
                <w:szCs w:val="20"/>
              </w:rPr>
              <w:t xml:space="preserve"> 2003</w:t>
            </w:r>
            <w:r w:rsidR="002A4A88" w:rsidRPr="00F552F0">
              <w:rPr>
                <w:sz w:val="20"/>
                <w:szCs w:val="20"/>
              </w:rPr>
              <w:t>, where data are</w:t>
            </w:r>
            <w:r w:rsidR="00DA58F1" w:rsidRPr="00F552F0">
              <w:rPr>
                <w:sz w:val="20"/>
                <w:szCs w:val="20"/>
              </w:rPr>
              <w:t xml:space="preserve"> available</w:t>
            </w:r>
            <w:r w:rsidR="00B31298" w:rsidRPr="00F552F0">
              <w:rPr>
                <w:sz w:val="20"/>
                <w:szCs w:val="20"/>
              </w:rPr>
              <w:t>.</w:t>
            </w:r>
            <w:r w:rsidR="00DA58F1" w:rsidRPr="00F552F0">
              <w:rPr>
                <w:sz w:val="20"/>
                <w:szCs w:val="20"/>
              </w:rPr>
              <w:t xml:space="preserve"> Otherwise</w:t>
            </w:r>
            <w:r w:rsidR="0008282E" w:rsidRPr="00F552F0">
              <w:rPr>
                <w:sz w:val="20"/>
                <w:szCs w:val="20"/>
              </w:rPr>
              <w:t>,</w:t>
            </w:r>
            <w:r w:rsidR="00DA58F1" w:rsidRPr="00F552F0">
              <w:rPr>
                <w:sz w:val="20"/>
                <w:szCs w:val="20"/>
              </w:rPr>
              <w:t xml:space="preserve"> it is the average </w:t>
            </w:r>
            <w:r w:rsidR="00D073CB" w:rsidRPr="00F552F0">
              <w:rPr>
                <w:sz w:val="20"/>
                <w:szCs w:val="20"/>
              </w:rPr>
              <w:t xml:space="preserve">across </w:t>
            </w:r>
            <w:r w:rsidR="00DA58F1" w:rsidRPr="00F552F0">
              <w:rPr>
                <w:sz w:val="20"/>
                <w:szCs w:val="20"/>
              </w:rPr>
              <w:t xml:space="preserve">available data. </w:t>
            </w:r>
            <w:r w:rsidR="00D073CB" w:rsidRPr="00F552F0">
              <w:rPr>
                <w:sz w:val="20"/>
                <w:szCs w:val="20"/>
              </w:rPr>
              <w:t>Data are</w:t>
            </w:r>
            <w:r w:rsidR="00DA58F1" w:rsidRPr="00F552F0">
              <w:rPr>
                <w:sz w:val="20"/>
                <w:szCs w:val="20"/>
              </w:rPr>
              <w:t xml:space="preserve"> </w:t>
            </w:r>
            <w:r w:rsidR="00D073CB" w:rsidRPr="00F552F0">
              <w:rPr>
                <w:sz w:val="20"/>
                <w:szCs w:val="20"/>
              </w:rPr>
              <w:t>unavailable</w:t>
            </w:r>
            <w:r w:rsidR="00DA58F1" w:rsidRPr="00F552F0">
              <w:rPr>
                <w:sz w:val="20"/>
                <w:szCs w:val="20"/>
              </w:rPr>
              <w:t xml:space="preserve"> for most countries after 2001. </w:t>
            </w:r>
            <w:r w:rsidRPr="00F552F0">
              <w:rPr>
                <w:sz w:val="20"/>
                <w:szCs w:val="20"/>
              </w:rPr>
              <w:t xml:space="preserve">In regressions and correlations, this variable is log normalized by the formula: </w:t>
            </w:r>
            <w:r w:rsidRPr="00F552F0">
              <w:rPr>
                <w:i/>
                <w:sz w:val="20"/>
                <w:szCs w:val="20"/>
              </w:rPr>
              <w:t>normalized</w:t>
            </w:r>
            <w:r w:rsidRPr="00F552F0">
              <w:rPr>
                <w:sz w:val="20"/>
                <w:szCs w:val="20"/>
              </w:rPr>
              <w:t xml:space="preserve"> </w:t>
            </w:r>
            <w:r w:rsidR="005C7424" w:rsidRPr="00F552F0">
              <w:rPr>
                <w:sz w:val="20"/>
                <w:szCs w:val="20"/>
              </w:rPr>
              <w:t>[</w:t>
            </w:r>
            <w:r w:rsidRPr="00F552F0">
              <w:rPr>
                <w:i/>
                <w:sz w:val="20"/>
                <w:szCs w:val="20"/>
              </w:rPr>
              <w:t>x</w:t>
            </w:r>
            <w:r w:rsidR="005C7424" w:rsidRPr="00F552F0">
              <w:rPr>
                <w:sz w:val="20"/>
                <w:szCs w:val="20"/>
              </w:rPr>
              <w:t>]</w:t>
            </w:r>
            <w:r w:rsidRPr="00F552F0">
              <w:rPr>
                <w:sz w:val="20"/>
                <w:szCs w:val="20"/>
              </w:rPr>
              <w:t xml:space="preserve"> = </w:t>
            </w:r>
            <w:proofErr w:type="spellStart"/>
            <w:r w:rsidRPr="00F552F0">
              <w:rPr>
                <w:sz w:val="20"/>
                <w:szCs w:val="20"/>
              </w:rPr>
              <w:t>ln</w:t>
            </w:r>
            <w:proofErr w:type="spellEnd"/>
            <w:r w:rsidR="0052279E" w:rsidRPr="00F552F0">
              <w:rPr>
                <w:sz w:val="20"/>
                <w:szCs w:val="20"/>
              </w:rPr>
              <w:t xml:space="preserve"> </w:t>
            </w:r>
            <w:r w:rsidR="005C7424" w:rsidRPr="00F552F0">
              <w:rPr>
                <w:sz w:val="20"/>
                <w:szCs w:val="20"/>
              </w:rPr>
              <w:t>[</w:t>
            </w:r>
            <w:r w:rsidRPr="00F552F0">
              <w:rPr>
                <w:i/>
                <w:sz w:val="20"/>
                <w:szCs w:val="20"/>
              </w:rPr>
              <w:t>x</w:t>
            </w:r>
            <w:proofErr w:type="gramStart"/>
            <w:r w:rsidRPr="00F552F0">
              <w:rPr>
                <w:b/>
                <w:sz w:val="20"/>
                <w:szCs w:val="20"/>
              </w:rPr>
              <w:t>/</w:t>
            </w:r>
            <w:r w:rsidRPr="00F552F0">
              <w:rPr>
                <w:sz w:val="20"/>
                <w:szCs w:val="20"/>
              </w:rPr>
              <w:t>(</w:t>
            </w:r>
            <w:proofErr w:type="gramEnd"/>
            <w:r w:rsidRPr="00F552F0">
              <w:rPr>
                <w:sz w:val="20"/>
                <w:szCs w:val="20"/>
              </w:rPr>
              <w:t>1-</w:t>
            </w:r>
            <w:r w:rsidRPr="00F552F0">
              <w:rPr>
                <w:i/>
                <w:sz w:val="20"/>
                <w:szCs w:val="20"/>
              </w:rPr>
              <w:t>x</w:t>
            </w:r>
            <w:r w:rsidR="005C7424" w:rsidRPr="00F552F0">
              <w:rPr>
                <w:sz w:val="20"/>
                <w:szCs w:val="20"/>
              </w:rPr>
              <w:t>)]</w:t>
            </w:r>
            <w:r w:rsidRPr="00F552F0">
              <w:rPr>
                <w:sz w:val="20"/>
                <w:szCs w:val="20"/>
              </w:rPr>
              <w:t xml:space="preserve">. Source: </w:t>
            </w:r>
            <w:r w:rsidR="009E6EF4" w:rsidRPr="00F552F0">
              <w:rPr>
                <w:sz w:val="20"/>
                <w:szCs w:val="20"/>
              </w:rPr>
              <w:t xml:space="preserve">World </w:t>
            </w:r>
            <w:r w:rsidR="009E6EF4" w:rsidRPr="00F552F0">
              <w:rPr>
                <w:sz w:val="20"/>
                <w:szCs w:val="20"/>
              </w:rPr>
              <w:lastRenderedPageBreak/>
              <w:t xml:space="preserve">Development Indicators, World </w:t>
            </w:r>
            <w:proofErr w:type="gramStart"/>
            <w:r w:rsidR="009E6EF4" w:rsidRPr="00F552F0">
              <w:rPr>
                <w:sz w:val="20"/>
                <w:szCs w:val="20"/>
              </w:rPr>
              <w:t>Bank</w:t>
            </w:r>
            <w:r w:rsidR="009E6EF4" w:rsidRPr="00F552F0" w:rsidDel="009E6EF4">
              <w:rPr>
                <w:sz w:val="20"/>
                <w:szCs w:val="20"/>
              </w:rPr>
              <w:t xml:space="preserve"> </w:t>
            </w:r>
            <w:r w:rsidRPr="00F552F0">
              <w:rPr>
                <w:sz w:val="20"/>
                <w:szCs w:val="20"/>
              </w:rPr>
              <w:t>.</w:t>
            </w:r>
            <w:proofErr w:type="gramEnd"/>
            <w:r w:rsidRPr="00F552F0">
              <w:rPr>
                <w:i/>
                <w:sz w:val="20"/>
                <w:szCs w:val="20"/>
              </w:rPr>
              <w:t xml:space="preserve">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lastRenderedPageBreak/>
              <w:t>PCs</w:t>
            </w:r>
          </w:p>
        </w:tc>
        <w:tc>
          <w:tcPr>
            <w:tcW w:w="8231" w:type="dxa"/>
          </w:tcPr>
          <w:p w:rsidR="00E21501" w:rsidRPr="00F552F0" w:rsidRDefault="004C3644">
            <w:pPr>
              <w:spacing w:after="120"/>
              <w:jc w:val="both"/>
              <w:rPr>
                <w:i/>
                <w:sz w:val="20"/>
                <w:szCs w:val="20"/>
              </w:rPr>
            </w:pPr>
            <w:r w:rsidRPr="00F552F0">
              <w:rPr>
                <w:sz w:val="20"/>
                <w:szCs w:val="20"/>
              </w:rPr>
              <w:t>Personal computers (PCs) per thousand people, averaged over 1993</w:t>
            </w:r>
            <w:r w:rsidR="0008282E" w:rsidRPr="00F552F0">
              <w:rPr>
                <w:sz w:val="20"/>
                <w:szCs w:val="20"/>
              </w:rPr>
              <w:t>–</w:t>
            </w:r>
            <w:r w:rsidRPr="00F552F0">
              <w:rPr>
                <w:sz w:val="20"/>
                <w:szCs w:val="20"/>
              </w:rPr>
              <w:t>2003. Personal computers are defined as self-contained and designed for use by one person. Source: International Telecommunication Union, World Telecommunication Development Report and database. Downloaded from</w:t>
            </w:r>
            <w:r w:rsidR="009E6EF4" w:rsidRPr="00F552F0">
              <w:rPr>
                <w:sz w:val="20"/>
                <w:szCs w:val="20"/>
              </w:rPr>
              <w:t xml:space="preserve"> World Development Indicators, World </w:t>
            </w:r>
            <w:proofErr w:type="gramStart"/>
            <w:r w:rsidR="009E6EF4" w:rsidRPr="00F552F0">
              <w:rPr>
                <w:sz w:val="20"/>
                <w:szCs w:val="20"/>
              </w:rPr>
              <w:t>Bank</w:t>
            </w:r>
            <w:r w:rsidRPr="00F552F0">
              <w:rPr>
                <w:sz w:val="20"/>
                <w:szCs w:val="20"/>
              </w:rPr>
              <w:t xml:space="preserve"> .</w:t>
            </w:r>
            <w:proofErr w:type="gramEnd"/>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Cars</w:t>
            </w:r>
          </w:p>
        </w:tc>
        <w:tc>
          <w:tcPr>
            <w:tcW w:w="8231" w:type="dxa"/>
          </w:tcPr>
          <w:p w:rsidR="00E21501" w:rsidRPr="00F552F0" w:rsidRDefault="004C3644">
            <w:pPr>
              <w:spacing w:after="120"/>
              <w:jc w:val="both"/>
              <w:rPr>
                <w:sz w:val="20"/>
                <w:szCs w:val="20"/>
              </w:rPr>
            </w:pPr>
            <w:r w:rsidRPr="00F552F0">
              <w:rPr>
                <w:sz w:val="20"/>
                <w:szCs w:val="20"/>
              </w:rPr>
              <w:t>Passenger cars per 1000 people, average over 1993</w:t>
            </w:r>
            <w:r w:rsidR="0008282E" w:rsidRPr="00F552F0">
              <w:rPr>
                <w:sz w:val="20"/>
                <w:szCs w:val="20"/>
              </w:rPr>
              <w:t>–</w:t>
            </w:r>
            <w:r w:rsidRPr="00F552F0">
              <w:rPr>
                <w:sz w:val="20"/>
                <w:szCs w:val="20"/>
              </w:rPr>
              <w:t>2003. Passenger cars refer to road motor vehicles, other than two-wheelers, intended for the carriage of passengers and designed to seat no more than nine people (including the driver). International Road Federation, World Road Statistics and data files. Downloaded from</w:t>
            </w:r>
            <w:r w:rsidR="009E6EF4" w:rsidRPr="00F552F0">
              <w:rPr>
                <w:sz w:val="20"/>
                <w:szCs w:val="20"/>
              </w:rPr>
              <w:t xml:space="preserve"> World Development Indicators, World Bank</w:t>
            </w:r>
            <w:r w:rsidRPr="00F552F0">
              <w:rPr>
                <w:sz w:val="20"/>
                <w:szCs w:val="20"/>
              </w:rPr>
              <w:t>.</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Telephone</w:t>
            </w:r>
          </w:p>
        </w:tc>
        <w:tc>
          <w:tcPr>
            <w:tcW w:w="8231" w:type="dxa"/>
          </w:tcPr>
          <w:p w:rsidR="00E21501" w:rsidRPr="00F552F0" w:rsidRDefault="004C3644">
            <w:pPr>
              <w:spacing w:after="120"/>
              <w:jc w:val="both"/>
              <w:rPr>
                <w:sz w:val="20"/>
                <w:szCs w:val="20"/>
              </w:rPr>
            </w:pPr>
            <w:r w:rsidRPr="00F552F0">
              <w:rPr>
                <w:sz w:val="20"/>
                <w:szCs w:val="20"/>
              </w:rPr>
              <w:t>Telephone lines per 1000 people, average over 1993</w:t>
            </w:r>
            <w:r w:rsidR="0008282E" w:rsidRPr="00F552F0">
              <w:rPr>
                <w:sz w:val="20"/>
                <w:szCs w:val="20"/>
              </w:rPr>
              <w:t>–</w:t>
            </w:r>
            <w:r w:rsidRPr="00F552F0">
              <w:rPr>
                <w:sz w:val="20"/>
                <w:szCs w:val="20"/>
              </w:rPr>
              <w:t xml:space="preserve">2003. Telephone mainlines are fixed telephone lines connecting a subscriber to the telephone exchange equipment. Source: International Telecommunication Union, World Telecommunication Development Report and database. Downloaded from </w:t>
            </w:r>
            <w:r w:rsidR="009E6EF4" w:rsidRPr="00F552F0">
              <w:rPr>
                <w:sz w:val="20"/>
                <w:szCs w:val="20"/>
              </w:rPr>
              <w:t xml:space="preserve">World Development Indicators, World </w:t>
            </w:r>
            <w:proofErr w:type="gramStart"/>
            <w:r w:rsidR="009E6EF4" w:rsidRPr="00F552F0">
              <w:rPr>
                <w:sz w:val="20"/>
                <w:szCs w:val="20"/>
              </w:rPr>
              <w:t>Bank</w:t>
            </w:r>
            <w:r w:rsidR="009E6EF4" w:rsidRPr="00F552F0" w:rsidDel="009E6EF4">
              <w:rPr>
                <w:sz w:val="20"/>
                <w:szCs w:val="20"/>
              </w:rPr>
              <w:t xml:space="preserve"> </w:t>
            </w:r>
            <w:r w:rsidRPr="00F552F0">
              <w:rPr>
                <w:sz w:val="20"/>
                <w:szCs w:val="20"/>
              </w:rPr>
              <w:t>.</w:t>
            </w:r>
            <w:proofErr w:type="gramEnd"/>
            <w:r w:rsidRPr="00F552F0">
              <w:rPr>
                <w:sz w:val="20"/>
                <w:szCs w:val="20"/>
              </w:rPr>
              <w:t xml:space="preserve">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Internet</w:t>
            </w:r>
          </w:p>
        </w:tc>
        <w:tc>
          <w:tcPr>
            <w:tcW w:w="8231" w:type="dxa"/>
          </w:tcPr>
          <w:p w:rsidR="00E21501" w:rsidRPr="00F552F0" w:rsidRDefault="004C3644">
            <w:pPr>
              <w:spacing w:after="120"/>
              <w:jc w:val="both"/>
              <w:rPr>
                <w:sz w:val="20"/>
                <w:szCs w:val="20"/>
              </w:rPr>
            </w:pPr>
            <w:r w:rsidRPr="00F552F0">
              <w:rPr>
                <w:sz w:val="20"/>
                <w:szCs w:val="20"/>
              </w:rPr>
              <w:t>Internet user</w:t>
            </w:r>
            <w:r w:rsidR="0008282E" w:rsidRPr="00F552F0">
              <w:rPr>
                <w:sz w:val="20"/>
                <w:szCs w:val="20"/>
              </w:rPr>
              <w:t>s</w:t>
            </w:r>
            <w:r w:rsidRPr="00F552F0">
              <w:rPr>
                <w:sz w:val="20"/>
                <w:szCs w:val="20"/>
              </w:rPr>
              <w:t xml:space="preserve"> per 100 people, average over 1993</w:t>
            </w:r>
            <w:r w:rsidR="0008282E" w:rsidRPr="00F552F0">
              <w:rPr>
                <w:sz w:val="20"/>
                <w:szCs w:val="20"/>
              </w:rPr>
              <w:t>–</w:t>
            </w:r>
            <w:r w:rsidRPr="00F552F0">
              <w:rPr>
                <w:sz w:val="20"/>
                <w:szCs w:val="20"/>
              </w:rPr>
              <w:t xml:space="preserve">2003. Internet users are people with access to the worldwide network. International Telecommunication Union, World Telecommunication Development Report and database. Downloaded from </w:t>
            </w:r>
            <w:r w:rsidR="009E6EF4" w:rsidRPr="00F552F0">
              <w:rPr>
                <w:sz w:val="20"/>
                <w:szCs w:val="20"/>
              </w:rPr>
              <w:t xml:space="preserve">World Development Indicators, World </w:t>
            </w:r>
            <w:proofErr w:type="gramStart"/>
            <w:r w:rsidR="009E6EF4" w:rsidRPr="00F552F0">
              <w:rPr>
                <w:sz w:val="20"/>
                <w:szCs w:val="20"/>
              </w:rPr>
              <w:t>Bank</w:t>
            </w:r>
            <w:r w:rsidR="009E6EF4" w:rsidRPr="00F552F0" w:rsidDel="009E6EF4">
              <w:rPr>
                <w:sz w:val="20"/>
                <w:szCs w:val="20"/>
              </w:rPr>
              <w:t xml:space="preserve"> </w:t>
            </w:r>
            <w:r w:rsidRPr="00F552F0">
              <w:rPr>
                <w:sz w:val="20"/>
                <w:szCs w:val="20"/>
              </w:rPr>
              <w:t>.</w:t>
            </w:r>
            <w:proofErr w:type="gramEnd"/>
            <w:r w:rsidRPr="00F552F0">
              <w:rPr>
                <w:color w:val="305496"/>
                <w:sz w:val="13"/>
                <w:szCs w:val="13"/>
              </w:rPr>
              <w:t xml:space="preserve"> </w:t>
            </w:r>
          </w:p>
        </w:tc>
      </w:tr>
      <w:tr w:rsidR="004C3644" w:rsidRPr="00F552F0" w:rsidTr="00FC73D7">
        <w:tc>
          <w:tcPr>
            <w:tcW w:w="1417" w:type="dxa"/>
            <w:vAlign w:val="bottom"/>
          </w:tcPr>
          <w:p w:rsidR="004C3644" w:rsidRPr="00F552F0" w:rsidRDefault="004C3644">
            <w:pPr>
              <w:autoSpaceDE w:val="0"/>
              <w:autoSpaceDN w:val="0"/>
              <w:adjustRightInd w:val="0"/>
              <w:spacing w:after="120"/>
              <w:rPr>
                <w:i/>
                <w:sz w:val="20"/>
                <w:szCs w:val="20"/>
              </w:rPr>
            </w:pPr>
            <w:r w:rsidRPr="00F552F0">
              <w:rPr>
                <w:i/>
                <w:sz w:val="20"/>
                <w:szCs w:val="20"/>
              </w:rPr>
              <w:t xml:space="preserve">Number of </w:t>
            </w:r>
            <w:r w:rsidR="009E6EF4" w:rsidRPr="00F552F0">
              <w:rPr>
                <w:i/>
                <w:sz w:val="20"/>
                <w:szCs w:val="20"/>
              </w:rPr>
              <w:t>p</w:t>
            </w:r>
            <w:r w:rsidRPr="00F552F0">
              <w:rPr>
                <w:i/>
                <w:sz w:val="20"/>
                <w:szCs w:val="20"/>
              </w:rPr>
              <w:t>rocedures</w:t>
            </w:r>
          </w:p>
        </w:tc>
        <w:tc>
          <w:tcPr>
            <w:tcW w:w="8231" w:type="dxa"/>
          </w:tcPr>
          <w:p w:rsidR="004C3644" w:rsidRPr="00F552F0" w:rsidRDefault="004C3644" w:rsidP="0008282E">
            <w:pPr>
              <w:autoSpaceDE w:val="0"/>
              <w:autoSpaceDN w:val="0"/>
              <w:adjustRightInd w:val="0"/>
              <w:jc w:val="both"/>
              <w:rPr>
                <w:sz w:val="20"/>
                <w:szCs w:val="20"/>
              </w:rPr>
            </w:pPr>
            <w:r w:rsidRPr="00F552F0">
              <w:rPr>
                <w:sz w:val="20"/>
                <w:szCs w:val="20"/>
              </w:rPr>
              <w:t xml:space="preserve">Log number of different procedures that a start-up has to comply with in order to obtain a legal status, i.e. to start operating as a legal entity. Source </w:t>
            </w:r>
            <w:proofErr w:type="spellStart"/>
            <w:r w:rsidRPr="00F552F0">
              <w:rPr>
                <w:sz w:val="20"/>
                <w:szCs w:val="20"/>
              </w:rPr>
              <w:t>Djankov</w:t>
            </w:r>
            <w:proofErr w:type="spellEnd"/>
            <w:r w:rsidRPr="00F552F0">
              <w:rPr>
                <w:sz w:val="20"/>
                <w:szCs w:val="20"/>
              </w:rPr>
              <w:t xml:space="preserve"> </w:t>
            </w:r>
            <w:r w:rsidR="003D5871" w:rsidRPr="00F552F0">
              <w:rPr>
                <w:sz w:val="20"/>
                <w:szCs w:val="20"/>
              </w:rPr>
              <w:t>et al.</w:t>
            </w:r>
            <w:r w:rsidRPr="00F552F0">
              <w:rPr>
                <w:sz w:val="20"/>
                <w:szCs w:val="20"/>
              </w:rPr>
              <w:t xml:space="preserve"> </w:t>
            </w:r>
            <w:r w:rsidR="006F1BEA" w:rsidRPr="00F552F0">
              <w:rPr>
                <w:sz w:val="20"/>
                <w:szCs w:val="20"/>
              </w:rPr>
              <w:t>(</w:t>
            </w:r>
            <w:r w:rsidRPr="00F552F0">
              <w:rPr>
                <w:sz w:val="20"/>
                <w:szCs w:val="20"/>
              </w:rPr>
              <w:t>2002</w:t>
            </w:r>
            <w:r w:rsidR="006F1BEA" w:rsidRPr="00F552F0">
              <w:rPr>
                <w:sz w:val="20"/>
                <w:szCs w:val="20"/>
              </w:rPr>
              <w:t>)</w:t>
            </w:r>
            <w:r w:rsidRPr="00F552F0">
              <w:rPr>
                <w:sz w:val="20"/>
                <w:szCs w:val="20"/>
              </w:rPr>
              <w:t xml:space="preserve">.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Time</w:t>
            </w:r>
          </w:p>
        </w:tc>
        <w:tc>
          <w:tcPr>
            <w:tcW w:w="8231" w:type="dxa"/>
          </w:tcPr>
          <w:p w:rsidR="004C3644" w:rsidRPr="00F552F0" w:rsidRDefault="004C3644" w:rsidP="0008282E">
            <w:pPr>
              <w:autoSpaceDE w:val="0"/>
              <w:autoSpaceDN w:val="0"/>
              <w:adjustRightInd w:val="0"/>
              <w:spacing w:after="120"/>
              <w:jc w:val="both"/>
              <w:rPr>
                <w:sz w:val="20"/>
                <w:szCs w:val="20"/>
              </w:rPr>
            </w:pPr>
            <w:r w:rsidRPr="00F552F0">
              <w:rPr>
                <w:sz w:val="20"/>
                <w:szCs w:val="20"/>
              </w:rPr>
              <w:t xml:space="preserve">Log time it takes to obtain legal status to operate a firm, in business days. A week has five business days and a month has </w:t>
            </w:r>
            <w:r w:rsidR="0008282E" w:rsidRPr="00F552F0">
              <w:rPr>
                <w:sz w:val="20"/>
                <w:szCs w:val="20"/>
              </w:rPr>
              <w:t>22</w:t>
            </w:r>
            <w:r w:rsidRPr="00F552F0">
              <w:rPr>
                <w:sz w:val="20"/>
                <w:szCs w:val="20"/>
              </w:rPr>
              <w:t>. Source</w:t>
            </w:r>
            <w:r w:rsidR="0008282E" w:rsidRPr="00F552F0">
              <w:rPr>
                <w:sz w:val="20"/>
                <w:szCs w:val="20"/>
              </w:rPr>
              <w:t>:</w:t>
            </w:r>
            <w:r w:rsidRPr="00F552F0">
              <w:rPr>
                <w:sz w:val="20"/>
                <w:szCs w:val="20"/>
              </w:rPr>
              <w:t xml:space="preserve"> </w:t>
            </w:r>
            <w:proofErr w:type="spellStart"/>
            <w:r w:rsidRPr="00F552F0">
              <w:rPr>
                <w:sz w:val="20"/>
                <w:szCs w:val="20"/>
              </w:rPr>
              <w:t>Djankov</w:t>
            </w:r>
            <w:proofErr w:type="spellEnd"/>
            <w:r w:rsidRPr="00F552F0">
              <w:rPr>
                <w:sz w:val="20"/>
                <w:szCs w:val="20"/>
              </w:rPr>
              <w:t xml:space="preserve"> </w:t>
            </w:r>
            <w:r w:rsidR="003D5871" w:rsidRPr="00F552F0">
              <w:rPr>
                <w:sz w:val="20"/>
                <w:szCs w:val="20"/>
              </w:rPr>
              <w:t>et al.</w:t>
            </w:r>
            <w:r w:rsidRPr="00F552F0">
              <w:rPr>
                <w:sz w:val="20"/>
                <w:szCs w:val="20"/>
              </w:rPr>
              <w:t xml:space="preserve"> </w:t>
            </w:r>
            <w:r w:rsidR="006F1BEA" w:rsidRPr="00F552F0">
              <w:rPr>
                <w:sz w:val="20"/>
                <w:szCs w:val="20"/>
              </w:rPr>
              <w:t>(</w:t>
            </w:r>
            <w:r w:rsidRPr="00F552F0">
              <w:rPr>
                <w:sz w:val="20"/>
                <w:szCs w:val="20"/>
              </w:rPr>
              <w:t>2002</w:t>
            </w:r>
            <w:r w:rsidR="006F1BEA" w:rsidRPr="00F552F0">
              <w:rPr>
                <w:sz w:val="20"/>
                <w:szCs w:val="20"/>
              </w:rPr>
              <w:t>)</w:t>
            </w:r>
            <w:r w:rsidRPr="00F552F0">
              <w:rPr>
                <w:sz w:val="20"/>
                <w:szCs w:val="20"/>
              </w:rPr>
              <w:t>.</w:t>
            </w:r>
          </w:p>
        </w:tc>
      </w:tr>
      <w:tr w:rsidR="004C3644" w:rsidRPr="00F552F0" w:rsidTr="00FC73D7">
        <w:tc>
          <w:tcPr>
            <w:tcW w:w="1417" w:type="dxa"/>
          </w:tcPr>
          <w:p w:rsidR="004C3644" w:rsidRPr="00F552F0" w:rsidRDefault="004C3644" w:rsidP="00B31298">
            <w:pPr>
              <w:autoSpaceDE w:val="0"/>
              <w:autoSpaceDN w:val="0"/>
              <w:adjustRightInd w:val="0"/>
              <w:spacing w:after="120"/>
              <w:rPr>
                <w:i/>
                <w:sz w:val="20"/>
                <w:szCs w:val="20"/>
              </w:rPr>
            </w:pPr>
            <w:r w:rsidRPr="00F552F0">
              <w:rPr>
                <w:i/>
                <w:sz w:val="20"/>
                <w:szCs w:val="20"/>
              </w:rPr>
              <w:t>Cost</w:t>
            </w:r>
          </w:p>
        </w:tc>
        <w:tc>
          <w:tcPr>
            <w:tcW w:w="8231" w:type="dxa"/>
          </w:tcPr>
          <w:p w:rsidR="004C3644" w:rsidRPr="00F552F0" w:rsidRDefault="004C3644" w:rsidP="0008282E">
            <w:pPr>
              <w:autoSpaceDE w:val="0"/>
              <w:autoSpaceDN w:val="0"/>
              <w:adjustRightInd w:val="0"/>
              <w:jc w:val="both"/>
              <w:rPr>
                <w:sz w:val="20"/>
                <w:szCs w:val="20"/>
              </w:rPr>
            </w:pPr>
            <w:r w:rsidRPr="00F552F0">
              <w:rPr>
                <w:sz w:val="20"/>
                <w:szCs w:val="20"/>
              </w:rPr>
              <w:t>Log cost of obtaining legal status to operate a firm as a share of per capita GDP in 1999. It includes all identifiable official expenses (fees, costs of procedures and forms, photocopies, fiscal stamps, legal and notary charges, etc</w:t>
            </w:r>
            <w:r w:rsidR="0008282E" w:rsidRPr="00F552F0">
              <w:rPr>
                <w:sz w:val="20"/>
                <w:szCs w:val="20"/>
              </w:rPr>
              <w:t>.</w:t>
            </w:r>
            <w:r w:rsidRPr="00F552F0">
              <w:rPr>
                <w:sz w:val="20"/>
                <w:szCs w:val="20"/>
              </w:rPr>
              <w:t>). The company is assumed to have a start-up capital of ten times per capita GDP in 1999. Source</w:t>
            </w:r>
            <w:r w:rsidR="0008282E" w:rsidRPr="00F552F0">
              <w:rPr>
                <w:sz w:val="20"/>
                <w:szCs w:val="20"/>
              </w:rPr>
              <w:t>:</w:t>
            </w:r>
            <w:r w:rsidRPr="00F552F0">
              <w:rPr>
                <w:sz w:val="20"/>
                <w:szCs w:val="20"/>
              </w:rPr>
              <w:t xml:space="preserve"> </w:t>
            </w:r>
            <w:proofErr w:type="spellStart"/>
            <w:r w:rsidRPr="00F552F0">
              <w:rPr>
                <w:sz w:val="20"/>
                <w:szCs w:val="20"/>
              </w:rPr>
              <w:t>Djankov</w:t>
            </w:r>
            <w:proofErr w:type="spellEnd"/>
            <w:r w:rsidRPr="00F552F0">
              <w:rPr>
                <w:sz w:val="20"/>
                <w:szCs w:val="20"/>
              </w:rPr>
              <w:t xml:space="preserve"> </w:t>
            </w:r>
            <w:r w:rsidR="003D5871" w:rsidRPr="00F552F0">
              <w:rPr>
                <w:sz w:val="20"/>
                <w:szCs w:val="20"/>
              </w:rPr>
              <w:t>et al.</w:t>
            </w:r>
            <w:r w:rsidRPr="00F552F0">
              <w:rPr>
                <w:sz w:val="20"/>
                <w:szCs w:val="20"/>
              </w:rPr>
              <w:t xml:space="preserve"> </w:t>
            </w:r>
            <w:r w:rsidR="006F1BEA" w:rsidRPr="00F552F0">
              <w:rPr>
                <w:sz w:val="20"/>
                <w:szCs w:val="20"/>
              </w:rPr>
              <w:t>(</w:t>
            </w:r>
            <w:r w:rsidRPr="00F552F0">
              <w:rPr>
                <w:sz w:val="20"/>
                <w:szCs w:val="20"/>
              </w:rPr>
              <w:t>2002</w:t>
            </w:r>
            <w:r w:rsidR="006F1BEA" w:rsidRPr="00F552F0">
              <w:rPr>
                <w:sz w:val="20"/>
                <w:szCs w:val="20"/>
              </w:rPr>
              <w:t>)</w:t>
            </w:r>
            <w:r w:rsidRPr="00F552F0">
              <w:rPr>
                <w:sz w:val="20"/>
                <w:szCs w:val="20"/>
              </w:rPr>
              <w:t>.</w:t>
            </w:r>
          </w:p>
          <w:p w:rsidR="004C3644" w:rsidRPr="00F552F0" w:rsidRDefault="004C3644" w:rsidP="0008282E">
            <w:pPr>
              <w:autoSpaceDE w:val="0"/>
              <w:autoSpaceDN w:val="0"/>
              <w:adjustRightInd w:val="0"/>
              <w:jc w:val="both"/>
              <w:rPr>
                <w:sz w:val="20"/>
                <w:szCs w:val="20"/>
              </w:rPr>
            </w:pPr>
          </w:p>
        </w:tc>
      </w:tr>
      <w:tr w:rsidR="004C3644" w:rsidRPr="00F552F0" w:rsidTr="00FC73D7">
        <w:tc>
          <w:tcPr>
            <w:tcW w:w="9648" w:type="dxa"/>
            <w:gridSpan w:val="2"/>
          </w:tcPr>
          <w:p w:rsidR="004C3644" w:rsidRPr="00F552F0" w:rsidRDefault="003D5871" w:rsidP="004C066F">
            <w:pPr>
              <w:spacing w:before="120"/>
              <w:rPr>
                <w:i/>
                <w:sz w:val="20"/>
                <w:szCs w:val="20"/>
              </w:rPr>
            </w:pPr>
            <w:r w:rsidRPr="00F552F0">
              <w:rPr>
                <w:i/>
                <w:sz w:val="20"/>
                <w:szCs w:val="20"/>
              </w:rPr>
              <w:t>Panel E</w:t>
            </w:r>
            <w:r w:rsidR="00BF6193" w:rsidRPr="00F552F0">
              <w:rPr>
                <w:i/>
                <w:sz w:val="20"/>
                <w:szCs w:val="20"/>
              </w:rPr>
              <w:t>:</w:t>
            </w:r>
            <w:r w:rsidRPr="00F552F0">
              <w:rPr>
                <w:i/>
                <w:sz w:val="20"/>
                <w:szCs w:val="20"/>
              </w:rPr>
              <w:t xml:space="preserve"> Controls</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Initial income</w:t>
            </w:r>
          </w:p>
        </w:tc>
        <w:tc>
          <w:tcPr>
            <w:tcW w:w="8231" w:type="dxa"/>
          </w:tcPr>
          <w:p w:rsidR="00E21501" w:rsidRPr="00F552F0" w:rsidRDefault="004C3644">
            <w:pPr>
              <w:spacing w:after="120"/>
              <w:jc w:val="both"/>
              <w:rPr>
                <w:sz w:val="20"/>
                <w:szCs w:val="20"/>
              </w:rPr>
            </w:pPr>
            <w:r w:rsidRPr="00F552F0">
              <w:rPr>
                <w:sz w:val="20"/>
                <w:szCs w:val="20"/>
              </w:rPr>
              <w:t xml:space="preserve">Logarithm of 1992 per capita GDP in US dollars at purchasing power parity. Source: Penn World Tables.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Initial income square</w:t>
            </w:r>
          </w:p>
        </w:tc>
        <w:tc>
          <w:tcPr>
            <w:tcW w:w="8231" w:type="dxa"/>
          </w:tcPr>
          <w:p w:rsidR="00E21501" w:rsidRPr="00F552F0" w:rsidRDefault="004C3644">
            <w:pPr>
              <w:spacing w:after="120"/>
              <w:jc w:val="both"/>
              <w:rPr>
                <w:sz w:val="20"/>
                <w:szCs w:val="20"/>
              </w:rPr>
            </w:pPr>
            <w:r w:rsidRPr="00F552F0">
              <w:rPr>
                <w:sz w:val="20"/>
                <w:szCs w:val="20"/>
              </w:rPr>
              <w:t>Square of logarithm of 1992 per capita GDP in US dollars at purchasing power parity. Source: Penn World Tables.</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 xml:space="preserve">Banking system size </w:t>
            </w:r>
          </w:p>
        </w:tc>
        <w:tc>
          <w:tcPr>
            <w:tcW w:w="8231" w:type="dxa"/>
          </w:tcPr>
          <w:p w:rsidR="00E21501" w:rsidRPr="00F552F0" w:rsidRDefault="004C3644">
            <w:pPr>
              <w:spacing w:after="120"/>
              <w:jc w:val="both"/>
              <w:rPr>
                <w:sz w:val="20"/>
                <w:szCs w:val="20"/>
              </w:rPr>
            </w:pPr>
            <w:r w:rsidRPr="00F552F0">
              <w:rPr>
                <w:sz w:val="20"/>
                <w:szCs w:val="20"/>
              </w:rPr>
              <w:t>Log average credit outstanding to GDP averaged across 1993</w:t>
            </w:r>
            <w:r w:rsidR="0008282E" w:rsidRPr="00F552F0">
              <w:rPr>
                <w:sz w:val="20"/>
                <w:szCs w:val="20"/>
              </w:rPr>
              <w:t>–</w:t>
            </w:r>
            <w:r w:rsidRPr="00F552F0">
              <w:rPr>
                <w:sz w:val="20"/>
                <w:szCs w:val="20"/>
              </w:rPr>
              <w:t xml:space="preserve">2003. Source: World Development Indicators, World Bank.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 xml:space="preserve">Stock market size </w:t>
            </w:r>
          </w:p>
        </w:tc>
        <w:tc>
          <w:tcPr>
            <w:tcW w:w="8231" w:type="dxa"/>
          </w:tcPr>
          <w:p w:rsidR="00E21501" w:rsidRPr="00F552F0" w:rsidRDefault="004C3644">
            <w:pPr>
              <w:spacing w:after="120"/>
              <w:jc w:val="both"/>
              <w:rPr>
                <w:sz w:val="20"/>
                <w:szCs w:val="20"/>
              </w:rPr>
            </w:pPr>
            <w:r w:rsidRPr="00F552F0">
              <w:rPr>
                <w:sz w:val="20"/>
                <w:szCs w:val="20"/>
              </w:rPr>
              <w:t>Log of average stock market capitalization to GDP averaged across 1993</w:t>
            </w:r>
            <w:r w:rsidR="0008282E" w:rsidRPr="00F552F0">
              <w:rPr>
                <w:sz w:val="20"/>
                <w:szCs w:val="20"/>
              </w:rPr>
              <w:t>–</w:t>
            </w:r>
            <w:r w:rsidRPr="00F552F0">
              <w:rPr>
                <w:sz w:val="20"/>
                <w:szCs w:val="20"/>
              </w:rPr>
              <w:t>2003. Source: World Devel</w:t>
            </w:r>
            <w:r w:rsidR="00E41275" w:rsidRPr="00F552F0">
              <w:rPr>
                <w:sz w:val="20"/>
                <w:szCs w:val="20"/>
              </w:rPr>
              <w:t xml:space="preserve">opment Indicators, World Bank. </w:t>
            </w:r>
          </w:p>
        </w:tc>
      </w:tr>
      <w:tr w:rsidR="00717D54" w:rsidRPr="00F552F0" w:rsidTr="00FC73D7">
        <w:tc>
          <w:tcPr>
            <w:tcW w:w="1417" w:type="dxa"/>
          </w:tcPr>
          <w:p w:rsidR="00717D54" w:rsidRPr="00F552F0" w:rsidRDefault="00717D54">
            <w:pPr>
              <w:autoSpaceDE w:val="0"/>
              <w:autoSpaceDN w:val="0"/>
              <w:adjustRightInd w:val="0"/>
              <w:spacing w:after="120"/>
              <w:rPr>
                <w:i/>
                <w:sz w:val="20"/>
                <w:szCs w:val="20"/>
              </w:rPr>
            </w:pPr>
            <w:r w:rsidRPr="00F552F0">
              <w:rPr>
                <w:i/>
                <w:sz w:val="20"/>
                <w:szCs w:val="20"/>
              </w:rPr>
              <w:t>Industry share</w:t>
            </w:r>
          </w:p>
        </w:tc>
        <w:tc>
          <w:tcPr>
            <w:tcW w:w="8231" w:type="dxa"/>
          </w:tcPr>
          <w:p w:rsidR="00E21501" w:rsidRPr="00F552F0" w:rsidRDefault="00717D54">
            <w:pPr>
              <w:spacing w:after="120"/>
              <w:jc w:val="both"/>
              <w:rPr>
                <w:sz w:val="20"/>
                <w:szCs w:val="20"/>
              </w:rPr>
            </w:pPr>
            <w:r w:rsidRPr="00F552F0">
              <w:rPr>
                <w:sz w:val="20"/>
                <w:szCs w:val="20"/>
              </w:rPr>
              <w:t>Value</w:t>
            </w:r>
            <w:r w:rsidR="00E216E8" w:rsidRPr="00F552F0">
              <w:rPr>
                <w:sz w:val="20"/>
                <w:szCs w:val="20"/>
              </w:rPr>
              <w:t>-</w:t>
            </w:r>
            <w:r w:rsidRPr="00F552F0">
              <w:rPr>
                <w:sz w:val="20"/>
                <w:szCs w:val="20"/>
              </w:rPr>
              <w:t xml:space="preserve">added share of an industry within a country in 1992. Source: UNIDO General Industrial Statistics. </w:t>
            </w:r>
          </w:p>
        </w:tc>
      </w:tr>
      <w:tr w:rsidR="004C3644" w:rsidRPr="00F552F0" w:rsidTr="00FC73D7">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Human capital</w:t>
            </w:r>
          </w:p>
        </w:tc>
        <w:tc>
          <w:tcPr>
            <w:tcW w:w="8231" w:type="dxa"/>
          </w:tcPr>
          <w:p w:rsidR="00E21501" w:rsidRPr="00F552F0" w:rsidRDefault="004C3644">
            <w:pPr>
              <w:spacing w:after="120"/>
              <w:jc w:val="both"/>
              <w:rPr>
                <w:sz w:val="20"/>
                <w:szCs w:val="20"/>
              </w:rPr>
            </w:pPr>
            <w:r w:rsidRPr="00F552F0">
              <w:rPr>
                <w:sz w:val="20"/>
                <w:szCs w:val="20"/>
              </w:rPr>
              <w:t xml:space="preserve">Log of average schooling years in total population aged 15 or over, 1990. Source: World Development Indicators, World Bank. </w:t>
            </w:r>
          </w:p>
        </w:tc>
      </w:tr>
      <w:tr w:rsidR="004C3644" w:rsidRPr="00F552F0" w:rsidTr="00FC73D7">
        <w:trPr>
          <w:trHeight w:val="512"/>
        </w:trPr>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Trade openness</w:t>
            </w:r>
          </w:p>
        </w:tc>
        <w:tc>
          <w:tcPr>
            <w:tcW w:w="8231" w:type="dxa"/>
          </w:tcPr>
          <w:p w:rsidR="00E21501" w:rsidRPr="00F552F0" w:rsidRDefault="004C3644">
            <w:pPr>
              <w:spacing w:after="120"/>
              <w:jc w:val="both"/>
              <w:rPr>
                <w:sz w:val="20"/>
                <w:szCs w:val="20"/>
              </w:rPr>
            </w:pPr>
            <w:r w:rsidRPr="00F552F0">
              <w:rPr>
                <w:sz w:val="20"/>
                <w:szCs w:val="20"/>
              </w:rPr>
              <w:t>Log of trade/GDP: the sum of exports and imports of goods and services measured as a share of gr</w:t>
            </w:r>
            <w:r w:rsidR="00E41275" w:rsidRPr="00F552F0">
              <w:rPr>
                <w:sz w:val="20"/>
                <w:szCs w:val="20"/>
              </w:rPr>
              <w:t>oss domestic product, over GDP.</w:t>
            </w:r>
            <w:r w:rsidRPr="00F552F0">
              <w:rPr>
                <w:sz w:val="20"/>
                <w:szCs w:val="20"/>
              </w:rPr>
              <w:t xml:space="preserve"> Source: World Bank national accounts data</w:t>
            </w:r>
            <w:r w:rsidR="00E216E8" w:rsidRPr="00F552F0">
              <w:rPr>
                <w:sz w:val="20"/>
                <w:szCs w:val="20"/>
              </w:rPr>
              <w:t>;</w:t>
            </w:r>
            <w:r w:rsidRPr="00F552F0">
              <w:rPr>
                <w:sz w:val="20"/>
                <w:szCs w:val="20"/>
              </w:rPr>
              <w:t xml:space="preserve"> </w:t>
            </w:r>
            <w:r w:rsidR="009E6EF4" w:rsidRPr="00F552F0">
              <w:rPr>
                <w:sz w:val="20"/>
                <w:szCs w:val="20"/>
              </w:rPr>
              <w:t xml:space="preserve">Organisation for Economic Co-operation and Development </w:t>
            </w:r>
            <w:r w:rsidRPr="00F552F0">
              <w:rPr>
                <w:sz w:val="20"/>
                <w:szCs w:val="20"/>
              </w:rPr>
              <w:t>National Accounts data</w:t>
            </w:r>
            <w:r w:rsidR="00E41275" w:rsidRPr="00F552F0">
              <w:rPr>
                <w:sz w:val="20"/>
                <w:szCs w:val="20"/>
              </w:rPr>
              <w:t xml:space="preserve">. </w:t>
            </w:r>
          </w:p>
        </w:tc>
      </w:tr>
      <w:tr w:rsidR="004C3644" w:rsidRPr="00F552F0" w:rsidTr="00FC73D7">
        <w:trPr>
          <w:trHeight w:val="512"/>
        </w:trPr>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 xml:space="preserve">Africa </w:t>
            </w:r>
            <w:r w:rsidR="00E216E8" w:rsidRPr="00F552F0">
              <w:rPr>
                <w:i/>
                <w:sz w:val="20"/>
                <w:szCs w:val="20"/>
              </w:rPr>
              <w:t>d</w:t>
            </w:r>
            <w:r w:rsidRPr="00F552F0">
              <w:rPr>
                <w:i/>
                <w:sz w:val="20"/>
                <w:szCs w:val="20"/>
              </w:rPr>
              <w:t>ummy</w:t>
            </w:r>
          </w:p>
        </w:tc>
        <w:tc>
          <w:tcPr>
            <w:tcW w:w="8231" w:type="dxa"/>
          </w:tcPr>
          <w:p w:rsidR="00E21501" w:rsidRPr="00F552F0" w:rsidRDefault="004C3644">
            <w:pPr>
              <w:spacing w:after="120"/>
              <w:jc w:val="both"/>
              <w:rPr>
                <w:sz w:val="20"/>
                <w:szCs w:val="20"/>
              </w:rPr>
            </w:pPr>
            <w:r w:rsidRPr="00F552F0">
              <w:rPr>
                <w:sz w:val="20"/>
                <w:szCs w:val="20"/>
              </w:rPr>
              <w:t xml:space="preserve">Equals </w:t>
            </w:r>
            <w:r w:rsidR="00E216E8" w:rsidRPr="00F552F0">
              <w:rPr>
                <w:sz w:val="20"/>
                <w:szCs w:val="20"/>
              </w:rPr>
              <w:t>one</w:t>
            </w:r>
            <w:r w:rsidRPr="00F552F0">
              <w:rPr>
                <w:sz w:val="20"/>
                <w:szCs w:val="20"/>
              </w:rPr>
              <w:t xml:space="preserve"> if the country is located in </w:t>
            </w:r>
            <w:r w:rsidR="00E216E8" w:rsidRPr="00F552F0">
              <w:rPr>
                <w:sz w:val="20"/>
                <w:szCs w:val="20"/>
              </w:rPr>
              <w:t>S</w:t>
            </w:r>
            <w:r w:rsidRPr="00F552F0">
              <w:rPr>
                <w:sz w:val="20"/>
                <w:szCs w:val="20"/>
              </w:rPr>
              <w:t>ub-</w:t>
            </w:r>
            <w:r w:rsidR="00E216E8" w:rsidRPr="00F552F0">
              <w:rPr>
                <w:sz w:val="20"/>
                <w:szCs w:val="20"/>
              </w:rPr>
              <w:t>S</w:t>
            </w:r>
            <w:r w:rsidRPr="00F552F0">
              <w:rPr>
                <w:sz w:val="20"/>
                <w:szCs w:val="20"/>
              </w:rPr>
              <w:t>aharan Africa.</w:t>
            </w:r>
          </w:p>
        </w:tc>
      </w:tr>
      <w:tr w:rsidR="004C3644" w:rsidRPr="00F552F0" w:rsidTr="00FC73D7">
        <w:trPr>
          <w:trHeight w:val="512"/>
        </w:trPr>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Inflation</w:t>
            </w:r>
          </w:p>
        </w:tc>
        <w:tc>
          <w:tcPr>
            <w:tcW w:w="8231" w:type="dxa"/>
          </w:tcPr>
          <w:p w:rsidR="00E21501" w:rsidRPr="00F552F0" w:rsidRDefault="004C3644">
            <w:pPr>
              <w:spacing w:after="120"/>
              <w:jc w:val="both"/>
              <w:rPr>
                <w:sz w:val="20"/>
                <w:szCs w:val="20"/>
              </w:rPr>
            </w:pPr>
            <w:r w:rsidRPr="00F552F0">
              <w:rPr>
                <w:sz w:val="20"/>
                <w:szCs w:val="20"/>
              </w:rPr>
              <w:t>Inflation rates are calculated using average annual</w:t>
            </w:r>
            <w:r w:rsidR="00E216E8" w:rsidRPr="00F552F0">
              <w:rPr>
                <w:sz w:val="20"/>
                <w:szCs w:val="20"/>
              </w:rPr>
              <w:t xml:space="preserve"> consumer price index</w:t>
            </w:r>
            <w:r w:rsidRPr="00F552F0">
              <w:rPr>
                <w:sz w:val="20"/>
                <w:szCs w:val="20"/>
              </w:rPr>
              <w:t xml:space="preserve"> data from the International Financial Statistics. Source</w:t>
            </w:r>
            <w:r w:rsidR="00E216E8" w:rsidRPr="00F552F0">
              <w:rPr>
                <w:sz w:val="20"/>
                <w:szCs w:val="20"/>
              </w:rPr>
              <w:t>:</w:t>
            </w:r>
            <w:r w:rsidRPr="00F552F0">
              <w:rPr>
                <w:sz w:val="20"/>
                <w:szCs w:val="20"/>
              </w:rPr>
              <w:t xml:space="preserve"> Beck </w:t>
            </w:r>
            <w:r w:rsidR="00297A6C" w:rsidRPr="00F552F0">
              <w:rPr>
                <w:sz w:val="20"/>
                <w:szCs w:val="20"/>
              </w:rPr>
              <w:t>et al.</w:t>
            </w:r>
            <w:r w:rsidR="00E216E8" w:rsidRPr="00F552F0">
              <w:rPr>
                <w:sz w:val="20"/>
                <w:szCs w:val="20"/>
              </w:rPr>
              <w:t xml:space="preserve"> </w:t>
            </w:r>
            <w:r w:rsidRPr="00F552F0">
              <w:rPr>
                <w:sz w:val="20"/>
                <w:szCs w:val="20"/>
              </w:rPr>
              <w:t xml:space="preserve">(2000). </w:t>
            </w:r>
          </w:p>
        </w:tc>
      </w:tr>
      <w:tr w:rsidR="004C3644" w:rsidRPr="00F552F0" w:rsidTr="00FC73D7">
        <w:trPr>
          <w:trHeight w:val="512"/>
        </w:trPr>
        <w:tc>
          <w:tcPr>
            <w:tcW w:w="1417" w:type="dxa"/>
          </w:tcPr>
          <w:p w:rsidR="004C3644" w:rsidRPr="00F552F0" w:rsidRDefault="004C3644">
            <w:pPr>
              <w:autoSpaceDE w:val="0"/>
              <w:autoSpaceDN w:val="0"/>
              <w:adjustRightInd w:val="0"/>
              <w:spacing w:after="120"/>
              <w:rPr>
                <w:i/>
                <w:sz w:val="20"/>
                <w:szCs w:val="20"/>
              </w:rPr>
            </w:pPr>
            <w:r w:rsidRPr="00F552F0">
              <w:rPr>
                <w:i/>
                <w:sz w:val="20"/>
                <w:szCs w:val="20"/>
              </w:rPr>
              <w:lastRenderedPageBreak/>
              <w:t>Size of the government</w:t>
            </w:r>
          </w:p>
        </w:tc>
        <w:tc>
          <w:tcPr>
            <w:tcW w:w="8231" w:type="dxa"/>
          </w:tcPr>
          <w:p w:rsidR="00E21501" w:rsidRPr="00F552F0" w:rsidRDefault="004C3644">
            <w:pPr>
              <w:spacing w:after="120"/>
              <w:jc w:val="both"/>
              <w:rPr>
                <w:sz w:val="20"/>
                <w:szCs w:val="20"/>
              </w:rPr>
            </w:pPr>
            <w:r w:rsidRPr="00F552F0">
              <w:rPr>
                <w:sz w:val="20"/>
                <w:szCs w:val="20"/>
              </w:rPr>
              <w:t xml:space="preserve">Real general government consumption as the share of real GDP. Source: Beck </w:t>
            </w:r>
            <w:r w:rsidR="00297A6C" w:rsidRPr="00F552F0">
              <w:rPr>
                <w:sz w:val="20"/>
                <w:szCs w:val="20"/>
              </w:rPr>
              <w:t>et al.</w:t>
            </w:r>
            <w:r w:rsidR="00E216E8" w:rsidRPr="00F552F0">
              <w:rPr>
                <w:sz w:val="20"/>
                <w:szCs w:val="20"/>
              </w:rPr>
              <w:t xml:space="preserve"> </w:t>
            </w:r>
            <w:r w:rsidRPr="00F552F0">
              <w:rPr>
                <w:sz w:val="20"/>
                <w:szCs w:val="20"/>
              </w:rPr>
              <w:t>(2000).</w:t>
            </w:r>
          </w:p>
        </w:tc>
      </w:tr>
      <w:tr w:rsidR="004C3644" w:rsidRPr="00F552F0" w:rsidTr="00FC73D7">
        <w:trPr>
          <w:trHeight w:val="512"/>
        </w:trPr>
        <w:tc>
          <w:tcPr>
            <w:tcW w:w="1417" w:type="dxa"/>
          </w:tcPr>
          <w:p w:rsidR="004C3644" w:rsidRPr="00F552F0" w:rsidRDefault="004C3644">
            <w:pPr>
              <w:autoSpaceDE w:val="0"/>
              <w:autoSpaceDN w:val="0"/>
              <w:adjustRightInd w:val="0"/>
              <w:spacing w:after="120"/>
              <w:rPr>
                <w:i/>
                <w:sz w:val="20"/>
                <w:szCs w:val="20"/>
              </w:rPr>
            </w:pPr>
            <w:r w:rsidRPr="00F552F0">
              <w:rPr>
                <w:i/>
                <w:sz w:val="20"/>
                <w:szCs w:val="20"/>
              </w:rPr>
              <w:t>Black market premium</w:t>
            </w:r>
          </w:p>
        </w:tc>
        <w:tc>
          <w:tcPr>
            <w:tcW w:w="8231" w:type="dxa"/>
          </w:tcPr>
          <w:p w:rsidR="00E21501" w:rsidRPr="00F552F0" w:rsidRDefault="004C3644">
            <w:pPr>
              <w:spacing w:after="120"/>
              <w:jc w:val="both"/>
              <w:rPr>
                <w:sz w:val="20"/>
                <w:szCs w:val="20"/>
              </w:rPr>
            </w:pPr>
            <w:r w:rsidRPr="00F552F0">
              <w:rPr>
                <w:sz w:val="20"/>
                <w:szCs w:val="20"/>
              </w:rPr>
              <w:t xml:space="preserve">Source: Beck </w:t>
            </w:r>
            <w:r w:rsidR="00297A6C" w:rsidRPr="00F552F0">
              <w:rPr>
                <w:sz w:val="20"/>
                <w:szCs w:val="20"/>
              </w:rPr>
              <w:t>et al.</w:t>
            </w:r>
            <w:r w:rsidR="00E216E8" w:rsidRPr="00F552F0">
              <w:rPr>
                <w:sz w:val="20"/>
                <w:szCs w:val="20"/>
              </w:rPr>
              <w:t xml:space="preserve"> </w:t>
            </w:r>
            <w:r w:rsidRPr="00F552F0">
              <w:rPr>
                <w:sz w:val="20"/>
                <w:szCs w:val="20"/>
              </w:rPr>
              <w:t>(2000).</w:t>
            </w:r>
          </w:p>
        </w:tc>
      </w:tr>
      <w:tr w:rsidR="004C3644" w:rsidRPr="00F552F0" w:rsidTr="00FC73D7">
        <w:trPr>
          <w:trHeight w:val="512"/>
        </w:trPr>
        <w:tc>
          <w:tcPr>
            <w:tcW w:w="1417" w:type="dxa"/>
          </w:tcPr>
          <w:p w:rsidR="004C3644" w:rsidRPr="00F552F0" w:rsidRDefault="004C3644" w:rsidP="001F449F">
            <w:pPr>
              <w:autoSpaceDE w:val="0"/>
              <w:autoSpaceDN w:val="0"/>
              <w:adjustRightInd w:val="0"/>
              <w:spacing w:after="120"/>
              <w:rPr>
                <w:i/>
                <w:sz w:val="20"/>
                <w:szCs w:val="20"/>
              </w:rPr>
            </w:pPr>
            <w:r w:rsidRPr="00F552F0">
              <w:rPr>
                <w:i/>
                <w:sz w:val="20"/>
                <w:szCs w:val="20"/>
              </w:rPr>
              <w:t xml:space="preserve">Average </w:t>
            </w:r>
            <w:r w:rsidR="0052279E" w:rsidRPr="00F552F0">
              <w:rPr>
                <w:i/>
                <w:sz w:val="20"/>
                <w:szCs w:val="20"/>
              </w:rPr>
              <w:t>no.</w:t>
            </w:r>
            <w:r w:rsidR="00364C39" w:rsidRPr="00F552F0">
              <w:rPr>
                <w:i/>
                <w:sz w:val="20"/>
                <w:szCs w:val="20"/>
              </w:rPr>
              <w:t xml:space="preserve"> </w:t>
            </w:r>
            <w:r w:rsidRPr="00F552F0">
              <w:rPr>
                <w:i/>
                <w:sz w:val="20"/>
                <w:szCs w:val="20"/>
              </w:rPr>
              <w:t>of coups</w:t>
            </w:r>
          </w:p>
        </w:tc>
        <w:tc>
          <w:tcPr>
            <w:tcW w:w="8231" w:type="dxa"/>
          </w:tcPr>
          <w:p w:rsidR="00E21501" w:rsidRPr="00F552F0" w:rsidRDefault="004C3644">
            <w:pPr>
              <w:spacing w:after="120"/>
              <w:jc w:val="both"/>
              <w:rPr>
                <w:sz w:val="20"/>
                <w:szCs w:val="20"/>
              </w:rPr>
            </w:pPr>
            <w:r w:rsidRPr="00F552F0">
              <w:rPr>
                <w:sz w:val="20"/>
                <w:szCs w:val="20"/>
              </w:rPr>
              <w:t xml:space="preserve">Source: Beck </w:t>
            </w:r>
            <w:r w:rsidR="00297A6C" w:rsidRPr="00F552F0">
              <w:rPr>
                <w:sz w:val="20"/>
                <w:szCs w:val="20"/>
              </w:rPr>
              <w:t>et al.</w:t>
            </w:r>
            <w:r w:rsidR="00E216E8" w:rsidRPr="00F552F0">
              <w:rPr>
                <w:sz w:val="20"/>
                <w:szCs w:val="20"/>
              </w:rPr>
              <w:t xml:space="preserve"> </w:t>
            </w:r>
            <w:r w:rsidRPr="00F552F0">
              <w:rPr>
                <w:sz w:val="20"/>
                <w:szCs w:val="20"/>
              </w:rPr>
              <w:t>(2000).</w:t>
            </w:r>
          </w:p>
        </w:tc>
      </w:tr>
      <w:tr w:rsidR="004C3644" w:rsidRPr="00F552F0" w:rsidTr="00FC73D7">
        <w:trPr>
          <w:trHeight w:val="512"/>
        </w:trPr>
        <w:tc>
          <w:tcPr>
            <w:tcW w:w="1417" w:type="dxa"/>
          </w:tcPr>
          <w:p w:rsidR="004C3644" w:rsidRPr="00F552F0" w:rsidRDefault="004C3644" w:rsidP="0052279E">
            <w:pPr>
              <w:autoSpaceDE w:val="0"/>
              <w:autoSpaceDN w:val="0"/>
              <w:adjustRightInd w:val="0"/>
              <w:spacing w:after="120"/>
              <w:rPr>
                <w:i/>
                <w:sz w:val="20"/>
                <w:szCs w:val="20"/>
              </w:rPr>
            </w:pPr>
            <w:r w:rsidRPr="00F552F0">
              <w:rPr>
                <w:i/>
                <w:sz w:val="20"/>
                <w:szCs w:val="20"/>
              </w:rPr>
              <w:t xml:space="preserve">Average </w:t>
            </w:r>
            <w:r w:rsidR="0052279E" w:rsidRPr="00F552F0">
              <w:rPr>
                <w:i/>
                <w:sz w:val="20"/>
                <w:szCs w:val="20"/>
              </w:rPr>
              <w:t>no.</w:t>
            </w:r>
            <w:r w:rsidRPr="00F552F0">
              <w:rPr>
                <w:i/>
                <w:sz w:val="20"/>
                <w:szCs w:val="20"/>
              </w:rPr>
              <w:t xml:space="preserve"> of assassinations</w:t>
            </w:r>
          </w:p>
        </w:tc>
        <w:tc>
          <w:tcPr>
            <w:tcW w:w="8231" w:type="dxa"/>
          </w:tcPr>
          <w:p w:rsidR="00E21501" w:rsidRPr="00F552F0" w:rsidRDefault="004C3644">
            <w:pPr>
              <w:spacing w:after="120"/>
              <w:jc w:val="both"/>
              <w:rPr>
                <w:sz w:val="20"/>
                <w:szCs w:val="20"/>
              </w:rPr>
            </w:pPr>
            <w:r w:rsidRPr="00F552F0">
              <w:rPr>
                <w:sz w:val="20"/>
                <w:szCs w:val="20"/>
              </w:rPr>
              <w:t xml:space="preserve">Source: Beck </w:t>
            </w:r>
            <w:r w:rsidR="00297A6C" w:rsidRPr="00F552F0">
              <w:rPr>
                <w:sz w:val="20"/>
                <w:szCs w:val="20"/>
              </w:rPr>
              <w:t>et al.</w:t>
            </w:r>
            <w:r w:rsidR="00E216E8" w:rsidRPr="00F552F0">
              <w:rPr>
                <w:sz w:val="20"/>
                <w:szCs w:val="20"/>
              </w:rPr>
              <w:t xml:space="preserve"> </w:t>
            </w:r>
            <w:r w:rsidRPr="00F552F0">
              <w:rPr>
                <w:sz w:val="20"/>
                <w:szCs w:val="20"/>
              </w:rPr>
              <w:t>(2000).</w:t>
            </w:r>
          </w:p>
        </w:tc>
      </w:tr>
      <w:tr w:rsidR="004C3644" w:rsidRPr="00F552F0" w:rsidTr="00FC73D7">
        <w:trPr>
          <w:trHeight w:val="512"/>
        </w:trPr>
        <w:tc>
          <w:tcPr>
            <w:tcW w:w="1417" w:type="dxa"/>
          </w:tcPr>
          <w:p w:rsidR="004C3644" w:rsidRPr="00F552F0" w:rsidRDefault="0052279E">
            <w:pPr>
              <w:autoSpaceDE w:val="0"/>
              <w:autoSpaceDN w:val="0"/>
              <w:adjustRightInd w:val="0"/>
              <w:spacing w:after="120"/>
              <w:rPr>
                <w:i/>
                <w:sz w:val="20"/>
                <w:szCs w:val="20"/>
              </w:rPr>
            </w:pPr>
            <w:r w:rsidRPr="00F552F0">
              <w:rPr>
                <w:i/>
                <w:sz w:val="20"/>
                <w:szCs w:val="20"/>
              </w:rPr>
              <w:t>Ethnic d</w:t>
            </w:r>
            <w:r w:rsidR="004C3644" w:rsidRPr="00F552F0">
              <w:rPr>
                <w:i/>
                <w:sz w:val="20"/>
                <w:szCs w:val="20"/>
              </w:rPr>
              <w:t>iversity</w:t>
            </w:r>
          </w:p>
        </w:tc>
        <w:tc>
          <w:tcPr>
            <w:tcW w:w="8231" w:type="dxa"/>
          </w:tcPr>
          <w:p w:rsidR="00E21501" w:rsidRPr="00F552F0" w:rsidRDefault="004C3644">
            <w:pPr>
              <w:spacing w:after="120"/>
              <w:jc w:val="both"/>
              <w:rPr>
                <w:sz w:val="20"/>
                <w:szCs w:val="20"/>
              </w:rPr>
            </w:pPr>
            <w:r w:rsidRPr="00F552F0">
              <w:rPr>
                <w:sz w:val="20"/>
                <w:szCs w:val="20"/>
              </w:rPr>
              <w:t xml:space="preserve">Source: Beck </w:t>
            </w:r>
            <w:r w:rsidR="00297A6C" w:rsidRPr="00F552F0">
              <w:rPr>
                <w:sz w:val="20"/>
                <w:szCs w:val="20"/>
              </w:rPr>
              <w:t>et al.</w:t>
            </w:r>
            <w:r w:rsidR="00E216E8" w:rsidRPr="00F552F0">
              <w:rPr>
                <w:sz w:val="20"/>
                <w:szCs w:val="20"/>
              </w:rPr>
              <w:t xml:space="preserve"> </w:t>
            </w:r>
            <w:r w:rsidRPr="00F552F0">
              <w:rPr>
                <w:sz w:val="20"/>
                <w:szCs w:val="20"/>
              </w:rPr>
              <w:t>(2000).</w:t>
            </w:r>
          </w:p>
        </w:tc>
      </w:tr>
      <w:tr w:rsidR="00812D0C" w:rsidRPr="00F552F0" w:rsidTr="00812D0C">
        <w:tc>
          <w:tcPr>
            <w:tcW w:w="1417" w:type="dxa"/>
          </w:tcPr>
          <w:p w:rsidR="00812D0C" w:rsidRPr="00F552F0" w:rsidRDefault="00812D0C" w:rsidP="00812D0C">
            <w:pPr>
              <w:autoSpaceDE w:val="0"/>
              <w:autoSpaceDN w:val="0"/>
              <w:adjustRightInd w:val="0"/>
              <w:spacing w:after="120"/>
              <w:rPr>
                <w:i/>
                <w:sz w:val="20"/>
                <w:szCs w:val="20"/>
              </w:rPr>
            </w:pPr>
            <w:r w:rsidRPr="00F552F0">
              <w:rPr>
                <w:i/>
                <w:sz w:val="20"/>
                <w:szCs w:val="20"/>
              </w:rPr>
              <w:t>Oligarchy</w:t>
            </w:r>
          </w:p>
        </w:tc>
        <w:tc>
          <w:tcPr>
            <w:tcW w:w="8231" w:type="dxa"/>
          </w:tcPr>
          <w:p w:rsidR="00812D0C" w:rsidRPr="00F552F0" w:rsidRDefault="00812D0C" w:rsidP="00E216E8">
            <w:pPr>
              <w:autoSpaceDE w:val="0"/>
              <w:autoSpaceDN w:val="0"/>
              <w:adjustRightInd w:val="0"/>
              <w:jc w:val="both"/>
              <w:rPr>
                <w:sz w:val="20"/>
                <w:szCs w:val="20"/>
              </w:rPr>
            </w:pPr>
            <w:r w:rsidRPr="00F552F0">
              <w:rPr>
                <w:sz w:val="20"/>
                <w:szCs w:val="20"/>
              </w:rPr>
              <w:t>Fraction of the top</w:t>
            </w:r>
            <w:r w:rsidR="00E216E8" w:rsidRPr="00F552F0">
              <w:rPr>
                <w:sz w:val="20"/>
                <w:szCs w:val="20"/>
              </w:rPr>
              <w:t>-</w:t>
            </w:r>
            <w:r w:rsidRPr="00F552F0">
              <w:rPr>
                <w:sz w:val="20"/>
                <w:szCs w:val="20"/>
              </w:rPr>
              <w:t>ten largest (according to number of employees) nonfinancial private-sector domestically</w:t>
            </w:r>
            <w:r w:rsidR="00E216E8" w:rsidRPr="00F552F0">
              <w:rPr>
                <w:sz w:val="20"/>
                <w:szCs w:val="20"/>
              </w:rPr>
              <w:t xml:space="preserve"> </w:t>
            </w:r>
            <w:r w:rsidRPr="00F552F0">
              <w:rPr>
                <w:sz w:val="20"/>
                <w:szCs w:val="20"/>
              </w:rPr>
              <w:t xml:space="preserve">controlled freestanding businesses or business groups, including listed and unlisted firms, controlled by business families in 1996. Source: </w:t>
            </w:r>
            <w:proofErr w:type="spellStart"/>
            <w:r w:rsidRPr="00F552F0">
              <w:rPr>
                <w:sz w:val="20"/>
                <w:szCs w:val="20"/>
              </w:rPr>
              <w:t>Fogel</w:t>
            </w:r>
            <w:proofErr w:type="spellEnd"/>
            <w:r w:rsidRPr="00F552F0">
              <w:rPr>
                <w:sz w:val="20"/>
                <w:szCs w:val="20"/>
              </w:rPr>
              <w:t xml:space="preserve"> (2006). </w:t>
            </w:r>
          </w:p>
        </w:tc>
      </w:tr>
    </w:tbl>
    <w:p w:rsidR="004C3644" w:rsidRPr="00F552F0" w:rsidRDefault="004C3644">
      <w:pPr>
        <w:sectPr w:rsidR="004C3644" w:rsidRPr="00F552F0">
          <w:headerReference w:type="default" r:id="rId22"/>
          <w:footerReference w:type="even" r:id="rId23"/>
          <w:footerReference w:type="default" r:id="rId24"/>
          <w:pgSz w:w="12240" w:h="15840"/>
          <w:pgMar w:top="1440" w:right="1440" w:bottom="1440" w:left="1440" w:header="720" w:footer="720" w:gutter="0"/>
          <w:pgNumType w:start="0"/>
          <w:cols w:space="720"/>
          <w:titlePg/>
          <w:docGrid w:linePitch="360"/>
        </w:sectPr>
      </w:pPr>
    </w:p>
    <w:p w:rsidR="004C3644" w:rsidRPr="00F552F0" w:rsidRDefault="004C3644">
      <w:pPr>
        <w:rPr>
          <w:sz w:val="2"/>
          <w:szCs w:val="2"/>
        </w:rPr>
      </w:pPr>
    </w:p>
    <w:tbl>
      <w:tblPr>
        <w:tblW w:w="14050" w:type="dxa"/>
        <w:tblInd w:w="-12" w:type="dxa"/>
        <w:tblBorders>
          <w:bottom w:val="single" w:sz="4" w:space="0" w:color="auto"/>
        </w:tblBorders>
        <w:tblLayout w:type="fixed"/>
        <w:tblLook w:val="01E0" w:firstRow="1" w:lastRow="1" w:firstColumn="1" w:lastColumn="1" w:noHBand="0" w:noVBand="0"/>
      </w:tblPr>
      <w:tblGrid>
        <w:gridCol w:w="468"/>
        <w:gridCol w:w="3000"/>
        <w:gridCol w:w="880"/>
        <w:gridCol w:w="880"/>
        <w:gridCol w:w="880"/>
        <w:gridCol w:w="880"/>
        <w:gridCol w:w="880"/>
        <w:gridCol w:w="880"/>
        <w:gridCol w:w="880"/>
        <w:gridCol w:w="880"/>
        <w:gridCol w:w="880"/>
        <w:gridCol w:w="880"/>
        <w:gridCol w:w="880"/>
        <w:gridCol w:w="902"/>
      </w:tblGrid>
      <w:tr w:rsidR="00346CDA" w:rsidRPr="00F552F0" w:rsidTr="00E21501">
        <w:trPr>
          <w:trHeight w:val="513"/>
        </w:trPr>
        <w:tc>
          <w:tcPr>
            <w:tcW w:w="14050" w:type="dxa"/>
            <w:gridSpan w:val="14"/>
          </w:tcPr>
          <w:p w:rsidR="00E21501" w:rsidRPr="00F552F0" w:rsidRDefault="00346CDA">
            <w:pPr>
              <w:tabs>
                <w:tab w:val="left" w:pos="9360"/>
              </w:tabs>
              <w:autoSpaceDE w:val="0"/>
              <w:autoSpaceDN w:val="0"/>
              <w:adjustRightInd w:val="0"/>
              <w:rPr>
                <w:b/>
                <w:sz w:val="20"/>
                <w:szCs w:val="20"/>
              </w:rPr>
            </w:pPr>
            <w:r w:rsidRPr="00F552F0">
              <w:rPr>
                <w:b/>
                <w:sz w:val="20"/>
                <w:szCs w:val="20"/>
              </w:rPr>
              <w:t>Table 4</w:t>
            </w:r>
          </w:p>
          <w:p w:rsidR="00E21501" w:rsidRPr="00F552F0" w:rsidRDefault="003D5871">
            <w:pPr>
              <w:tabs>
                <w:tab w:val="left" w:pos="9360"/>
              </w:tabs>
              <w:autoSpaceDE w:val="0"/>
              <w:autoSpaceDN w:val="0"/>
              <w:adjustRightInd w:val="0"/>
              <w:rPr>
                <w:b/>
                <w:sz w:val="20"/>
                <w:szCs w:val="20"/>
              </w:rPr>
            </w:pPr>
            <w:r w:rsidRPr="00F552F0">
              <w:rPr>
                <w:sz w:val="20"/>
                <w:szCs w:val="20"/>
              </w:rPr>
              <w:t xml:space="preserve">Main </w:t>
            </w:r>
            <w:r w:rsidR="00346CDA" w:rsidRPr="00F552F0">
              <w:rPr>
                <w:sz w:val="20"/>
                <w:szCs w:val="20"/>
              </w:rPr>
              <w:t>v</w:t>
            </w:r>
            <w:r w:rsidRPr="00F552F0">
              <w:rPr>
                <w:sz w:val="20"/>
                <w:szCs w:val="20"/>
              </w:rPr>
              <w:t xml:space="preserve">ariables: Simple </w:t>
            </w:r>
            <w:r w:rsidR="00346CDA" w:rsidRPr="00F552F0">
              <w:rPr>
                <w:sz w:val="20"/>
                <w:szCs w:val="20"/>
              </w:rPr>
              <w:t>c</w:t>
            </w:r>
            <w:r w:rsidRPr="00F552F0">
              <w:rPr>
                <w:sz w:val="20"/>
                <w:szCs w:val="20"/>
              </w:rPr>
              <w:t xml:space="preserve">ross-sectional </w:t>
            </w:r>
            <w:r w:rsidR="00346CDA" w:rsidRPr="00F552F0">
              <w:rPr>
                <w:sz w:val="20"/>
                <w:szCs w:val="20"/>
              </w:rPr>
              <w:t>c</w:t>
            </w:r>
            <w:r w:rsidRPr="00F552F0">
              <w:rPr>
                <w:sz w:val="20"/>
                <w:szCs w:val="20"/>
              </w:rPr>
              <w:t xml:space="preserve">orrelation </w:t>
            </w:r>
            <w:r w:rsidR="00346CDA" w:rsidRPr="00F552F0">
              <w:rPr>
                <w:sz w:val="20"/>
                <w:szCs w:val="20"/>
              </w:rPr>
              <w:t>c</w:t>
            </w:r>
            <w:r w:rsidRPr="00F552F0">
              <w:rPr>
                <w:sz w:val="20"/>
                <w:szCs w:val="20"/>
              </w:rPr>
              <w:t>oefficient</w:t>
            </w:r>
            <w:r w:rsidR="00346CDA" w:rsidRPr="00F552F0">
              <w:rPr>
                <w:b/>
                <w:sz w:val="20"/>
                <w:szCs w:val="20"/>
              </w:rPr>
              <w:t>s</w:t>
            </w:r>
          </w:p>
        </w:tc>
      </w:tr>
      <w:tr w:rsidR="00346CDA" w:rsidRPr="00F552F0" w:rsidTr="00E21501">
        <w:trPr>
          <w:trHeight w:val="225"/>
        </w:trPr>
        <w:tc>
          <w:tcPr>
            <w:tcW w:w="14050" w:type="dxa"/>
            <w:gridSpan w:val="14"/>
            <w:tcBorders>
              <w:bottom w:val="nil"/>
            </w:tcBorders>
          </w:tcPr>
          <w:p w:rsidR="00811C61" w:rsidRPr="00F552F0" w:rsidRDefault="00346CDA" w:rsidP="00346CDA">
            <w:pPr>
              <w:autoSpaceDE w:val="0"/>
              <w:autoSpaceDN w:val="0"/>
              <w:adjustRightInd w:val="0"/>
              <w:rPr>
                <w:sz w:val="20"/>
                <w:szCs w:val="20"/>
              </w:rPr>
            </w:pPr>
            <w:r w:rsidRPr="00F552F0">
              <w:rPr>
                <w:sz w:val="20"/>
                <w:szCs w:val="20"/>
              </w:rPr>
              <w:t>The sample is</w:t>
            </w:r>
            <w:r w:rsidR="003D5871" w:rsidRPr="00F552F0">
              <w:rPr>
                <w:sz w:val="20"/>
                <w:szCs w:val="20"/>
              </w:rPr>
              <w:t xml:space="preserve"> described in Table</w:t>
            </w:r>
            <w:r w:rsidRPr="00F552F0">
              <w:rPr>
                <w:sz w:val="20"/>
                <w:szCs w:val="20"/>
              </w:rPr>
              <w:t xml:space="preserve"> </w:t>
            </w:r>
            <w:r w:rsidR="003D5871" w:rsidRPr="00F552F0">
              <w:rPr>
                <w:sz w:val="20"/>
                <w:szCs w:val="20"/>
              </w:rPr>
              <w:t>1. The variables and sources are defined in Table 3</w:t>
            </w:r>
            <w:r w:rsidRPr="00F552F0">
              <w:rPr>
                <w:sz w:val="20"/>
                <w:szCs w:val="20"/>
              </w:rPr>
              <w:t xml:space="preserve">. Numbers in parentheses are probability levels for rejecting the null hypothesis </w:t>
            </w:r>
          </w:p>
          <w:p w:rsidR="00346CDA" w:rsidRPr="00F552F0" w:rsidRDefault="00346CDA" w:rsidP="00346CDA">
            <w:pPr>
              <w:autoSpaceDE w:val="0"/>
              <w:autoSpaceDN w:val="0"/>
              <w:adjustRightInd w:val="0"/>
              <w:rPr>
                <w:sz w:val="20"/>
                <w:szCs w:val="20"/>
              </w:rPr>
            </w:pPr>
            <w:proofErr w:type="gramStart"/>
            <w:r w:rsidRPr="00F552F0">
              <w:rPr>
                <w:sz w:val="20"/>
                <w:szCs w:val="20"/>
              </w:rPr>
              <w:t>of</w:t>
            </w:r>
            <w:proofErr w:type="gramEnd"/>
            <w:r w:rsidRPr="00F552F0">
              <w:rPr>
                <w:sz w:val="20"/>
                <w:szCs w:val="20"/>
              </w:rPr>
              <w:t xml:space="preserve"> a zero correlation. Boldface indicates significance at 10% or better.</w:t>
            </w:r>
          </w:p>
        </w:tc>
      </w:tr>
      <w:tr w:rsidR="00E241AF" w:rsidRPr="00F552F0" w:rsidTr="00811C61">
        <w:trPr>
          <w:gridAfter w:val="1"/>
          <w:wAfter w:w="902" w:type="dxa"/>
        </w:trPr>
        <w:tc>
          <w:tcPr>
            <w:tcW w:w="468" w:type="dxa"/>
            <w:tcBorders>
              <w:bottom w:val="single" w:sz="4" w:space="0" w:color="auto"/>
            </w:tcBorders>
          </w:tcPr>
          <w:p w:rsidR="00E241AF" w:rsidRPr="00F552F0" w:rsidRDefault="00E241AF">
            <w:pPr>
              <w:rPr>
                <w:i/>
                <w:iCs/>
                <w:sz w:val="16"/>
                <w:szCs w:val="16"/>
              </w:rPr>
            </w:pPr>
          </w:p>
        </w:tc>
        <w:tc>
          <w:tcPr>
            <w:tcW w:w="3000" w:type="dxa"/>
            <w:tcBorders>
              <w:bottom w:val="single" w:sz="4" w:space="0" w:color="auto"/>
            </w:tcBorders>
          </w:tcPr>
          <w:p w:rsidR="00E241AF" w:rsidRPr="00F552F0" w:rsidRDefault="00E241AF">
            <w:pPr>
              <w:rPr>
                <w:i/>
                <w:iCs/>
                <w:sz w:val="16"/>
                <w:szCs w:val="16"/>
              </w:rPr>
            </w:pP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1</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2</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3</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4</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5</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6</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7</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8</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9</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10</w:t>
            </w:r>
          </w:p>
        </w:tc>
        <w:tc>
          <w:tcPr>
            <w:tcW w:w="880" w:type="dxa"/>
            <w:tcBorders>
              <w:bottom w:val="single" w:sz="4" w:space="0" w:color="auto"/>
            </w:tcBorders>
            <w:vAlign w:val="bottom"/>
          </w:tcPr>
          <w:p w:rsidR="00E241AF" w:rsidRPr="00F552F0" w:rsidRDefault="00E241AF">
            <w:pPr>
              <w:jc w:val="center"/>
              <w:rPr>
                <w:i/>
                <w:sz w:val="16"/>
                <w:szCs w:val="16"/>
              </w:rPr>
            </w:pPr>
            <w:r w:rsidRPr="00F552F0">
              <w:rPr>
                <w:i/>
                <w:sz w:val="16"/>
                <w:szCs w:val="16"/>
              </w:rPr>
              <w:t>11</w:t>
            </w:r>
          </w:p>
        </w:tc>
      </w:tr>
      <w:tr w:rsidR="00E241AF" w:rsidRPr="00F552F0" w:rsidTr="00785017">
        <w:tblPrEx>
          <w:tblBorders>
            <w:bottom w:val="none" w:sz="0" w:space="0" w:color="auto"/>
          </w:tblBorders>
        </w:tblPrEx>
        <w:trPr>
          <w:gridAfter w:val="1"/>
          <w:wAfter w:w="902" w:type="dxa"/>
        </w:trPr>
        <w:tc>
          <w:tcPr>
            <w:tcW w:w="468" w:type="dxa"/>
            <w:tcBorders>
              <w:top w:val="single" w:sz="4" w:space="0" w:color="auto"/>
            </w:tcBorders>
          </w:tcPr>
          <w:p w:rsidR="00E241AF" w:rsidRPr="00F552F0" w:rsidRDefault="00E241AF" w:rsidP="007C74B7">
            <w:pPr>
              <w:rPr>
                <w:i/>
                <w:iCs/>
                <w:sz w:val="16"/>
                <w:szCs w:val="16"/>
              </w:rPr>
            </w:pPr>
            <w:r w:rsidRPr="00F552F0">
              <w:rPr>
                <w:i/>
                <w:iCs/>
                <w:sz w:val="16"/>
                <w:szCs w:val="16"/>
              </w:rPr>
              <w:t>1</w:t>
            </w:r>
          </w:p>
        </w:tc>
        <w:tc>
          <w:tcPr>
            <w:tcW w:w="3000" w:type="dxa"/>
            <w:tcBorders>
              <w:top w:val="single" w:sz="4" w:space="0" w:color="auto"/>
            </w:tcBorders>
          </w:tcPr>
          <w:p w:rsidR="00E241AF" w:rsidRPr="00F552F0" w:rsidRDefault="00E241AF" w:rsidP="007C74B7">
            <w:pPr>
              <w:rPr>
                <w:sz w:val="16"/>
                <w:szCs w:val="16"/>
              </w:rPr>
            </w:pPr>
            <w:r w:rsidRPr="00F552F0">
              <w:rPr>
                <w:iCs/>
                <w:sz w:val="16"/>
                <w:szCs w:val="16"/>
              </w:rPr>
              <w:t>Family</w:t>
            </w:r>
          </w:p>
        </w:tc>
        <w:tc>
          <w:tcPr>
            <w:tcW w:w="880" w:type="dxa"/>
            <w:tcBorders>
              <w:top w:val="single" w:sz="4" w:space="0" w:color="auto"/>
            </w:tcBorders>
            <w:vAlign w:val="bottom"/>
          </w:tcPr>
          <w:p w:rsidR="00E241AF" w:rsidRPr="00F552F0" w:rsidRDefault="00E241AF" w:rsidP="007C74B7">
            <w:pPr>
              <w:jc w:val="center"/>
              <w:rPr>
                <w:sz w:val="16"/>
                <w:szCs w:val="16"/>
              </w:rPr>
            </w:pPr>
            <w:r w:rsidRPr="00F552F0">
              <w:rPr>
                <w:sz w:val="16"/>
                <w:szCs w:val="16"/>
              </w:rPr>
              <w:t>1.00</w:t>
            </w: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c>
          <w:tcPr>
            <w:tcW w:w="880" w:type="dxa"/>
            <w:tcBorders>
              <w:top w:val="single" w:sz="4" w:space="0" w:color="auto"/>
            </w:tcBorders>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2</w:t>
            </w:r>
          </w:p>
        </w:tc>
        <w:tc>
          <w:tcPr>
            <w:tcW w:w="3000" w:type="dxa"/>
          </w:tcPr>
          <w:p w:rsidR="00E241AF" w:rsidRPr="00F552F0" w:rsidRDefault="00E241AF" w:rsidP="007C74B7">
            <w:pPr>
              <w:rPr>
                <w:sz w:val="16"/>
                <w:szCs w:val="16"/>
              </w:rPr>
            </w:pPr>
            <w:r w:rsidRPr="00F552F0">
              <w:rPr>
                <w:iCs/>
                <w:sz w:val="16"/>
                <w:szCs w:val="16"/>
              </w:rPr>
              <w:t>State</w:t>
            </w:r>
          </w:p>
        </w:tc>
        <w:tc>
          <w:tcPr>
            <w:tcW w:w="880" w:type="dxa"/>
            <w:vAlign w:val="bottom"/>
          </w:tcPr>
          <w:p w:rsidR="00E241AF" w:rsidRPr="00F552F0" w:rsidRDefault="00E241AF" w:rsidP="007C74B7">
            <w:pPr>
              <w:jc w:val="center"/>
              <w:rPr>
                <w:sz w:val="16"/>
                <w:szCs w:val="16"/>
              </w:rPr>
            </w:pPr>
            <w:r w:rsidRPr="00F552F0">
              <w:rPr>
                <w:sz w:val="16"/>
                <w:szCs w:val="16"/>
              </w:rPr>
              <w:t>-0.20</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r w:rsidRPr="00F552F0">
              <w:rPr>
                <w:sz w:val="16"/>
                <w:szCs w:val="16"/>
              </w:rPr>
              <w:t>(0.19)</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Height w:val="90"/>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3</w:t>
            </w:r>
          </w:p>
        </w:tc>
        <w:tc>
          <w:tcPr>
            <w:tcW w:w="3000" w:type="dxa"/>
          </w:tcPr>
          <w:p w:rsidR="00E241AF" w:rsidRPr="00F552F0" w:rsidRDefault="00E241AF" w:rsidP="007C74B7">
            <w:pPr>
              <w:rPr>
                <w:sz w:val="16"/>
                <w:szCs w:val="16"/>
              </w:rPr>
            </w:pPr>
            <w:r w:rsidRPr="00F552F0">
              <w:rPr>
                <w:iCs/>
                <w:sz w:val="16"/>
                <w:szCs w:val="16"/>
              </w:rPr>
              <w:t>Widely held</w:t>
            </w:r>
          </w:p>
        </w:tc>
        <w:tc>
          <w:tcPr>
            <w:tcW w:w="880" w:type="dxa"/>
            <w:vAlign w:val="bottom"/>
          </w:tcPr>
          <w:p w:rsidR="00E241AF" w:rsidRPr="00F552F0" w:rsidRDefault="00E241AF" w:rsidP="007C74B7">
            <w:pPr>
              <w:jc w:val="center"/>
              <w:rPr>
                <w:b/>
                <w:sz w:val="16"/>
                <w:szCs w:val="16"/>
              </w:rPr>
            </w:pPr>
            <w:r w:rsidRPr="00F552F0">
              <w:rPr>
                <w:b/>
                <w:sz w:val="16"/>
                <w:szCs w:val="16"/>
              </w:rPr>
              <w:t>-0.60</w:t>
            </w:r>
          </w:p>
        </w:tc>
        <w:tc>
          <w:tcPr>
            <w:tcW w:w="880" w:type="dxa"/>
            <w:vAlign w:val="bottom"/>
          </w:tcPr>
          <w:p w:rsidR="00E241AF" w:rsidRPr="00F552F0" w:rsidRDefault="00E241AF" w:rsidP="007C74B7">
            <w:pPr>
              <w:jc w:val="center"/>
              <w:rPr>
                <w:b/>
                <w:sz w:val="16"/>
                <w:szCs w:val="16"/>
              </w:rPr>
            </w:pPr>
            <w:r w:rsidRPr="00F552F0">
              <w:rPr>
                <w:b/>
                <w:sz w:val="16"/>
                <w:szCs w:val="16"/>
              </w:rPr>
              <w:t>-0.66</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Height w:val="206"/>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4</w:t>
            </w:r>
          </w:p>
        </w:tc>
        <w:tc>
          <w:tcPr>
            <w:tcW w:w="3000" w:type="dxa"/>
          </w:tcPr>
          <w:p w:rsidR="00E241AF" w:rsidRPr="00F552F0" w:rsidRDefault="00E241AF" w:rsidP="007C74B7">
            <w:pPr>
              <w:rPr>
                <w:sz w:val="16"/>
                <w:szCs w:val="16"/>
              </w:rPr>
            </w:pPr>
            <w:r w:rsidRPr="00F552F0">
              <w:rPr>
                <w:i/>
                <w:sz w:val="16"/>
                <w:szCs w:val="16"/>
              </w:rPr>
              <w:t>Capital allocation efficiency, 1963–2003</w:t>
            </w:r>
          </w:p>
        </w:tc>
        <w:tc>
          <w:tcPr>
            <w:tcW w:w="880" w:type="dxa"/>
            <w:vAlign w:val="bottom"/>
          </w:tcPr>
          <w:p w:rsidR="00E241AF" w:rsidRPr="00F552F0" w:rsidRDefault="00E241AF" w:rsidP="007C74B7">
            <w:pPr>
              <w:jc w:val="center"/>
              <w:rPr>
                <w:sz w:val="16"/>
                <w:szCs w:val="16"/>
              </w:rPr>
            </w:pPr>
            <w:r w:rsidRPr="00F552F0">
              <w:rPr>
                <w:sz w:val="16"/>
                <w:szCs w:val="16"/>
              </w:rPr>
              <w:t>-0.21</w:t>
            </w:r>
          </w:p>
        </w:tc>
        <w:tc>
          <w:tcPr>
            <w:tcW w:w="880" w:type="dxa"/>
            <w:vAlign w:val="bottom"/>
          </w:tcPr>
          <w:p w:rsidR="00E241AF" w:rsidRPr="00F552F0" w:rsidRDefault="00E241AF" w:rsidP="007C74B7">
            <w:pPr>
              <w:jc w:val="center"/>
              <w:rPr>
                <w:b/>
                <w:sz w:val="16"/>
                <w:szCs w:val="16"/>
              </w:rPr>
            </w:pPr>
            <w:r w:rsidRPr="00F552F0">
              <w:rPr>
                <w:b/>
                <w:sz w:val="16"/>
                <w:szCs w:val="16"/>
              </w:rPr>
              <w:t>-0.65</w:t>
            </w:r>
          </w:p>
        </w:tc>
        <w:tc>
          <w:tcPr>
            <w:tcW w:w="880" w:type="dxa"/>
            <w:vAlign w:val="bottom"/>
          </w:tcPr>
          <w:p w:rsidR="00E241AF" w:rsidRPr="00F552F0" w:rsidRDefault="00E241AF" w:rsidP="007C74B7">
            <w:pPr>
              <w:jc w:val="center"/>
              <w:rPr>
                <w:b/>
                <w:sz w:val="16"/>
                <w:szCs w:val="16"/>
              </w:rPr>
            </w:pPr>
            <w:r w:rsidRPr="00F552F0">
              <w:rPr>
                <w:b/>
                <w:sz w:val="16"/>
                <w:szCs w:val="16"/>
              </w:rPr>
              <w:t>0.70</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r w:rsidRPr="00F552F0">
              <w:rPr>
                <w:sz w:val="16"/>
                <w:szCs w:val="16"/>
              </w:rPr>
              <w:t>(0.19)</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5</w:t>
            </w:r>
          </w:p>
        </w:tc>
        <w:tc>
          <w:tcPr>
            <w:tcW w:w="3000" w:type="dxa"/>
          </w:tcPr>
          <w:p w:rsidR="00E241AF" w:rsidRPr="00F552F0" w:rsidRDefault="00E241AF" w:rsidP="007C74B7">
            <w:pPr>
              <w:rPr>
                <w:sz w:val="16"/>
                <w:szCs w:val="16"/>
              </w:rPr>
            </w:pPr>
            <w:r w:rsidRPr="00F552F0">
              <w:rPr>
                <w:i/>
                <w:sz w:val="16"/>
                <w:szCs w:val="16"/>
              </w:rPr>
              <w:t>Capital allocation efficiency, 1993–2003</w:t>
            </w:r>
          </w:p>
        </w:tc>
        <w:tc>
          <w:tcPr>
            <w:tcW w:w="880" w:type="dxa"/>
            <w:vAlign w:val="bottom"/>
          </w:tcPr>
          <w:p w:rsidR="00E241AF" w:rsidRPr="00F552F0" w:rsidRDefault="00E241AF" w:rsidP="007C74B7">
            <w:pPr>
              <w:jc w:val="center"/>
              <w:rPr>
                <w:b/>
                <w:sz w:val="16"/>
                <w:szCs w:val="16"/>
              </w:rPr>
            </w:pPr>
            <w:r w:rsidRPr="00F552F0">
              <w:rPr>
                <w:b/>
                <w:sz w:val="16"/>
                <w:szCs w:val="16"/>
              </w:rPr>
              <w:t>-0.30</w:t>
            </w:r>
          </w:p>
        </w:tc>
        <w:tc>
          <w:tcPr>
            <w:tcW w:w="880" w:type="dxa"/>
            <w:vAlign w:val="bottom"/>
          </w:tcPr>
          <w:p w:rsidR="00E241AF" w:rsidRPr="00F552F0" w:rsidRDefault="00E241AF" w:rsidP="007C74B7">
            <w:pPr>
              <w:jc w:val="center"/>
              <w:rPr>
                <w:sz w:val="16"/>
                <w:szCs w:val="16"/>
              </w:rPr>
            </w:pPr>
            <w:r w:rsidRPr="00F552F0">
              <w:rPr>
                <w:sz w:val="16"/>
                <w:szCs w:val="16"/>
              </w:rPr>
              <w:t>-0.24</w:t>
            </w:r>
          </w:p>
        </w:tc>
        <w:tc>
          <w:tcPr>
            <w:tcW w:w="880" w:type="dxa"/>
            <w:vAlign w:val="bottom"/>
          </w:tcPr>
          <w:p w:rsidR="00E241AF" w:rsidRPr="00F552F0" w:rsidRDefault="00E241AF" w:rsidP="007C74B7">
            <w:pPr>
              <w:jc w:val="center"/>
              <w:rPr>
                <w:b/>
                <w:sz w:val="16"/>
                <w:szCs w:val="16"/>
              </w:rPr>
            </w:pPr>
            <w:r w:rsidRPr="00F552F0">
              <w:rPr>
                <w:b/>
                <w:sz w:val="16"/>
                <w:szCs w:val="16"/>
              </w:rPr>
              <w:t>0.43</w:t>
            </w:r>
          </w:p>
        </w:tc>
        <w:tc>
          <w:tcPr>
            <w:tcW w:w="880" w:type="dxa"/>
            <w:vAlign w:val="bottom"/>
          </w:tcPr>
          <w:p w:rsidR="00E241AF" w:rsidRPr="00F552F0" w:rsidRDefault="00E241AF" w:rsidP="007C74B7">
            <w:pPr>
              <w:jc w:val="center"/>
              <w:rPr>
                <w:b/>
                <w:sz w:val="16"/>
                <w:szCs w:val="16"/>
              </w:rPr>
            </w:pPr>
            <w:r w:rsidRPr="00F552F0">
              <w:rPr>
                <w:b/>
                <w:sz w:val="16"/>
                <w:szCs w:val="16"/>
              </w:rPr>
              <w:t>0.54</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(0.09)</w:t>
            </w:r>
          </w:p>
        </w:tc>
        <w:tc>
          <w:tcPr>
            <w:tcW w:w="880" w:type="dxa"/>
            <w:vAlign w:val="bottom"/>
          </w:tcPr>
          <w:p w:rsidR="00E241AF" w:rsidRPr="00F552F0" w:rsidRDefault="00E241AF" w:rsidP="007C74B7">
            <w:pPr>
              <w:jc w:val="center"/>
              <w:rPr>
                <w:sz w:val="16"/>
                <w:szCs w:val="16"/>
              </w:rPr>
            </w:pPr>
            <w:r w:rsidRPr="00F552F0">
              <w:rPr>
                <w:sz w:val="16"/>
                <w:szCs w:val="16"/>
              </w:rPr>
              <w:t>(0.18)</w:t>
            </w:r>
          </w:p>
        </w:tc>
        <w:tc>
          <w:tcPr>
            <w:tcW w:w="880" w:type="dxa"/>
            <w:vAlign w:val="bottom"/>
          </w:tcPr>
          <w:p w:rsidR="00E241AF" w:rsidRPr="00F552F0" w:rsidRDefault="00E241AF" w:rsidP="007C74B7">
            <w:pPr>
              <w:jc w:val="center"/>
              <w:rPr>
                <w:b/>
                <w:sz w:val="16"/>
                <w:szCs w:val="16"/>
              </w:rPr>
            </w:pPr>
            <w:r w:rsidRPr="00F552F0">
              <w:rPr>
                <w:b/>
                <w:sz w:val="16"/>
                <w:szCs w:val="16"/>
              </w:rPr>
              <w:t>(0.01)</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6</w:t>
            </w:r>
          </w:p>
        </w:tc>
        <w:tc>
          <w:tcPr>
            <w:tcW w:w="3000" w:type="dxa"/>
          </w:tcPr>
          <w:p w:rsidR="00E241AF" w:rsidRPr="00F552F0" w:rsidRDefault="00E241AF" w:rsidP="007C74B7">
            <w:pPr>
              <w:rPr>
                <w:sz w:val="16"/>
                <w:szCs w:val="16"/>
              </w:rPr>
            </w:pPr>
            <w:r w:rsidRPr="00F552F0">
              <w:rPr>
                <w:iCs/>
                <w:sz w:val="16"/>
                <w:szCs w:val="16"/>
              </w:rPr>
              <w:t>Nonperforming loans</w:t>
            </w:r>
          </w:p>
        </w:tc>
        <w:tc>
          <w:tcPr>
            <w:tcW w:w="880" w:type="dxa"/>
            <w:vAlign w:val="bottom"/>
          </w:tcPr>
          <w:p w:rsidR="00E241AF" w:rsidRPr="00F552F0" w:rsidRDefault="00E241AF" w:rsidP="007C74B7">
            <w:pPr>
              <w:jc w:val="center"/>
              <w:rPr>
                <w:b/>
                <w:sz w:val="16"/>
                <w:szCs w:val="16"/>
              </w:rPr>
            </w:pPr>
            <w:r w:rsidRPr="00F552F0">
              <w:rPr>
                <w:b/>
                <w:sz w:val="16"/>
                <w:szCs w:val="16"/>
              </w:rPr>
              <w:t>0.30</w:t>
            </w:r>
          </w:p>
        </w:tc>
        <w:tc>
          <w:tcPr>
            <w:tcW w:w="880" w:type="dxa"/>
            <w:vAlign w:val="bottom"/>
          </w:tcPr>
          <w:p w:rsidR="00E241AF" w:rsidRPr="00F552F0" w:rsidRDefault="00E241AF" w:rsidP="007C74B7">
            <w:pPr>
              <w:jc w:val="center"/>
              <w:rPr>
                <w:b/>
                <w:sz w:val="16"/>
                <w:szCs w:val="16"/>
              </w:rPr>
            </w:pPr>
            <w:r w:rsidRPr="00F552F0">
              <w:rPr>
                <w:b/>
                <w:sz w:val="16"/>
                <w:szCs w:val="16"/>
              </w:rPr>
              <w:t>0.58</w:t>
            </w:r>
          </w:p>
        </w:tc>
        <w:tc>
          <w:tcPr>
            <w:tcW w:w="880" w:type="dxa"/>
            <w:vAlign w:val="bottom"/>
          </w:tcPr>
          <w:p w:rsidR="00E241AF" w:rsidRPr="00F552F0" w:rsidRDefault="00E241AF" w:rsidP="007C74B7">
            <w:pPr>
              <w:jc w:val="center"/>
              <w:rPr>
                <w:b/>
                <w:sz w:val="16"/>
                <w:szCs w:val="16"/>
              </w:rPr>
            </w:pPr>
            <w:r w:rsidRPr="00F552F0">
              <w:rPr>
                <w:b/>
                <w:sz w:val="16"/>
                <w:szCs w:val="16"/>
              </w:rPr>
              <w:t>-0.70</w:t>
            </w:r>
          </w:p>
        </w:tc>
        <w:tc>
          <w:tcPr>
            <w:tcW w:w="880" w:type="dxa"/>
            <w:vAlign w:val="bottom"/>
          </w:tcPr>
          <w:p w:rsidR="00E241AF" w:rsidRPr="00F552F0" w:rsidRDefault="00E241AF" w:rsidP="007C74B7">
            <w:pPr>
              <w:jc w:val="center"/>
              <w:rPr>
                <w:b/>
                <w:sz w:val="16"/>
                <w:szCs w:val="16"/>
              </w:rPr>
            </w:pPr>
            <w:r w:rsidRPr="00F552F0">
              <w:rPr>
                <w:b/>
                <w:sz w:val="16"/>
                <w:szCs w:val="16"/>
              </w:rPr>
              <w:t>-0.63</w:t>
            </w:r>
          </w:p>
        </w:tc>
        <w:tc>
          <w:tcPr>
            <w:tcW w:w="880" w:type="dxa"/>
            <w:vAlign w:val="bottom"/>
          </w:tcPr>
          <w:p w:rsidR="00E241AF" w:rsidRPr="00F552F0" w:rsidRDefault="00E241AF" w:rsidP="007C74B7">
            <w:pPr>
              <w:jc w:val="center"/>
              <w:rPr>
                <w:b/>
                <w:sz w:val="16"/>
                <w:szCs w:val="16"/>
              </w:rPr>
            </w:pPr>
            <w:r w:rsidRPr="00F552F0">
              <w:rPr>
                <w:b/>
                <w:sz w:val="16"/>
                <w:szCs w:val="16"/>
              </w:rPr>
              <w:t>-0.37</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(0.05)</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(0.03)</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7</w:t>
            </w:r>
          </w:p>
        </w:tc>
        <w:tc>
          <w:tcPr>
            <w:tcW w:w="3000" w:type="dxa"/>
          </w:tcPr>
          <w:p w:rsidR="00E241AF" w:rsidRPr="00F552F0" w:rsidRDefault="00E241AF" w:rsidP="007C74B7">
            <w:pPr>
              <w:rPr>
                <w:sz w:val="16"/>
                <w:szCs w:val="16"/>
              </w:rPr>
            </w:pPr>
            <w:r w:rsidRPr="00F552F0">
              <w:rPr>
                <w:iCs/>
                <w:sz w:val="16"/>
                <w:szCs w:val="16"/>
              </w:rPr>
              <w:t xml:space="preserve">Banking crises </w:t>
            </w:r>
          </w:p>
        </w:tc>
        <w:tc>
          <w:tcPr>
            <w:tcW w:w="880" w:type="dxa"/>
            <w:vAlign w:val="bottom"/>
          </w:tcPr>
          <w:p w:rsidR="00E241AF" w:rsidRPr="00F552F0" w:rsidRDefault="00E241AF" w:rsidP="007C74B7">
            <w:pPr>
              <w:jc w:val="center"/>
              <w:rPr>
                <w:b/>
                <w:sz w:val="16"/>
                <w:szCs w:val="16"/>
              </w:rPr>
            </w:pPr>
            <w:r w:rsidRPr="00F552F0">
              <w:rPr>
                <w:b/>
                <w:sz w:val="16"/>
                <w:szCs w:val="16"/>
              </w:rPr>
              <w:t>0.35</w:t>
            </w:r>
          </w:p>
        </w:tc>
        <w:tc>
          <w:tcPr>
            <w:tcW w:w="880" w:type="dxa"/>
            <w:vAlign w:val="bottom"/>
          </w:tcPr>
          <w:p w:rsidR="00E241AF" w:rsidRPr="00F552F0" w:rsidRDefault="00E241AF" w:rsidP="007C74B7">
            <w:pPr>
              <w:jc w:val="center"/>
              <w:rPr>
                <w:sz w:val="16"/>
                <w:szCs w:val="16"/>
              </w:rPr>
            </w:pPr>
            <w:r w:rsidRPr="00F552F0">
              <w:rPr>
                <w:sz w:val="16"/>
                <w:szCs w:val="16"/>
              </w:rPr>
              <w:t>0.01</w:t>
            </w:r>
          </w:p>
        </w:tc>
        <w:tc>
          <w:tcPr>
            <w:tcW w:w="880" w:type="dxa"/>
            <w:vAlign w:val="bottom"/>
          </w:tcPr>
          <w:p w:rsidR="00E241AF" w:rsidRPr="00F552F0" w:rsidRDefault="00E241AF" w:rsidP="007C74B7">
            <w:pPr>
              <w:jc w:val="center"/>
              <w:rPr>
                <w:b/>
                <w:sz w:val="16"/>
                <w:szCs w:val="16"/>
              </w:rPr>
            </w:pPr>
            <w:r w:rsidRPr="00F552F0">
              <w:rPr>
                <w:b/>
                <w:sz w:val="16"/>
                <w:szCs w:val="16"/>
              </w:rPr>
              <w:t>-0.28</w:t>
            </w:r>
          </w:p>
        </w:tc>
        <w:tc>
          <w:tcPr>
            <w:tcW w:w="880" w:type="dxa"/>
            <w:vAlign w:val="bottom"/>
          </w:tcPr>
          <w:p w:rsidR="00E241AF" w:rsidRPr="00F552F0" w:rsidRDefault="00E241AF" w:rsidP="007C74B7">
            <w:pPr>
              <w:jc w:val="center"/>
              <w:rPr>
                <w:sz w:val="16"/>
                <w:szCs w:val="16"/>
              </w:rPr>
            </w:pPr>
            <w:r w:rsidRPr="00F552F0">
              <w:rPr>
                <w:sz w:val="16"/>
                <w:szCs w:val="16"/>
              </w:rPr>
              <w:t>-0.26</w:t>
            </w:r>
          </w:p>
        </w:tc>
        <w:tc>
          <w:tcPr>
            <w:tcW w:w="880" w:type="dxa"/>
            <w:vAlign w:val="bottom"/>
          </w:tcPr>
          <w:p w:rsidR="00E241AF" w:rsidRPr="00F552F0" w:rsidRDefault="00E241AF" w:rsidP="007C74B7">
            <w:pPr>
              <w:jc w:val="center"/>
              <w:rPr>
                <w:sz w:val="16"/>
                <w:szCs w:val="16"/>
              </w:rPr>
            </w:pPr>
            <w:r w:rsidRPr="00F552F0">
              <w:rPr>
                <w:sz w:val="16"/>
                <w:szCs w:val="16"/>
              </w:rPr>
              <w:t>0.02</w:t>
            </w:r>
          </w:p>
        </w:tc>
        <w:tc>
          <w:tcPr>
            <w:tcW w:w="880" w:type="dxa"/>
            <w:vAlign w:val="bottom"/>
          </w:tcPr>
          <w:p w:rsidR="00E241AF" w:rsidRPr="00F552F0" w:rsidRDefault="00E241AF" w:rsidP="007C74B7">
            <w:pPr>
              <w:jc w:val="center"/>
              <w:rPr>
                <w:b/>
                <w:sz w:val="16"/>
                <w:szCs w:val="16"/>
              </w:rPr>
            </w:pPr>
            <w:r w:rsidRPr="00F552F0">
              <w:rPr>
                <w:b/>
                <w:sz w:val="16"/>
                <w:szCs w:val="16"/>
              </w:rPr>
              <w:t>0.32</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(0.02)</w:t>
            </w:r>
          </w:p>
        </w:tc>
        <w:tc>
          <w:tcPr>
            <w:tcW w:w="880" w:type="dxa"/>
            <w:vAlign w:val="bottom"/>
          </w:tcPr>
          <w:p w:rsidR="00E241AF" w:rsidRPr="00F552F0" w:rsidRDefault="00E241AF" w:rsidP="007C74B7">
            <w:pPr>
              <w:jc w:val="center"/>
              <w:rPr>
                <w:sz w:val="16"/>
                <w:szCs w:val="16"/>
              </w:rPr>
            </w:pPr>
            <w:r w:rsidRPr="00F552F0">
              <w:rPr>
                <w:sz w:val="16"/>
                <w:szCs w:val="16"/>
              </w:rPr>
              <w:t>(0.95)</w:t>
            </w:r>
          </w:p>
        </w:tc>
        <w:tc>
          <w:tcPr>
            <w:tcW w:w="880" w:type="dxa"/>
            <w:vAlign w:val="bottom"/>
          </w:tcPr>
          <w:p w:rsidR="00E241AF" w:rsidRPr="00F552F0" w:rsidRDefault="00E241AF" w:rsidP="007C74B7">
            <w:pPr>
              <w:jc w:val="center"/>
              <w:rPr>
                <w:b/>
                <w:sz w:val="16"/>
                <w:szCs w:val="16"/>
              </w:rPr>
            </w:pPr>
            <w:r w:rsidRPr="00F552F0">
              <w:rPr>
                <w:b/>
                <w:sz w:val="16"/>
                <w:szCs w:val="16"/>
              </w:rPr>
              <w:t>(0.07)</w:t>
            </w:r>
          </w:p>
        </w:tc>
        <w:tc>
          <w:tcPr>
            <w:tcW w:w="880" w:type="dxa"/>
            <w:vAlign w:val="bottom"/>
          </w:tcPr>
          <w:p w:rsidR="00E241AF" w:rsidRPr="00F552F0" w:rsidRDefault="00E241AF" w:rsidP="007C74B7">
            <w:pPr>
              <w:jc w:val="center"/>
              <w:rPr>
                <w:sz w:val="16"/>
                <w:szCs w:val="16"/>
              </w:rPr>
            </w:pPr>
            <w:r w:rsidRPr="00F552F0">
              <w:rPr>
                <w:sz w:val="16"/>
                <w:szCs w:val="16"/>
              </w:rPr>
              <w:t>(0.11)</w:t>
            </w:r>
          </w:p>
        </w:tc>
        <w:tc>
          <w:tcPr>
            <w:tcW w:w="880" w:type="dxa"/>
            <w:vAlign w:val="bottom"/>
          </w:tcPr>
          <w:p w:rsidR="00E241AF" w:rsidRPr="00F552F0" w:rsidRDefault="00E241AF" w:rsidP="007C74B7">
            <w:pPr>
              <w:jc w:val="center"/>
              <w:rPr>
                <w:sz w:val="16"/>
                <w:szCs w:val="16"/>
              </w:rPr>
            </w:pPr>
            <w:r w:rsidRPr="00F552F0">
              <w:rPr>
                <w:sz w:val="16"/>
                <w:szCs w:val="16"/>
              </w:rPr>
              <w:t>(0.91)</w:t>
            </w:r>
          </w:p>
        </w:tc>
        <w:tc>
          <w:tcPr>
            <w:tcW w:w="880" w:type="dxa"/>
            <w:vAlign w:val="bottom"/>
          </w:tcPr>
          <w:p w:rsidR="00E241AF" w:rsidRPr="00F552F0" w:rsidRDefault="00E241AF" w:rsidP="007C74B7">
            <w:pPr>
              <w:jc w:val="center"/>
              <w:rPr>
                <w:b/>
                <w:sz w:val="16"/>
                <w:szCs w:val="16"/>
              </w:rPr>
            </w:pPr>
            <w:r w:rsidRPr="00F552F0">
              <w:rPr>
                <w:b/>
                <w:sz w:val="16"/>
                <w:szCs w:val="16"/>
              </w:rPr>
              <w:t>(0.04)</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8</w:t>
            </w:r>
          </w:p>
        </w:tc>
        <w:tc>
          <w:tcPr>
            <w:tcW w:w="3000" w:type="dxa"/>
          </w:tcPr>
          <w:p w:rsidR="00E241AF" w:rsidRPr="00F552F0" w:rsidRDefault="00E241AF" w:rsidP="007C74B7">
            <w:pPr>
              <w:rPr>
                <w:sz w:val="16"/>
                <w:szCs w:val="16"/>
              </w:rPr>
            </w:pPr>
            <w:r w:rsidRPr="00F552F0">
              <w:rPr>
                <w:iCs/>
                <w:sz w:val="16"/>
                <w:szCs w:val="16"/>
              </w:rPr>
              <w:t>Income growth</w:t>
            </w:r>
          </w:p>
        </w:tc>
        <w:tc>
          <w:tcPr>
            <w:tcW w:w="880" w:type="dxa"/>
            <w:vAlign w:val="bottom"/>
          </w:tcPr>
          <w:p w:rsidR="00E241AF" w:rsidRPr="00F552F0" w:rsidRDefault="00E241AF" w:rsidP="007C74B7">
            <w:pPr>
              <w:jc w:val="center"/>
              <w:rPr>
                <w:b/>
                <w:sz w:val="16"/>
                <w:szCs w:val="16"/>
              </w:rPr>
            </w:pPr>
            <w:r w:rsidRPr="00F552F0">
              <w:rPr>
                <w:b/>
                <w:sz w:val="16"/>
                <w:szCs w:val="16"/>
              </w:rPr>
              <w:t>-0.25</w:t>
            </w:r>
          </w:p>
        </w:tc>
        <w:tc>
          <w:tcPr>
            <w:tcW w:w="880" w:type="dxa"/>
            <w:vAlign w:val="bottom"/>
          </w:tcPr>
          <w:p w:rsidR="00E241AF" w:rsidRPr="00F552F0" w:rsidRDefault="00E241AF" w:rsidP="007C74B7">
            <w:pPr>
              <w:jc w:val="center"/>
              <w:rPr>
                <w:sz w:val="16"/>
                <w:szCs w:val="16"/>
              </w:rPr>
            </w:pPr>
            <w:r w:rsidRPr="00F552F0">
              <w:rPr>
                <w:sz w:val="16"/>
                <w:szCs w:val="16"/>
              </w:rPr>
              <w:t>0.03</w:t>
            </w:r>
          </w:p>
        </w:tc>
        <w:tc>
          <w:tcPr>
            <w:tcW w:w="880" w:type="dxa"/>
            <w:vAlign w:val="bottom"/>
          </w:tcPr>
          <w:p w:rsidR="00E241AF" w:rsidRPr="00F552F0" w:rsidRDefault="00E241AF" w:rsidP="007C74B7">
            <w:pPr>
              <w:jc w:val="center"/>
              <w:rPr>
                <w:sz w:val="16"/>
                <w:szCs w:val="16"/>
              </w:rPr>
            </w:pPr>
            <w:r w:rsidRPr="00F552F0">
              <w:rPr>
                <w:sz w:val="16"/>
                <w:szCs w:val="16"/>
              </w:rPr>
              <w:t>0.17</w:t>
            </w:r>
          </w:p>
        </w:tc>
        <w:tc>
          <w:tcPr>
            <w:tcW w:w="880" w:type="dxa"/>
            <w:vAlign w:val="bottom"/>
          </w:tcPr>
          <w:p w:rsidR="00E241AF" w:rsidRPr="00F552F0" w:rsidRDefault="00E241AF" w:rsidP="007C74B7">
            <w:pPr>
              <w:jc w:val="center"/>
              <w:rPr>
                <w:sz w:val="16"/>
                <w:szCs w:val="16"/>
              </w:rPr>
            </w:pPr>
            <w:r w:rsidRPr="00F552F0">
              <w:rPr>
                <w:sz w:val="16"/>
                <w:szCs w:val="16"/>
              </w:rPr>
              <w:t>0.16</w:t>
            </w:r>
          </w:p>
        </w:tc>
        <w:tc>
          <w:tcPr>
            <w:tcW w:w="880" w:type="dxa"/>
            <w:vAlign w:val="bottom"/>
          </w:tcPr>
          <w:p w:rsidR="00E241AF" w:rsidRPr="00F552F0" w:rsidRDefault="00E241AF" w:rsidP="007C74B7">
            <w:pPr>
              <w:jc w:val="center"/>
              <w:rPr>
                <w:sz w:val="16"/>
                <w:szCs w:val="16"/>
              </w:rPr>
            </w:pPr>
            <w:r w:rsidRPr="00F552F0">
              <w:rPr>
                <w:sz w:val="16"/>
                <w:szCs w:val="16"/>
              </w:rPr>
              <w:t>0.13</w:t>
            </w:r>
          </w:p>
        </w:tc>
        <w:tc>
          <w:tcPr>
            <w:tcW w:w="880" w:type="dxa"/>
            <w:vAlign w:val="bottom"/>
          </w:tcPr>
          <w:p w:rsidR="00E241AF" w:rsidRPr="00F552F0" w:rsidRDefault="00E241AF" w:rsidP="007C74B7">
            <w:pPr>
              <w:jc w:val="center"/>
              <w:rPr>
                <w:b/>
                <w:sz w:val="16"/>
                <w:szCs w:val="16"/>
              </w:rPr>
            </w:pPr>
            <w:r w:rsidRPr="00F552F0">
              <w:rPr>
                <w:b/>
                <w:sz w:val="16"/>
                <w:szCs w:val="16"/>
              </w:rPr>
              <w:t>-0.44</w:t>
            </w:r>
          </w:p>
        </w:tc>
        <w:tc>
          <w:tcPr>
            <w:tcW w:w="880" w:type="dxa"/>
            <w:vAlign w:val="bottom"/>
          </w:tcPr>
          <w:p w:rsidR="00E241AF" w:rsidRPr="00F552F0" w:rsidRDefault="00E241AF" w:rsidP="007C74B7">
            <w:pPr>
              <w:jc w:val="center"/>
              <w:rPr>
                <w:b/>
                <w:sz w:val="16"/>
                <w:szCs w:val="16"/>
              </w:rPr>
            </w:pPr>
            <w:r w:rsidRPr="00F552F0">
              <w:rPr>
                <w:b/>
                <w:sz w:val="16"/>
                <w:szCs w:val="16"/>
              </w:rPr>
              <w:t>-0.30</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(0.10)</w:t>
            </w:r>
          </w:p>
        </w:tc>
        <w:tc>
          <w:tcPr>
            <w:tcW w:w="880" w:type="dxa"/>
            <w:vAlign w:val="bottom"/>
          </w:tcPr>
          <w:p w:rsidR="00E241AF" w:rsidRPr="00F552F0" w:rsidRDefault="00E241AF" w:rsidP="007C74B7">
            <w:pPr>
              <w:jc w:val="center"/>
              <w:rPr>
                <w:sz w:val="16"/>
                <w:szCs w:val="16"/>
              </w:rPr>
            </w:pPr>
            <w:r w:rsidRPr="00F552F0">
              <w:rPr>
                <w:sz w:val="16"/>
                <w:szCs w:val="16"/>
              </w:rPr>
              <w:t>(0.87)</w:t>
            </w:r>
          </w:p>
        </w:tc>
        <w:tc>
          <w:tcPr>
            <w:tcW w:w="880" w:type="dxa"/>
            <w:vAlign w:val="bottom"/>
          </w:tcPr>
          <w:p w:rsidR="00E241AF" w:rsidRPr="00F552F0" w:rsidRDefault="00E241AF" w:rsidP="007C74B7">
            <w:pPr>
              <w:jc w:val="center"/>
              <w:rPr>
                <w:sz w:val="16"/>
                <w:szCs w:val="16"/>
              </w:rPr>
            </w:pPr>
            <w:r w:rsidRPr="00F552F0">
              <w:rPr>
                <w:sz w:val="16"/>
                <w:szCs w:val="16"/>
              </w:rPr>
              <w:t>(0.27)</w:t>
            </w:r>
          </w:p>
        </w:tc>
        <w:tc>
          <w:tcPr>
            <w:tcW w:w="880" w:type="dxa"/>
            <w:vAlign w:val="bottom"/>
          </w:tcPr>
          <w:p w:rsidR="00E241AF" w:rsidRPr="00F552F0" w:rsidRDefault="00E241AF" w:rsidP="007C74B7">
            <w:pPr>
              <w:jc w:val="center"/>
              <w:rPr>
                <w:sz w:val="16"/>
                <w:szCs w:val="16"/>
              </w:rPr>
            </w:pPr>
            <w:r w:rsidRPr="00F552F0">
              <w:rPr>
                <w:sz w:val="16"/>
                <w:szCs w:val="16"/>
              </w:rPr>
              <w:t>(0.32)</w:t>
            </w:r>
          </w:p>
        </w:tc>
        <w:tc>
          <w:tcPr>
            <w:tcW w:w="880" w:type="dxa"/>
            <w:vAlign w:val="bottom"/>
          </w:tcPr>
          <w:p w:rsidR="00E241AF" w:rsidRPr="00F552F0" w:rsidRDefault="00E241AF" w:rsidP="007C74B7">
            <w:pPr>
              <w:jc w:val="center"/>
              <w:rPr>
                <w:sz w:val="16"/>
                <w:szCs w:val="16"/>
              </w:rPr>
            </w:pPr>
            <w:r w:rsidRPr="00F552F0">
              <w:rPr>
                <w:sz w:val="16"/>
                <w:szCs w:val="16"/>
              </w:rPr>
              <w:t>(0.48)</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(0.0)5</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9</w:t>
            </w:r>
          </w:p>
        </w:tc>
        <w:tc>
          <w:tcPr>
            <w:tcW w:w="3000" w:type="dxa"/>
          </w:tcPr>
          <w:p w:rsidR="00E241AF" w:rsidRPr="00F552F0" w:rsidRDefault="00E241AF" w:rsidP="007C74B7">
            <w:pPr>
              <w:rPr>
                <w:sz w:val="16"/>
                <w:szCs w:val="16"/>
              </w:rPr>
            </w:pPr>
            <w:r w:rsidRPr="00F552F0">
              <w:rPr>
                <w:iCs/>
                <w:sz w:val="16"/>
                <w:szCs w:val="16"/>
              </w:rPr>
              <w:t>TFP growth</w:t>
            </w:r>
          </w:p>
        </w:tc>
        <w:tc>
          <w:tcPr>
            <w:tcW w:w="880" w:type="dxa"/>
            <w:vAlign w:val="bottom"/>
          </w:tcPr>
          <w:p w:rsidR="00E241AF" w:rsidRPr="00F552F0" w:rsidRDefault="00E241AF" w:rsidP="007C74B7">
            <w:pPr>
              <w:jc w:val="center"/>
              <w:rPr>
                <w:sz w:val="16"/>
                <w:szCs w:val="16"/>
              </w:rPr>
            </w:pPr>
            <w:r w:rsidRPr="00F552F0">
              <w:rPr>
                <w:sz w:val="16"/>
                <w:szCs w:val="16"/>
              </w:rPr>
              <w:t>-0.20</w:t>
            </w:r>
          </w:p>
        </w:tc>
        <w:tc>
          <w:tcPr>
            <w:tcW w:w="880" w:type="dxa"/>
            <w:vAlign w:val="bottom"/>
          </w:tcPr>
          <w:p w:rsidR="00E241AF" w:rsidRPr="00F552F0" w:rsidRDefault="00E241AF" w:rsidP="007C74B7">
            <w:pPr>
              <w:jc w:val="center"/>
              <w:rPr>
                <w:sz w:val="16"/>
                <w:szCs w:val="16"/>
              </w:rPr>
            </w:pPr>
            <w:r w:rsidRPr="00F552F0">
              <w:rPr>
                <w:sz w:val="16"/>
                <w:szCs w:val="16"/>
              </w:rPr>
              <w:t>0.13</w:t>
            </w:r>
          </w:p>
        </w:tc>
        <w:tc>
          <w:tcPr>
            <w:tcW w:w="880" w:type="dxa"/>
            <w:vAlign w:val="bottom"/>
          </w:tcPr>
          <w:p w:rsidR="00E241AF" w:rsidRPr="00F552F0" w:rsidRDefault="00E241AF" w:rsidP="007C74B7">
            <w:pPr>
              <w:jc w:val="center"/>
              <w:rPr>
                <w:sz w:val="16"/>
                <w:szCs w:val="16"/>
              </w:rPr>
            </w:pPr>
            <w:r w:rsidRPr="00F552F0">
              <w:rPr>
                <w:sz w:val="16"/>
                <w:szCs w:val="16"/>
              </w:rPr>
              <w:t>0.04</w:t>
            </w:r>
          </w:p>
        </w:tc>
        <w:tc>
          <w:tcPr>
            <w:tcW w:w="880" w:type="dxa"/>
            <w:vAlign w:val="bottom"/>
          </w:tcPr>
          <w:p w:rsidR="00E241AF" w:rsidRPr="00F552F0" w:rsidRDefault="00E241AF" w:rsidP="007C74B7">
            <w:pPr>
              <w:jc w:val="center"/>
              <w:rPr>
                <w:sz w:val="16"/>
                <w:szCs w:val="16"/>
              </w:rPr>
            </w:pPr>
            <w:r w:rsidRPr="00F552F0">
              <w:rPr>
                <w:sz w:val="16"/>
                <w:szCs w:val="16"/>
              </w:rPr>
              <w:t>0.05</w:t>
            </w:r>
          </w:p>
        </w:tc>
        <w:tc>
          <w:tcPr>
            <w:tcW w:w="880" w:type="dxa"/>
            <w:vAlign w:val="bottom"/>
          </w:tcPr>
          <w:p w:rsidR="00E241AF" w:rsidRPr="00F552F0" w:rsidRDefault="00E241AF" w:rsidP="007C74B7">
            <w:pPr>
              <w:jc w:val="center"/>
              <w:rPr>
                <w:sz w:val="16"/>
                <w:szCs w:val="16"/>
              </w:rPr>
            </w:pPr>
            <w:r w:rsidRPr="00F552F0">
              <w:rPr>
                <w:sz w:val="16"/>
                <w:szCs w:val="16"/>
              </w:rPr>
              <w:t>0.05</w:t>
            </w:r>
          </w:p>
        </w:tc>
        <w:tc>
          <w:tcPr>
            <w:tcW w:w="880" w:type="dxa"/>
            <w:vAlign w:val="bottom"/>
          </w:tcPr>
          <w:p w:rsidR="00E241AF" w:rsidRPr="00F552F0" w:rsidRDefault="00E241AF" w:rsidP="007C74B7">
            <w:pPr>
              <w:jc w:val="center"/>
              <w:rPr>
                <w:b/>
                <w:sz w:val="16"/>
                <w:szCs w:val="16"/>
              </w:rPr>
            </w:pPr>
            <w:r w:rsidRPr="00F552F0">
              <w:rPr>
                <w:b/>
                <w:sz w:val="16"/>
                <w:szCs w:val="16"/>
              </w:rPr>
              <w:t>-0.31</w:t>
            </w:r>
          </w:p>
        </w:tc>
        <w:tc>
          <w:tcPr>
            <w:tcW w:w="880" w:type="dxa"/>
            <w:vAlign w:val="bottom"/>
          </w:tcPr>
          <w:p w:rsidR="00E241AF" w:rsidRPr="00F552F0" w:rsidRDefault="00E241AF" w:rsidP="007C74B7">
            <w:pPr>
              <w:jc w:val="center"/>
              <w:rPr>
                <w:b/>
                <w:sz w:val="16"/>
                <w:szCs w:val="16"/>
              </w:rPr>
            </w:pPr>
            <w:r w:rsidRPr="00F552F0">
              <w:rPr>
                <w:b/>
                <w:sz w:val="16"/>
                <w:szCs w:val="16"/>
              </w:rPr>
              <w:t>-0.30</w:t>
            </w:r>
          </w:p>
        </w:tc>
        <w:tc>
          <w:tcPr>
            <w:tcW w:w="880" w:type="dxa"/>
            <w:vAlign w:val="bottom"/>
          </w:tcPr>
          <w:p w:rsidR="00E241AF" w:rsidRPr="00F552F0" w:rsidRDefault="00E241AF" w:rsidP="007C74B7">
            <w:pPr>
              <w:jc w:val="center"/>
              <w:rPr>
                <w:b/>
                <w:sz w:val="16"/>
                <w:szCs w:val="16"/>
              </w:rPr>
            </w:pPr>
            <w:r w:rsidRPr="00F552F0">
              <w:rPr>
                <w:b/>
                <w:sz w:val="16"/>
                <w:szCs w:val="16"/>
              </w:rPr>
              <w:t>0.97</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r w:rsidRPr="00F552F0">
              <w:rPr>
                <w:sz w:val="16"/>
                <w:szCs w:val="16"/>
              </w:rPr>
              <w:t>(0.20)</w:t>
            </w:r>
          </w:p>
        </w:tc>
        <w:tc>
          <w:tcPr>
            <w:tcW w:w="880" w:type="dxa"/>
            <w:vAlign w:val="bottom"/>
          </w:tcPr>
          <w:p w:rsidR="00E241AF" w:rsidRPr="00F552F0" w:rsidRDefault="00E241AF" w:rsidP="007C74B7">
            <w:pPr>
              <w:jc w:val="center"/>
              <w:rPr>
                <w:sz w:val="16"/>
                <w:szCs w:val="16"/>
              </w:rPr>
            </w:pPr>
            <w:r w:rsidRPr="00F552F0">
              <w:rPr>
                <w:sz w:val="16"/>
                <w:szCs w:val="16"/>
              </w:rPr>
              <w:t>(0.40)</w:t>
            </w:r>
          </w:p>
        </w:tc>
        <w:tc>
          <w:tcPr>
            <w:tcW w:w="880" w:type="dxa"/>
            <w:vAlign w:val="bottom"/>
          </w:tcPr>
          <w:p w:rsidR="00E241AF" w:rsidRPr="00F552F0" w:rsidRDefault="00E241AF" w:rsidP="007C74B7">
            <w:pPr>
              <w:jc w:val="center"/>
              <w:rPr>
                <w:sz w:val="16"/>
                <w:szCs w:val="16"/>
              </w:rPr>
            </w:pPr>
            <w:r w:rsidRPr="00F552F0">
              <w:rPr>
                <w:sz w:val="16"/>
                <w:szCs w:val="16"/>
              </w:rPr>
              <w:t>(0.78)</w:t>
            </w:r>
          </w:p>
        </w:tc>
        <w:tc>
          <w:tcPr>
            <w:tcW w:w="880" w:type="dxa"/>
            <w:vAlign w:val="bottom"/>
          </w:tcPr>
          <w:p w:rsidR="00E241AF" w:rsidRPr="00F552F0" w:rsidRDefault="00E241AF" w:rsidP="007C74B7">
            <w:pPr>
              <w:jc w:val="center"/>
              <w:rPr>
                <w:sz w:val="16"/>
                <w:szCs w:val="16"/>
              </w:rPr>
            </w:pPr>
            <w:r w:rsidRPr="00F552F0">
              <w:rPr>
                <w:sz w:val="16"/>
                <w:szCs w:val="16"/>
              </w:rPr>
              <w:t>(0.76)</w:t>
            </w:r>
          </w:p>
        </w:tc>
        <w:tc>
          <w:tcPr>
            <w:tcW w:w="880" w:type="dxa"/>
            <w:vAlign w:val="bottom"/>
          </w:tcPr>
          <w:p w:rsidR="00E241AF" w:rsidRPr="00F552F0" w:rsidRDefault="00E241AF" w:rsidP="007C74B7">
            <w:pPr>
              <w:jc w:val="center"/>
              <w:rPr>
                <w:sz w:val="16"/>
                <w:szCs w:val="16"/>
              </w:rPr>
            </w:pPr>
            <w:r w:rsidRPr="00F552F0">
              <w:rPr>
                <w:sz w:val="16"/>
                <w:szCs w:val="16"/>
              </w:rPr>
              <w:t>(0.78)</w:t>
            </w:r>
          </w:p>
        </w:tc>
        <w:tc>
          <w:tcPr>
            <w:tcW w:w="880" w:type="dxa"/>
            <w:vAlign w:val="bottom"/>
          </w:tcPr>
          <w:p w:rsidR="00E241AF" w:rsidRPr="00F552F0" w:rsidRDefault="00E241AF" w:rsidP="007C74B7">
            <w:pPr>
              <w:jc w:val="center"/>
              <w:rPr>
                <w:b/>
                <w:sz w:val="16"/>
                <w:szCs w:val="16"/>
              </w:rPr>
            </w:pPr>
            <w:r w:rsidRPr="00F552F0">
              <w:rPr>
                <w:b/>
                <w:sz w:val="16"/>
                <w:szCs w:val="16"/>
              </w:rPr>
              <w:t>(0.04)</w:t>
            </w:r>
          </w:p>
        </w:tc>
        <w:tc>
          <w:tcPr>
            <w:tcW w:w="880" w:type="dxa"/>
            <w:vAlign w:val="bottom"/>
          </w:tcPr>
          <w:p w:rsidR="00E241AF" w:rsidRPr="00F552F0" w:rsidRDefault="00E241AF" w:rsidP="007C74B7">
            <w:pPr>
              <w:jc w:val="center"/>
              <w:rPr>
                <w:b/>
                <w:sz w:val="16"/>
                <w:szCs w:val="16"/>
              </w:rPr>
            </w:pPr>
            <w:r w:rsidRPr="00F552F0">
              <w:rPr>
                <w:b/>
                <w:sz w:val="16"/>
                <w:szCs w:val="16"/>
              </w:rPr>
              <w:t>(0.05)</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10</w:t>
            </w:r>
          </w:p>
        </w:tc>
        <w:tc>
          <w:tcPr>
            <w:tcW w:w="3000" w:type="dxa"/>
          </w:tcPr>
          <w:p w:rsidR="00E241AF" w:rsidRPr="00F552F0" w:rsidRDefault="00E241AF" w:rsidP="007C74B7">
            <w:pPr>
              <w:rPr>
                <w:sz w:val="16"/>
                <w:szCs w:val="16"/>
              </w:rPr>
            </w:pPr>
            <w:r w:rsidRPr="00F552F0">
              <w:rPr>
                <w:iCs/>
                <w:sz w:val="16"/>
                <w:szCs w:val="16"/>
              </w:rPr>
              <w:t>Capital accumulation</w:t>
            </w:r>
          </w:p>
        </w:tc>
        <w:tc>
          <w:tcPr>
            <w:tcW w:w="880" w:type="dxa"/>
            <w:vAlign w:val="bottom"/>
          </w:tcPr>
          <w:p w:rsidR="00E241AF" w:rsidRPr="00F552F0" w:rsidRDefault="00E241AF" w:rsidP="007C74B7">
            <w:pPr>
              <w:jc w:val="center"/>
              <w:rPr>
                <w:b/>
                <w:sz w:val="16"/>
                <w:szCs w:val="16"/>
              </w:rPr>
            </w:pPr>
            <w:r w:rsidRPr="00F552F0">
              <w:rPr>
                <w:b/>
                <w:sz w:val="16"/>
                <w:szCs w:val="16"/>
              </w:rPr>
              <w:t>-0.26</w:t>
            </w:r>
          </w:p>
        </w:tc>
        <w:tc>
          <w:tcPr>
            <w:tcW w:w="880" w:type="dxa"/>
            <w:vAlign w:val="bottom"/>
          </w:tcPr>
          <w:p w:rsidR="00E241AF" w:rsidRPr="00F552F0" w:rsidRDefault="00E241AF" w:rsidP="007C74B7">
            <w:pPr>
              <w:jc w:val="center"/>
              <w:rPr>
                <w:b/>
                <w:sz w:val="16"/>
                <w:szCs w:val="16"/>
              </w:rPr>
            </w:pPr>
            <w:r w:rsidRPr="00F552F0">
              <w:rPr>
                <w:b/>
                <w:sz w:val="16"/>
                <w:szCs w:val="16"/>
              </w:rPr>
              <w:t>-0.40</w:t>
            </w:r>
          </w:p>
        </w:tc>
        <w:tc>
          <w:tcPr>
            <w:tcW w:w="880" w:type="dxa"/>
            <w:vAlign w:val="bottom"/>
          </w:tcPr>
          <w:p w:rsidR="00E241AF" w:rsidRPr="00F552F0" w:rsidRDefault="00E241AF" w:rsidP="007C74B7">
            <w:pPr>
              <w:jc w:val="center"/>
              <w:rPr>
                <w:b/>
                <w:sz w:val="16"/>
                <w:szCs w:val="16"/>
              </w:rPr>
            </w:pPr>
            <w:r w:rsidRPr="00F552F0">
              <w:rPr>
                <w:b/>
                <w:sz w:val="16"/>
                <w:szCs w:val="16"/>
              </w:rPr>
              <w:t>0.52</w:t>
            </w:r>
          </w:p>
        </w:tc>
        <w:tc>
          <w:tcPr>
            <w:tcW w:w="880" w:type="dxa"/>
            <w:vAlign w:val="bottom"/>
          </w:tcPr>
          <w:p w:rsidR="00E241AF" w:rsidRPr="00F552F0" w:rsidRDefault="00E241AF" w:rsidP="007C74B7">
            <w:pPr>
              <w:jc w:val="center"/>
              <w:rPr>
                <w:b/>
                <w:sz w:val="16"/>
                <w:szCs w:val="16"/>
              </w:rPr>
            </w:pPr>
            <w:r w:rsidRPr="00F552F0">
              <w:rPr>
                <w:b/>
                <w:sz w:val="16"/>
                <w:szCs w:val="16"/>
              </w:rPr>
              <w:t>0.43</w:t>
            </w:r>
          </w:p>
        </w:tc>
        <w:tc>
          <w:tcPr>
            <w:tcW w:w="880" w:type="dxa"/>
            <w:vAlign w:val="bottom"/>
          </w:tcPr>
          <w:p w:rsidR="00E241AF" w:rsidRPr="00F552F0" w:rsidRDefault="00E241AF" w:rsidP="007C74B7">
            <w:pPr>
              <w:jc w:val="center"/>
              <w:rPr>
                <w:b/>
                <w:sz w:val="16"/>
                <w:szCs w:val="16"/>
              </w:rPr>
            </w:pPr>
            <w:r w:rsidRPr="00F552F0">
              <w:rPr>
                <w:b/>
                <w:sz w:val="16"/>
                <w:szCs w:val="16"/>
              </w:rPr>
              <w:t>0.31</w:t>
            </w:r>
          </w:p>
        </w:tc>
        <w:tc>
          <w:tcPr>
            <w:tcW w:w="880" w:type="dxa"/>
            <w:vAlign w:val="bottom"/>
          </w:tcPr>
          <w:p w:rsidR="00E241AF" w:rsidRPr="00F552F0" w:rsidRDefault="00E241AF" w:rsidP="007C74B7">
            <w:pPr>
              <w:jc w:val="center"/>
              <w:rPr>
                <w:b/>
                <w:sz w:val="16"/>
                <w:szCs w:val="16"/>
              </w:rPr>
            </w:pPr>
            <w:r w:rsidRPr="00F552F0">
              <w:rPr>
                <w:b/>
                <w:sz w:val="16"/>
                <w:szCs w:val="16"/>
              </w:rPr>
              <w:t>-0.55</w:t>
            </w:r>
          </w:p>
        </w:tc>
        <w:tc>
          <w:tcPr>
            <w:tcW w:w="880" w:type="dxa"/>
            <w:vAlign w:val="bottom"/>
          </w:tcPr>
          <w:p w:rsidR="00E241AF" w:rsidRPr="00F552F0" w:rsidRDefault="00E241AF" w:rsidP="007C74B7">
            <w:pPr>
              <w:jc w:val="center"/>
              <w:rPr>
                <w:sz w:val="16"/>
                <w:szCs w:val="16"/>
              </w:rPr>
            </w:pPr>
            <w:r w:rsidRPr="00F552F0">
              <w:rPr>
                <w:sz w:val="16"/>
                <w:szCs w:val="16"/>
              </w:rPr>
              <w:t>-0.07</w:t>
            </w:r>
          </w:p>
        </w:tc>
        <w:tc>
          <w:tcPr>
            <w:tcW w:w="880" w:type="dxa"/>
            <w:vAlign w:val="bottom"/>
          </w:tcPr>
          <w:p w:rsidR="00E241AF" w:rsidRPr="00F552F0" w:rsidRDefault="00E241AF" w:rsidP="007C74B7">
            <w:pPr>
              <w:jc w:val="center"/>
              <w:rPr>
                <w:b/>
                <w:sz w:val="16"/>
                <w:szCs w:val="16"/>
              </w:rPr>
            </w:pPr>
            <w:r w:rsidRPr="00F552F0">
              <w:rPr>
                <w:b/>
                <w:sz w:val="16"/>
                <w:szCs w:val="16"/>
              </w:rPr>
              <w:t>0.33</w:t>
            </w:r>
          </w:p>
        </w:tc>
        <w:tc>
          <w:tcPr>
            <w:tcW w:w="880" w:type="dxa"/>
            <w:vAlign w:val="bottom"/>
          </w:tcPr>
          <w:p w:rsidR="00E241AF" w:rsidRPr="00F552F0" w:rsidRDefault="00E241AF" w:rsidP="007C74B7">
            <w:pPr>
              <w:jc w:val="center"/>
              <w:rPr>
                <w:sz w:val="16"/>
                <w:szCs w:val="16"/>
              </w:rPr>
            </w:pPr>
            <w:r w:rsidRPr="00F552F0">
              <w:rPr>
                <w:sz w:val="16"/>
                <w:szCs w:val="16"/>
              </w:rPr>
              <w:t>0.09</w:t>
            </w:r>
          </w:p>
        </w:tc>
        <w:tc>
          <w:tcPr>
            <w:tcW w:w="880" w:type="dxa"/>
            <w:vAlign w:val="bottom"/>
          </w:tcPr>
          <w:p w:rsidR="00E241AF" w:rsidRPr="00F552F0" w:rsidRDefault="00E241AF" w:rsidP="007C74B7">
            <w:pPr>
              <w:jc w:val="center"/>
              <w:rPr>
                <w:sz w:val="16"/>
                <w:szCs w:val="16"/>
              </w:rPr>
            </w:pPr>
            <w:r w:rsidRPr="00F552F0">
              <w:rPr>
                <w:sz w:val="16"/>
                <w:szCs w:val="16"/>
              </w:rPr>
              <w:t>1.00</w:t>
            </w: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(0.09)</w:t>
            </w:r>
          </w:p>
        </w:tc>
        <w:tc>
          <w:tcPr>
            <w:tcW w:w="880" w:type="dxa"/>
            <w:vAlign w:val="bottom"/>
          </w:tcPr>
          <w:p w:rsidR="00E241AF" w:rsidRPr="00F552F0" w:rsidRDefault="00E241AF" w:rsidP="007C74B7">
            <w:pPr>
              <w:jc w:val="center"/>
              <w:rPr>
                <w:b/>
                <w:sz w:val="16"/>
                <w:szCs w:val="16"/>
              </w:rPr>
            </w:pPr>
            <w:r w:rsidRPr="00F552F0">
              <w:rPr>
                <w:b/>
                <w:sz w:val="16"/>
                <w:szCs w:val="16"/>
              </w:rPr>
              <w:t>(0.01)</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(0.01)</w:t>
            </w:r>
          </w:p>
        </w:tc>
        <w:tc>
          <w:tcPr>
            <w:tcW w:w="880" w:type="dxa"/>
            <w:vAlign w:val="bottom"/>
          </w:tcPr>
          <w:p w:rsidR="00E241AF" w:rsidRPr="00F552F0" w:rsidRDefault="00E241AF" w:rsidP="007C74B7">
            <w:pPr>
              <w:jc w:val="center"/>
              <w:rPr>
                <w:b/>
                <w:sz w:val="16"/>
                <w:szCs w:val="16"/>
              </w:rPr>
            </w:pPr>
            <w:r w:rsidRPr="00F552F0">
              <w:rPr>
                <w:b/>
                <w:sz w:val="16"/>
                <w:szCs w:val="16"/>
              </w:rPr>
              <w:t>(0.08)</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r w:rsidRPr="00F552F0">
              <w:rPr>
                <w:sz w:val="16"/>
                <w:szCs w:val="16"/>
              </w:rPr>
              <w:t>(0.66)</w:t>
            </w:r>
          </w:p>
        </w:tc>
        <w:tc>
          <w:tcPr>
            <w:tcW w:w="880" w:type="dxa"/>
            <w:vAlign w:val="bottom"/>
          </w:tcPr>
          <w:p w:rsidR="00E241AF" w:rsidRPr="00F552F0" w:rsidRDefault="00E241AF" w:rsidP="007C74B7">
            <w:pPr>
              <w:jc w:val="center"/>
              <w:rPr>
                <w:b/>
                <w:sz w:val="16"/>
                <w:szCs w:val="16"/>
              </w:rPr>
            </w:pPr>
            <w:r w:rsidRPr="00F552F0">
              <w:rPr>
                <w:b/>
                <w:sz w:val="16"/>
                <w:szCs w:val="16"/>
              </w:rPr>
              <w:t>(0.03)</w:t>
            </w:r>
          </w:p>
        </w:tc>
        <w:tc>
          <w:tcPr>
            <w:tcW w:w="880" w:type="dxa"/>
            <w:vAlign w:val="bottom"/>
          </w:tcPr>
          <w:p w:rsidR="00E241AF" w:rsidRPr="00F552F0" w:rsidRDefault="00E241AF" w:rsidP="007C74B7">
            <w:pPr>
              <w:jc w:val="center"/>
              <w:rPr>
                <w:sz w:val="16"/>
                <w:szCs w:val="16"/>
              </w:rPr>
            </w:pPr>
            <w:r w:rsidRPr="00F552F0">
              <w:rPr>
                <w:sz w:val="16"/>
                <w:szCs w:val="16"/>
              </w:rPr>
              <w:t>(0.57)</w:t>
            </w: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i/>
                <w:iCs/>
                <w:sz w:val="16"/>
                <w:szCs w:val="16"/>
              </w:rPr>
            </w:pPr>
            <w:r w:rsidRPr="00F552F0">
              <w:rPr>
                <w:i/>
                <w:iCs/>
                <w:sz w:val="16"/>
                <w:szCs w:val="16"/>
              </w:rPr>
              <w:t>11</w:t>
            </w:r>
          </w:p>
        </w:tc>
        <w:tc>
          <w:tcPr>
            <w:tcW w:w="3000" w:type="dxa"/>
          </w:tcPr>
          <w:p w:rsidR="00E241AF" w:rsidRPr="00F552F0" w:rsidRDefault="00E241AF" w:rsidP="007C74B7">
            <w:pPr>
              <w:rPr>
                <w:sz w:val="16"/>
                <w:szCs w:val="16"/>
              </w:rPr>
            </w:pPr>
            <w:r w:rsidRPr="00F552F0">
              <w:rPr>
                <w:iCs/>
                <w:sz w:val="16"/>
                <w:szCs w:val="16"/>
              </w:rPr>
              <w:t>Growth-rate volatility</w:t>
            </w:r>
          </w:p>
        </w:tc>
        <w:tc>
          <w:tcPr>
            <w:tcW w:w="880" w:type="dxa"/>
            <w:vAlign w:val="bottom"/>
          </w:tcPr>
          <w:p w:rsidR="00E241AF" w:rsidRPr="00F552F0" w:rsidRDefault="00E241AF" w:rsidP="007C74B7">
            <w:pPr>
              <w:jc w:val="center"/>
              <w:rPr>
                <w:b/>
                <w:sz w:val="16"/>
                <w:szCs w:val="16"/>
              </w:rPr>
            </w:pPr>
            <w:r w:rsidRPr="00F552F0">
              <w:rPr>
                <w:b/>
                <w:sz w:val="16"/>
                <w:szCs w:val="16"/>
              </w:rPr>
              <w:t>0.51</w:t>
            </w:r>
          </w:p>
        </w:tc>
        <w:tc>
          <w:tcPr>
            <w:tcW w:w="880" w:type="dxa"/>
            <w:vAlign w:val="bottom"/>
          </w:tcPr>
          <w:p w:rsidR="00E241AF" w:rsidRPr="00F552F0" w:rsidRDefault="00E241AF" w:rsidP="007C74B7">
            <w:pPr>
              <w:jc w:val="center"/>
              <w:rPr>
                <w:sz w:val="16"/>
                <w:szCs w:val="16"/>
              </w:rPr>
            </w:pPr>
            <w:r w:rsidRPr="00F552F0">
              <w:rPr>
                <w:sz w:val="16"/>
                <w:szCs w:val="16"/>
              </w:rPr>
              <w:t>0.08</w:t>
            </w:r>
          </w:p>
        </w:tc>
        <w:tc>
          <w:tcPr>
            <w:tcW w:w="880" w:type="dxa"/>
            <w:vAlign w:val="bottom"/>
          </w:tcPr>
          <w:p w:rsidR="00E241AF" w:rsidRPr="00F552F0" w:rsidRDefault="00E241AF" w:rsidP="007C74B7">
            <w:pPr>
              <w:jc w:val="center"/>
              <w:rPr>
                <w:b/>
                <w:sz w:val="16"/>
                <w:szCs w:val="16"/>
              </w:rPr>
            </w:pPr>
            <w:r w:rsidRPr="00F552F0">
              <w:rPr>
                <w:b/>
                <w:sz w:val="16"/>
                <w:szCs w:val="16"/>
              </w:rPr>
              <w:t>-0.45</w:t>
            </w:r>
          </w:p>
        </w:tc>
        <w:tc>
          <w:tcPr>
            <w:tcW w:w="880" w:type="dxa"/>
            <w:vAlign w:val="bottom"/>
          </w:tcPr>
          <w:p w:rsidR="00E241AF" w:rsidRPr="00F552F0" w:rsidRDefault="00E241AF" w:rsidP="007C74B7">
            <w:pPr>
              <w:jc w:val="center"/>
              <w:rPr>
                <w:b/>
                <w:sz w:val="16"/>
                <w:szCs w:val="16"/>
              </w:rPr>
            </w:pPr>
            <w:r w:rsidRPr="00F552F0">
              <w:rPr>
                <w:b/>
                <w:sz w:val="16"/>
                <w:szCs w:val="16"/>
              </w:rPr>
              <w:t>-0.37</w:t>
            </w:r>
          </w:p>
        </w:tc>
        <w:tc>
          <w:tcPr>
            <w:tcW w:w="880" w:type="dxa"/>
            <w:vAlign w:val="bottom"/>
          </w:tcPr>
          <w:p w:rsidR="00E241AF" w:rsidRPr="00F552F0" w:rsidRDefault="00E241AF" w:rsidP="007C74B7">
            <w:pPr>
              <w:jc w:val="center"/>
              <w:rPr>
                <w:b/>
                <w:sz w:val="16"/>
                <w:szCs w:val="16"/>
              </w:rPr>
            </w:pPr>
            <w:r w:rsidRPr="00F552F0">
              <w:rPr>
                <w:b/>
                <w:sz w:val="16"/>
                <w:szCs w:val="16"/>
              </w:rPr>
              <w:t>-0.31</w:t>
            </w:r>
          </w:p>
        </w:tc>
        <w:tc>
          <w:tcPr>
            <w:tcW w:w="880" w:type="dxa"/>
            <w:vAlign w:val="bottom"/>
          </w:tcPr>
          <w:p w:rsidR="00E241AF" w:rsidRPr="00F552F0" w:rsidRDefault="00E241AF" w:rsidP="007C74B7">
            <w:pPr>
              <w:jc w:val="center"/>
              <w:rPr>
                <w:b/>
                <w:sz w:val="16"/>
                <w:szCs w:val="16"/>
              </w:rPr>
            </w:pPr>
            <w:r w:rsidRPr="00F552F0">
              <w:rPr>
                <w:b/>
                <w:sz w:val="16"/>
                <w:szCs w:val="16"/>
              </w:rPr>
              <w:t>0.48</w:t>
            </w:r>
          </w:p>
        </w:tc>
        <w:tc>
          <w:tcPr>
            <w:tcW w:w="880" w:type="dxa"/>
            <w:vAlign w:val="bottom"/>
          </w:tcPr>
          <w:p w:rsidR="00E241AF" w:rsidRPr="00F552F0" w:rsidRDefault="00E241AF" w:rsidP="007C74B7">
            <w:pPr>
              <w:jc w:val="center"/>
              <w:rPr>
                <w:sz w:val="16"/>
                <w:szCs w:val="16"/>
              </w:rPr>
            </w:pPr>
            <w:r w:rsidRPr="00F552F0">
              <w:rPr>
                <w:sz w:val="16"/>
                <w:szCs w:val="16"/>
              </w:rPr>
              <w:t>0.36</w:t>
            </w:r>
          </w:p>
        </w:tc>
        <w:tc>
          <w:tcPr>
            <w:tcW w:w="880" w:type="dxa"/>
            <w:vAlign w:val="bottom"/>
          </w:tcPr>
          <w:p w:rsidR="00E241AF" w:rsidRPr="00F552F0" w:rsidRDefault="00E241AF" w:rsidP="007C74B7">
            <w:pPr>
              <w:jc w:val="center"/>
              <w:rPr>
                <w:sz w:val="16"/>
                <w:szCs w:val="16"/>
              </w:rPr>
            </w:pPr>
            <w:r w:rsidRPr="00F552F0">
              <w:rPr>
                <w:sz w:val="16"/>
                <w:szCs w:val="16"/>
              </w:rPr>
              <w:t>-0.20</w:t>
            </w:r>
          </w:p>
        </w:tc>
        <w:tc>
          <w:tcPr>
            <w:tcW w:w="880" w:type="dxa"/>
            <w:vAlign w:val="bottom"/>
          </w:tcPr>
          <w:p w:rsidR="00E241AF" w:rsidRPr="00F552F0" w:rsidRDefault="00E241AF" w:rsidP="007C74B7">
            <w:pPr>
              <w:jc w:val="center"/>
              <w:rPr>
                <w:sz w:val="16"/>
                <w:szCs w:val="16"/>
              </w:rPr>
            </w:pPr>
            <w:r w:rsidRPr="00F552F0">
              <w:rPr>
                <w:sz w:val="16"/>
                <w:szCs w:val="16"/>
              </w:rPr>
              <w:t>-0.14</w:t>
            </w:r>
          </w:p>
        </w:tc>
        <w:tc>
          <w:tcPr>
            <w:tcW w:w="880" w:type="dxa"/>
            <w:vAlign w:val="bottom"/>
          </w:tcPr>
          <w:p w:rsidR="00E241AF" w:rsidRPr="00F552F0" w:rsidRDefault="00E241AF" w:rsidP="007C74B7">
            <w:pPr>
              <w:jc w:val="center"/>
              <w:rPr>
                <w:sz w:val="16"/>
                <w:szCs w:val="16"/>
              </w:rPr>
            </w:pPr>
            <w:r w:rsidRPr="00F552F0">
              <w:rPr>
                <w:sz w:val="16"/>
                <w:szCs w:val="16"/>
              </w:rPr>
              <w:t>-0.24</w:t>
            </w:r>
          </w:p>
        </w:tc>
        <w:tc>
          <w:tcPr>
            <w:tcW w:w="880" w:type="dxa"/>
            <w:vAlign w:val="bottom"/>
          </w:tcPr>
          <w:p w:rsidR="00E241AF" w:rsidRPr="00F552F0" w:rsidRDefault="00E241AF" w:rsidP="007C74B7">
            <w:pPr>
              <w:jc w:val="center"/>
              <w:rPr>
                <w:sz w:val="16"/>
                <w:szCs w:val="16"/>
              </w:rPr>
            </w:pPr>
            <w:r w:rsidRPr="00F552F0">
              <w:rPr>
                <w:sz w:val="16"/>
                <w:szCs w:val="16"/>
              </w:rPr>
              <w:t>1.00</w:t>
            </w: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r w:rsidRPr="00F552F0">
              <w:rPr>
                <w:sz w:val="16"/>
                <w:szCs w:val="16"/>
              </w:rPr>
              <w:t>(0.60)</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b/>
                <w:sz w:val="16"/>
                <w:szCs w:val="16"/>
              </w:rPr>
            </w:pPr>
            <w:r w:rsidRPr="00F552F0">
              <w:rPr>
                <w:b/>
                <w:sz w:val="16"/>
                <w:szCs w:val="16"/>
              </w:rPr>
              <w:t>(0.02)</w:t>
            </w:r>
          </w:p>
        </w:tc>
        <w:tc>
          <w:tcPr>
            <w:tcW w:w="880" w:type="dxa"/>
            <w:vAlign w:val="bottom"/>
          </w:tcPr>
          <w:p w:rsidR="00E241AF" w:rsidRPr="00F552F0" w:rsidRDefault="00E241AF" w:rsidP="007C74B7">
            <w:pPr>
              <w:jc w:val="center"/>
              <w:rPr>
                <w:b/>
                <w:sz w:val="16"/>
                <w:szCs w:val="16"/>
              </w:rPr>
            </w:pPr>
            <w:r w:rsidRPr="00F552F0">
              <w:rPr>
                <w:b/>
                <w:sz w:val="16"/>
                <w:szCs w:val="16"/>
              </w:rPr>
              <w:t>(0.08)</w:t>
            </w:r>
          </w:p>
        </w:tc>
        <w:tc>
          <w:tcPr>
            <w:tcW w:w="880" w:type="dxa"/>
            <w:vAlign w:val="bottom"/>
          </w:tcPr>
          <w:p w:rsidR="00E241AF" w:rsidRPr="00F552F0" w:rsidRDefault="00E241AF" w:rsidP="007C74B7">
            <w:pPr>
              <w:jc w:val="center"/>
              <w:rPr>
                <w:b/>
                <w:sz w:val="16"/>
                <w:szCs w:val="16"/>
              </w:rPr>
            </w:pPr>
            <w:r w:rsidRPr="00F552F0">
              <w:rPr>
                <w:b/>
                <w:sz w:val="16"/>
                <w:szCs w:val="16"/>
              </w:rPr>
              <w:t>(0.00)</w:t>
            </w:r>
          </w:p>
        </w:tc>
        <w:tc>
          <w:tcPr>
            <w:tcW w:w="880" w:type="dxa"/>
            <w:vAlign w:val="bottom"/>
          </w:tcPr>
          <w:p w:rsidR="00E241AF" w:rsidRPr="00F552F0" w:rsidRDefault="00E241AF" w:rsidP="007C74B7">
            <w:pPr>
              <w:jc w:val="center"/>
              <w:rPr>
                <w:sz w:val="16"/>
                <w:szCs w:val="16"/>
              </w:rPr>
            </w:pPr>
            <w:r w:rsidRPr="00F552F0">
              <w:rPr>
                <w:sz w:val="16"/>
                <w:szCs w:val="16"/>
              </w:rPr>
              <w:t>(0.02)</w:t>
            </w:r>
          </w:p>
        </w:tc>
        <w:tc>
          <w:tcPr>
            <w:tcW w:w="880" w:type="dxa"/>
            <w:vAlign w:val="bottom"/>
          </w:tcPr>
          <w:p w:rsidR="00E241AF" w:rsidRPr="00F552F0" w:rsidRDefault="00E241AF" w:rsidP="007C74B7">
            <w:pPr>
              <w:jc w:val="center"/>
              <w:rPr>
                <w:sz w:val="16"/>
                <w:szCs w:val="16"/>
              </w:rPr>
            </w:pPr>
            <w:r w:rsidRPr="00F552F0">
              <w:rPr>
                <w:sz w:val="16"/>
                <w:szCs w:val="16"/>
              </w:rPr>
              <w:t>(0.20)</w:t>
            </w:r>
          </w:p>
        </w:tc>
        <w:tc>
          <w:tcPr>
            <w:tcW w:w="880" w:type="dxa"/>
            <w:vAlign w:val="bottom"/>
          </w:tcPr>
          <w:p w:rsidR="00E241AF" w:rsidRPr="00F552F0" w:rsidRDefault="00E241AF" w:rsidP="007C74B7">
            <w:pPr>
              <w:jc w:val="center"/>
              <w:rPr>
                <w:sz w:val="16"/>
                <w:szCs w:val="16"/>
              </w:rPr>
            </w:pPr>
            <w:r w:rsidRPr="00F552F0">
              <w:rPr>
                <w:sz w:val="16"/>
                <w:szCs w:val="16"/>
              </w:rPr>
              <w:t>(0.36)</w:t>
            </w:r>
          </w:p>
        </w:tc>
        <w:tc>
          <w:tcPr>
            <w:tcW w:w="880" w:type="dxa"/>
            <w:vAlign w:val="bottom"/>
          </w:tcPr>
          <w:p w:rsidR="00E241AF" w:rsidRPr="00F552F0" w:rsidRDefault="00E241AF" w:rsidP="007C74B7">
            <w:pPr>
              <w:jc w:val="center"/>
              <w:rPr>
                <w:sz w:val="16"/>
                <w:szCs w:val="16"/>
              </w:rPr>
            </w:pPr>
            <w:r w:rsidRPr="00F552F0">
              <w:rPr>
                <w:sz w:val="16"/>
                <w:szCs w:val="16"/>
              </w:rPr>
              <w:t>(0.12)</w:t>
            </w:r>
          </w:p>
        </w:tc>
        <w:tc>
          <w:tcPr>
            <w:tcW w:w="880" w:type="dxa"/>
            <w:vAlign w:val="bottom"/>
          </w:tcPr>
          <w:p w:rsidR="00E241AF" w:rsidRPr="00F552F0" w:rsidRDefault="00E241AF" w:rsidP="007C74B7">
            <w:pPr>
              <w:jc w:val="center"/>
              <w:rPr>
                <w:sz w:val="16"/>
                <w:szCs w:val="16"/>
              </w:rPr>
            </w:pPr>
          </w:p>
        </w:tc>
      </w:tr>
      <w:tr w:rsidR="00E241AF" w:rsidRPr="00F552F0" w:rsidTr="00785017">
        <w:tblPrEx>
          <w:tblBorders>
            <w:bottom w:val="none" w:sz="0" w:space="0" w:color="auto"/>
          </w:tblBorders>
        </w:tblPrEx>
        <w:trPr>
          <w:gridAfter w:val="1"/>
          <w:wAfter w:w="902" w:type="dxa"/>
        </w:trPr>
        <w:tc>
          <w:tcPr>
            <w:tcW w:w="468" w:type="dxa"/>
          </w:tcPr>
          <w:p w:rsidR="00E241AF" w:rsidRPr="00F552F0" w:rsidRDefault="00E241AF" w:rsidP="007C74B7">
            <w:pPr>
              <w:rPr>
                <w:sz w:val="16"/>
                <w:szCs w:val="16"/>
              </w:rPr>
            </w:pPr>
          </w:p>
        </w:tc>
        <w:tc>
          <w:tcPr>
            <w:tcW w:w="3000" w:type="dxa"/>
          </w:tcPr>
          <w:p w:rsidR="00E241AF" w:rsidRPr="00F552F0" w:rsidRDefault="00E241AF" w:rsidP="007C74B7">
            <w:pP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b/>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c>
          <w:tcPr>
            <w:tcW w:w="880" w:type="dxa"/>
            <w:vAlign w:val="bottom"/>
          </w:tcPr>
          <w:p w:rsidR="00E241AF" w:rsidRPr="00F552F0" w:rsidRDefault="00E241AF" w:rsidP="007C74B7">
            <w:pPr>
              <w:jc w:val="center"/>
              <w:rPr>
                <w:sz w:val="16"/>
                <w:szCs w:val="16"/>
              </w:rPr>
            </w:pPr>
          </w:p>
        </w:tc>
      </w:tr>
      <w:tr w:rsidR="00E241AF" w:rsidRPr="00F552F0" w:rsidTr="00E241AF">
        <w:trPr>
          <w:gridAfter w:val="1"/>
          <w:wAfter w:w="902" w:type="dxa"/>
          <w:trHeight w:val="75"/>
        </w:trPr>
        <w:tc>
          <w:tcPr>
            <w:tcW w:w="468" w:type="dxa"/>
          </w:tcPr>
          <w:p w:rsidR="00E241AF" w:rsidRPr="00F552F0" w:rsidRDefault="00E241AF" w:rsidP="007C74B7">
            <w:pPr>
              <w:rPr>
                <w:sz w:val="16"/>
                <w:szCs w:val="16"/>
              </w:rPr>
            </w:pPr>
            <w:r w:rsidRPr="00F552F0">
              <w:rPr>
                <w:i/>
                <w:iCs/>
                <w:sz w:val="16"/>
                <w:szCs w:val="16"/>
              </w:rPr>
              <w:t>12</w:t>
            </w:r>
          </w:p>
        </w:tc>
        <w:tc>
          <w:tcPr>
            <w:tcW w:w="3000" w:type="dxa"/>
          </w:tcPr>
          <w:p w:rsidR="00E241AF" w:rsidRPr="00F552F0" w:rsidRDefault="00E241AF" w:rsidP="007C74B7">
            <w:pPr>
              <w:rPr>
                <w:sz w:val="16"/>
                <w:szCs w:val="16"/>
              </w:rPr>
            </w:pPr>
            <w:r w:rsidRPr="00F552F0">
              <w:rPr>
                <w:iCs/>
                <w:sz w:val="16"/>
                <w:szCs w:val="16"/>
              </w:rPr>
              <w:t>Initial income</w:t>
            </w:r>
          </w:p>
        </w:tc>
        <w:tc>
          <w:tcPr>
            <w:tcW w:w="880" w:type="dxa"/>
            <w:vAlign w:val="bottom"/>
          </w:tcPr>
          <w:p w:rsidR="00E241AF" w:rsidRPr="00F552F0" w:rsidRDefault="00E241AF" w:rsidP="007C74B7">
            <w:pPr>
              <w:jc w:val="center"/>
              <w:rPr>
                <w:sz w:val="16"/>
                <w:szCs w:val="16"/>
              </w:rPr>
            </w:pPr>
            <w:r w:rsidRPr="00F552F0">
              <w:rPr>
                <w:sz w:val="16"/>
                <w:szCs w:val="16"/>
              </w:rPr>
              <w:t>-0.21</w:t>
            </w:r>
          </w:p>
        </w:tc>
        <w:tc>
          <w:tcPr>
            <w:tcW w:w="880" w:type="dxa"/>
            <w:vAlign w:val="bottom"/>
          </w:tcPr>
          <w:p w:rsidR="00E241AF" w:rsidRPr="00F552F0" w:rsidRDefault="00E241AF" w:rsidP="007C74B7">
            <w:pPr>
              <w:jc w:val="center"/>
              <w:rPr>
                <w:b/>
                <w:sz w:val="16"/>
                <w:szCs w:val="16"/>
              </w:rPr>
            </w:pPr>
            <w:r w:rsidRPr="00F552F0">
              <w:rPr>
                <w:b/>
                <w:sz w:val="16"/>
                <w:szCs w:val="16"/>
              </w:rPr>
              <w:t>-0.59</w:t>
            </w:r>
          </w:p>
        </w:tc>
        <w:tc>
          <w:tcPr>
            <w:tcW w:w="880" w:type="dxa"/>
            <w:vAlign w:val="bottom"/>
          </w:tcPr>
          <w:p w:rsidR="00E241AF" w:rsidRPr="00F552F0" w:rsidRDefault="00E241AF" w:rsidP="007C74B7">
            <w:pPr>
              <w:jc w:val="center"/>
              <w:rPr>
                <w:b/>
                <w:sz w:val="16"/>
                <w:szCs w:val="16"/>
              </w:rPr>
            </w:pPr>
            <w:r w:rsidRPr="00F552F0">
              <w:rPr>
                <w:b/>
                <w:sz w:val="16"/>
                <w:szCs w:val="16"/>
              </w:rPr>
              <w:t>0.63</w:t>
            </w:r>
          </w:p>
        </w:tc>
        <w:tc>
          <w:tcPr>
            <w:tcW w:w="880" w:type="dxa"/>
            <w:vAlign w:val="bottom"/>
          </w:tcPr>
          <w:p w:rsidR="00E241AF" w:rsidRPr="00F552F0" w:rsidRDefault="00E241AF" w:rsidP="007C74B7">
            <w:pPr>
              <w:jc w:val="center"/>
              <w:rPr>
                <w:b/>
                <w:sz w:val="16"/>
                <w:szCs w:val="16"/>
              </w:rPr>
            </w:pPr>
            <w:r w:rsidRPr="00F552F0">
              <w:rPr>
                <w:b/>
                <w:sz w:val="16"/>
                <w:szCs w:val="16"/>
              </w:rPr>
              <w:t>0.66</w:t>
            </w:r>
          </w:p>
        </w:tc>
        <w:tc>
          <w:tcPr>
            <w:tcW w:w="880" w:type="dxa"/>
            <w:vAlign w:val="bottom"/>
          </w:tcPr>
          <w:p w:rsidR="00E241AF" w:rsidRPr="00F552F0" w:rsidRDefault="00E241AF" w:rsidP="007C74B7">
            <w:pPr>
              <w:jc w:val="center"/>
              <w:rPr>
                <w:b/>
                <w:sz w:val="16"/>
                <w:szCs w:val="16"/>
              </w:rPr>
            </w:pPr>
            <w:r w:rsidRPr="00F552F0">
              <w:rPr>
                <w:b/>
                <w:sz w:val="16"/>
                <w:szCs w:val="16"/>
              </w:rPr>
              <w:t>0.51</w:t>
            </w:r>
          </w:p>
        </w:tc>
        <w:tc>
          <w:tcPr>
            <w:tcW w:w="880" w:type="dxa"/>
            <w:vAlign w:val="bottom"/>
          </w:tcPr>
          <w:p w:rsidR="00E241AF" w:rsidRPr="00F552F0" w:rsidRDefault="00E241AF" w:rsidP="007C74B7">
            <w:pPr>
              <w:jc w:val="center"/>
              <w:rPr>
                <w:b/>
                <w:sz w:val="16"/>
                <w:szCs w:val="16"/>
              </w:rPr>
            </w:pPr>
            <w:r w:rsidRPr="00F552F0">
              <w:rPr>
                <w:b/>
                <w:sz w:val="16"/>
                <w:szCs w:val="16"/>
              </w:rPr>
              <w:t>-0.73</w:t>
            </w:r>
          </w:p>
        </w:tc>
        <w:tc>
          <w:tcPr>
            <w:tcW w:w="880" w:type="dxa"/>
            <w:vAlign w:val="bottom"/>
          </w:tcPr>
          <w:p w:rsidR="00E241AF" w:rsidRPr="00F552F0" w:rsidRDefault="00E241AF" w:rsidP="007C74B7">
            <w:pPr>
              <w:jc w:val="center"/>
              <w:rPr>
                <w:sz w:val="16"/>
                <w:szCs w:val="16"/>
              </w:rPr>
            </w:pPr>
            <w:r w:rsidRPr="00F552F0">
              <w:rPr>
                <w:sz w:val="16"/>
                <w:szCs w:val="16"/>
              </w:rPr>
              <w:t>-0.23</w:t>
            </w:r>
          </w:p>
        </w:tc>
        <w:tc>
          <w:tcPr>
            <w:tcW w:w="880" w:type="dxa"/>
            <w:vAlign w:val="bottom"/>
          </w:tcPr>
          <w:p w:rsidR="00E241AF" w:rsidRPr="00F552F0" w:rsidRDefault="00E241AF" w:rsidP="007C74B7">
            <w:pPr>
              <w:jc w:val="center"/>
              <w:rPr>
                <w:sz w:val="16"/>
                <w:szCs w:val="16"/>
              </w:rPr>
            </w:pPr>
            <w:r w:rsidRPr="00F552F0">
              <w:rPr>
                <w:sz w:val="16"/>
                <w:szCs w:val="16"/>
              </w:rPr>
              <w:t>0.18</w:t>
            </w:r>
          </w:p>
        </w:tc>
        <w:tc>
          <w:tcPr>
            <w:tcW w:w="880" w:type="dxa"/>
            <w:vAlign w:val="bottom"/>
          </w:tcPr>
          <w:p w:rsidR="00E241AF" w:rsidRPr="00F552F0" w:rsidRDefault="00E241AF" w:rsidP="007C74B7">
            <w:pPr>
              <w:jc w:val="center"/>
              <w:rPr>
                <w:sz w:val="16"/>
                <w:szCs w:val="16"/>
              </w:rPr>
            </w:pPr>
            <w:r w:rsidRPr="00F552F0">
              <w:rPr>
                <w:sz w:val="16"/>
                <w:szCs w:val="16"/>
              </w:rPr>
              <w:t>0.06</w:t>
            </w:r>
          </w:p>
        </w:tc>
        <w:tc>
          <w:tcPr>
            <w:tcW w:w="880" w:type="dxa"/>
            <w:vAlign w:val="bottom"/>
          </w:tcPr>
          <w:p w:rsidR="00E241AF" w:rsidRPr="00F552F0" w:rsidRDefault="00E241AF" w:rsidP="007C74B7">
            <w:pPr>
              <w:jc w:val="center"/>
              <w:rPr>
                <w:b/>
                <w:sz w:val="16"/>
                <w:szCs w:val="16"/>
              </w:rPr>
            </w:pPr>
            <w:r w:rsidRPr="00F552F0">
              <w:rPr>
                <w:b/>
                <w:sz w:val="16"/>
                <w:szCs w:val="16"/>
              </w:rPr>
              <w:t>0.49</w:t>
            </w:r>
          </w:p>
        </w:tc>
        <w:tc>
          <w:tcPr>
            <w:tcW w:w="880" w:type="dxa"/>
            <w:vAlign w:val="bottom"/>
          </w:tcPr>
          <w:p w:rsidR="00E241AF" w:rsidRPr="00F552F0" w:rsidRDefault="00E241AF" w:rsidP="007C74B7">
            <w:pPr>
              <w:jc w:val="center"/>
              <w:rPr>
                <w:b/>
                <w:sz w:val="16"/>
                <w:szCs w:val="16"/>
              </w:rPr>
            </w:pPr>
            <w:r w:rsidRPr="00F552F0">
              <w:rPr>
                <w:b/>
                <w:sz w:val="16"/>
                <w:szCs w:val="16"/>
              </w:rPr>
              <w:t>-0.40</w:t>
            </w:r>
          </w:p>
        </w:tc>
      </w:tr>
      <w:tr w:rsidR="00E241AF" w:rsidRPr="00F552F0" w:rsidTr="00811C61">
        <w:trPr>
          <w:gridAfter w:val="1"/>
          <w:wAfter w:w="902" w:type="dxa"/>
        </w:trPr>
        <w:tc>
          <w:tcPr>
            <w:tcW w:w="468" w:type="dxa"/>
            <w:tcBorders>
              <w:bottom w:val="single" w:sz="4" w:space="0" w:color="auto"/>
            </w:tcBorders>
          </w:tcPr>
          <w:p w:rsidR="00E241AF" w:rsidRPr="00F552F0" w:rsidRDefault="00E241AF" w:rsidP="007C74B7">
            <w:pPr>
              <w:rPr>
                <w:sz w:val="16"/>
                <w:szCs w:val="16"/>
              </w:rPr>
            </w:pPr>
          </w:p>
        </w:tc>
        <w:tc>
          <w:tcPr>
            <w:tcW w:w="3000" w:type="dxa"/>
            <w:tcBorders>
              <w:bottom w:val="single" w:sz="4" w:space="0" w:color="auto"/>
            </w:tcBorders>
          </w:tcPr>
          <w:p w:rsidR="00E241AF" w:rsidRPr="00F552F0" w:rsidRDefault="00E241AF" w:rsidP="007C74B7">
            <w:pPr>
              <w:rPr>
                <w:sz w:val="16"/>
                <w:szCs w:val="16"/>
              </w:rPr>
            </w:pPr>
          </w:p>
        </w:tc>
        <w:tc>
          <w:tcPr>
            <w:tcW w:w="880" w:type="dxa"/>
            <w:tcBorders>
              <w:bottom w:val="single" w:sz="4" w:space="0" w:color="auto"/>
            </w:tcBorders>
            <w:vAlign w:val="bottom"/>
          </w:tcPr>
          <w:p w:rsidR="00E241AF" w:rsidRPr="00F552F0" w:rsidRDefault="00E241AF" w:rsidP="007C74B7">
            <w:pPr>
              <w:jc w:val="center"/>
              <w:rPr>
                <w:sz w:val="16"/>
                <w:szCs w:val="16"/>
              </w:rPr>
            </w:pPr>
            <w:r w:rsidRPr="00F552F0">
              <w:rPr>
                <w:sz w:val="16"/>
                <w:szCs w:val="16"/>
              </w:rPr>
              <w:t>(0.19)</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sz w:val="16"/>
                <w:szCs w:val="16"/>
              </w:rPr>
            </w:pPr>
            <w:r w:rsidRPr="00F552F0">
              <w:rPr>
                <w:sz w:val="16"/>
                <w:szCs w:val="16"/>
              </w:rPr>
              <w:t>(0.15)</w:t>
            </w:r>
          </w:p>
        </w:tc>
        <w:tc>
          <w:tcPr>
            <w:tcW w:w="880" w:type="dxa"/>
            <w:tcBorders>
              <w:bottom w:val="single" w:sz="4" w:space="0" w:color="auto"/>
            </w:tcBorders>
            <w:vAlign w:val="bottom"/>
          </w:tcPr>
          <w:p w:rsidR="00E241AF" w:rsidRPr="00F552F0" w:rsidRDefault="00E241AF" w:rsidP="007C74B7">
            <w:pPr>
              <w:jc w:val="center"/>
              <w:rPr>
                <w:sz w:val="16"/>
                <w:szCs w:val="16"/>
              </w:rPr>
            </w:pPr>
            <w:r w:rsidRPr="00F552F0">
              <w:rPr>
                <w:sz w:val="16"/>
                <w:szCs w:val="16"/>
              </w:rPr>
              <w:t>(0.25)</w:t>
            </w:r>
          </w:p>
        </w:tc>
        <w:tc>
          <w:tcPr>
            <w:tcW w:w="880" w:type="dxa"/>
            <w:tcBorders>
              <w:bottom w:val="single" w:sz="4" w:space="0" w:color="auto"/>
            </w:tcBorders>
            <w:vAlign w:val="bottom"/>
          </w:tcPr>
          <w:p w:rsidR="00E241AF" w:rsidRPr="00F552F0" w:rsidRDefault="00E241AF" w:rsidP="007C74B7">
            <w:pPr>
              <w:jc w:val="center"/>
              <w:rPr>
                <w:sz w:val="16"/>
                <w:szCs w:val="16"/>
              </w:rPr>
            </w:pPr>
            <w:r w:rsidRPr="00F552F0">
              <w:rPr>
                <w:sz w:val="16"/>
                <w:szCs w:val="16"/>
              </w:rPr>
              <w:t>(0.70)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(0.00)</w:t>
            </w:r>
          </w:p>
        </w:tc>
        <w:tc>
          <w:tcPr>
            <w:tcW w:w="880" w:type="dxa"/>
            <w:tcBorders>
              <w:bottom w:val="single" w:sz="4" w:space="0" w:color="auto"/>
            </w:tcBorders>
            <w:vAlign w:val="bottom"/>
          </w:tcPr>
          <w:p w:rsidR="00E241AF" w:rsidRPr="00F552F0" w:rsidRDefault="00E241AF" w:rsidP="007C74B7">
            <w:pPr>
              <w:jc w:val="center"/>
              <w:rPr>
                <w:b/>
                <w:sz w:val="16"/>
                <w:szCs w:val="16"/>
              </w:rPr>
            </w:pPr>
            <w:r w:rsidRPr="00F552F0">
              <w:rPr>
                <w:b/>
                <w:sz w:val="16"/>
                <w:szCs w:val="16"/>
              </w:rPr>
              <w:t>(0.01)</w:t>
            </w:r>
          </w:p>
        </w:tc>
      </w:tr>
    </w:tbl>
    <w:p w:rsidR="004C3644" w:rsidRPr="00F552F0" w:rsidRDefault="004C3644">
      <w:pPr>
        <w:sectPr w:rsidR="004C3644" w:rsidRPr="00F552F0">
          <w:pgSz w:w="15840" w:h="12240" w:orient="landscape"/>
          <w:pgMar w:top="1800" w:right="1440" w:bottom="1800" w:left="1440" w:header="720" w:footer="720" w:gutter="0"/>
          <w:cols w:space="720"/>
          <w:docGrid w:linePitch="360"/>
        </w:sect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7"/>
        <w:gridCol w:w="1094"/>
        <w:gridCol w:w="1095"/>
        <w:gridCol w:w="1095"/>
        <w:gridCol w:w="1096"/>
        <w:gridCol w:w="1095"/>
        <w:gridCol w:w="1096"/>
        <w:gridCol w:w="630"/>
        <w:gridCol w:w="630"/>
      </w:tblGrid>
      <w:tr w:rsidR="002310B8" w:rsidRPr="00F552F0" w:rsidTr="00A947E6">
        <w:trPr>
          <w:trHeight w:val="620"/>
        </w:trPr>
        <w:tc>
          <w:tcPr>
            <w:tcW w:w="8928" w:type="dxa"/>
            <w:gridSpan w:val="9"/>
            <w:tcBorders>
              <w:top w:val="nil"/>
              <w:left w:val="nil"/>
              <w:bottom w:val="nil"/>
              <w:right w:val="nil"/>
            </w:tcBorders>
            <w:shd w:val="clear" w:color="auto" w:fill="auto"/>
            <w:noWrap/>
          </w:tcPr>
          <w:p w:rsidR="00E21501" w:rsidRPr="00F552F0" w:rsidRDefault="002310B8">
            <w:pPr>
              <w:rPr>
                <w:b/>
                <w:sz w:val="22"/>
                <w:szCs w:val="22"/>
              </w:rPr>
            </w:pPr>
            <w:r w:rsidRPr="00F552F0">
              <w:rPr>
                <w:b/>
                <w:sz w:val="22"/>
                <w:szCs w:val="22"/>
              </w:rPr>
              <w:lastRenderedPageBreak/>
              <w:t>Table 5</w:t>
            </w:r>
          </w:p>
          <w:p w:rsidR="00E21501" w:rsidRPr="00F552F0" w:rsidRDefault="003D5871">
            <w:pPr>
              <w:rPr>
                <w:sz w:val="22"/>
                <w:szCs w:val="22"/>
              </w:rPr>
            </w:pPr>
            <w:r w:rsidRPr="00F552F0">
              <w:rPr>
                <w:sz w:val="22"/>
                <w:szCs w:val="22"/>
              </w:rPr>
              <w:t xml:space="preserve">Bank </w:t>
            </w:r>
            <w:r w:rsidR="005548D0" w:rsidRPr="00F552F0">
              <w:rPr>
                <w:sz w:val="22"/>
                <w:szCs w:val="22"/>
              </w:rPr>
              <w:t>c</w:t>
            </w:r>
            <w:r w:rsidRPr="00F552F0">
              <w:rPr>
                <w:sz w:val="22"/>
                <w:szCs w:val="22"/>
              </w:rPr>
              <w:t xml:space="preserve">ontrol and </w:t>
            </w:r>
            <w:r w:rsidR="005548D0" w:rsidRPr="00F552F0">
              <w:rPr>
                <w:sz w:val="22"/>
                <w:szCs w:val="22"/>
              </w:rPr>
              <w:t>c</w:t>
            </w:r>
            <w:r w:rsidRPr="00F552F0">
              <w:rPr>
                <w:sz w:val="22"/>
                <w:szCs w:val="22"/>
              </w:rPr>
              <w:t xml:space="preserve">apital </w:t>
            </w:r>
            <w:r w:rsidR="005548D0" w:rsidRPr="00F552F0">
              <w:rPr>
                <w:sz w:val="22"/>
                <w:szCs w:val="22"/>
              </w:rPr>
              <w:t>a</w:t>
            </w:r>
            <w:r w:rsidRPr="00F552F0">
              <w:rPr>
                <w:sz w:val="22"/>
                <w:szCs w:val="22"/>
              </w:rPr>
              <w:t xml:space="preserve">llocation </w:t>
            </w:r>
            <w:r w:rsidR="005548D0" w:rsidRPr="00F552F0">
              <w:rPr>
                <w:sz w:val="22"/>
                <w:szCs w:val="22"/>
              </w:rPr>
              <w:t>e</w:t>
            </w:r>
            <w:r w:rsidRPr="00F552F0">
              <w:rPr>
                <w:sz w:val="22"/>
                <w:szCs w:val="22"/>
              </w:rPr>
              <w:t>fficiency</w:t>
            </w:r>
          </w:p>
        </w:tc>
      </w:tr>
      <w:tr w:rsidR="00A947E6" w:rsidRPr="00F552F0" w:rsidTr="00A947E6">
        <w:trPr>
          <w:trHeight w:val="443"/>
        </w:trPr>
        <w:tc>
          <w:tcPr>
            <w:tcW w:w="8928" w:type="dxa"/>
            <w:gridSpan w:val="9"/>
            <w:tcBorders>
              <w:top w:val="nil"/>
              <w:left w:val="nil"/>
              <w:bottom w:val="single" w:sz="4" w:space="0" w:color="auto"/>
              <w:right w:val="nil"/>
            </w:tcBorders>
            <w:shd w:val="clear" w:color="auto" w:fill="auto"/>
            <w:noWrap/>
          </w:tcPr>
          <w:p w:rsidR="00D1076B" w:rsidRPr="00F552F0" w:rsidRDefault="005548D0" w:rsidP="00B01F00">
            <w:pPr>
              <w:jc w:val="both"/>
              <w:rPr>
                <w:b/>
                <w:sz w:val="22"/>
              </w:rPr>
            </w:pPr>
            <w:r w:rsidRPr="00F552F0">
              <w:rPr>
                <w:sz w:val="18"/>
                <w:szCs w:val="18"/>
              </w:rPr>
              <w:tab/>
            </w:r>
            <w:r w:rsidR="00A947E6" w:rsidRPr="00F552F0">
              <w:rPr>
                <w:sz w:val="18"/>
                <w:szCs w:val="18"/>
              </w:rPr>
              <w:t xml:space="preserve">Each row in Panel A summarizes country-level regressions explaining capital allocation quality with banking system control measures.  </w:t>
            </w:r>
            <w:r w:rsidR="00811C61" w:rsidRPr="00F552F0">
              <w:rPr>
                <w:sz w:val="18"/>
                <w:szCs w:val="18"/>
              </w:rPr>
              <w:t>Its</w:t>
            </w:r>
            <w:r w:rsidR="003D5871" w:rsidRPr="00F552F0">
              <w:rPr>
                <w:sz w:val="18"/>
                <w:szCs w:val="18"/>
              </w:rPr>
              <w:t xml:space="preserve"> sample</w:t>
            </w:r>
            <w:r w:rsidR="00811C61" w:rsidRPr="00F552F0">
              <w:rPr>
                <w:sz w:val="18"/>
                <w:szCs w:val="18"/>
              </w:rPr>
              <w:t>s include</w:t>
            </w:r>
            <w:r w:rsidR="003D5871" w:rsidRPr="00F552F0">
              <w:rPr>
                <w:sz w:val="18"/>
                <w:szCs w:val="18"/>
              </w:rPr>
              <w:t xml:space="preserve"> </w:t>
            </w:r>
            <w:r w:rsidR="00811C61" w:rsidRPr="00F552F0">
              <w:rPr>
                <w:sz w:val="18"/>
                <w:szCs w:val="18"/>
              </w:rPr>
              <w:t>up to</w:t>
            </w:r>
            <w:r w:rsidR="003D5871" w:rsidRPr="00F552F0">
              <w:rPr>
                <w:sz w:val="18"/>
                <w:szCs w:val="18"/>
              </w:rPr>
              <w:t xml:space="preserve"> </w:t>
            </w:r>
            <w:r w:rsidR="00811C61" w:rsidRPr="00F552F0">
              <w:rPr>
                <w:sz w:val="18"/>
                <w:szCs w:val="18"/>
              </w:rPr>
              <w:t xml:space="preserve">the </w:t>
            </w:r>
            <w:r w:rsidR="003D5871" w:rsidRPr="00F552F0">
              <w:rPr>
                <w:sz w:val="18"/>
                <w:szCs w:val="18"/>
              </w:rPr>
              <w:t xml:space="preserve">44 </w:t>
            </w:r>
            <w:r w:rsidR="00811C61" w:rsidRPr="00F552F0">
              <w:rPr>
                <w:sz w:val="18"/>
                <w:szCs w:val="18"/>
              </w:rPr>
              <w:t xml:space="preserve">countries in Panel A, </w:t>
            </w:r>
            <w:r w:rsidR="0001373F" w:rsidRPr="00F552F0">
              <w:rPr>
                <w:sz w:val="18"/>
                <w:szCs w:val="18"/>
              </w:rPr>
              <w:t xml:space="preserve">limited by the availability of </w:t>
            </w:r>
            <w:r w:rsidR="00811C61" w:rsidRPr="00F552F0">
              <w:rPr>
                <w:sz w:val="18"/>
                <w:szCs w:val="18"/>
              </w:rPr>
              <w:t xml:space="preserve">the </w:t>
            </w:r>
            <w:r w:rsidR="0001373F" w:rsidRPr="00F552F0">
              <w:rPr>
                <w:sz w:val="18"/>
                <w:szCs w:val="18"/>
              </w:rPr>
              <w:t xml:space="preserve">variables </w:t>
            </w:r>
            <w:r w:rsidR="00811C61" w:rsidRPr="00F552F0">
              <w:rPr>
                <w:sz w:val="18"/>
                <w:szCs w:val="18"/>
              </w:rPr>
              <w:t xml:space="preserve">used in </w:t>
            </w:r>
            <w:r w:rsidR="0001373F" w:rsidRPr="00F552F0">
              <w:rPr>
                <w:sz w:val="18"/>
                <w:szCs w:val="18"/>
              </w:rPr>
              <w:t xml:space="preserve">in </w:t>
            </w:r>
            <w:r w:rsidR="00811C61" w:rsidRPr="00F552F0">
              <w:rPr>
                <w:sz w:val="18"/>
                <w:szCs w:val="18"/>
              </w:rPr>
              <w:t>each</w:t>
            </w:r>
            <w:r w:rsidR="0001373F" w:rsidRPr="00F552F0">
              <w:rPr>
                <w:sz w:val="18"/>
                <w:szCs w:val="18"/>
              </w:rPr>
              <w:t xml:space="preserve"> regression</w:t>
            </w:r>
            <w:r w:rsidR="003D5871" w:rsidRPr="00F552F0">
              <w:rPr>
                <w:sz w:val="18"/>
                <w:szCs w:val="18"/>
              </w:rPr>
              <w:t xml:space="preserve">. </w:t>
            </w:r>
            <w:r w:rsidR="00A947E6" w:rsidRPr="00F552F0">
              <w:rPr>
                <w:sz w:val="18"/>
                <w:szCs w:val="18"/>
              </w:rPr>
              <w:t xml:space="preserve">All </w:t>
            </w:r>
            <w:r w:rsidR="0001373F" w:rsidRPr="00F552F0">
              <w:rPr>
                <w:sz w:val="18"/>
                <w:szCs w:val="18"/>
              </w:rPr>
              <w:t xml:space="preserve">regressions </w:t>
            </w:r>
            <w:r w:rsidR="00A947E6" w:rsidRPr="00F552F0">
              <w:rPr>
                <w:sz w:val="18"/>
                <w:szCs w:val="18"/>
              </w:rPr>
              <w:t>are OLS except for that of the numbers of banking crises, which is negative binomial, and the number of banking crises including 2008, which is a Poisson regression (as the negat</w:t>
            </w:r>
            <w:r w:rsidR="004D2A37" w:rsidRPr="00F552F0">
              <w:rPr>
                <w:sz w:val="18"/>
                <w:szCs w:val="18"/>
              </w:rPr>
              <w:t>ive binomial does not converge)</w:t>
            </w:r>
            <w:r w:rsidR="00A947E6" w:rsidRPr="00F552F0">
              <w:rPr>
                <w:sz w:val="18"/>
                <w:szCs w:val="18"/>
              </w:rPr>
              <w:t xml:space="preserve">. Each row of Panel B summarizes a multi-country industry-level regression of value-added growth on interactions of industry </w:t>
            </w:r>
            <w:r w:rsidR="006D635D" w:rsidRPr="00F552F0">
              <w:rPr>
                <w:sz w:val="18"/>
                <w:szCs w:val="18"/>
              </w:rPr>
              <w:t>external-finance</w:t>
            </w:r>
            <w:r w:rsidR="00A947E6" w:rsidRPr="00F552F0">
              <w:rPr>
                <w:sz w:val="18"/>
                <w:szCs w:val="18"/>
              </w:rPr>
              <w:t xml:space="preserve"> dependence with banking system control measure</w:t>
            </w:r>
            <w:r w:rsidR="004D2A37" w:rsidRPr="00F552F0">
              <w:rPr>
                <w:sz w:val="18"/>
                <w:szCs w:val="18"/>
              </w:rPr>
              <w:t>s</w:t>
            </w:r>
            <w:r w:rsidR="00A947E6" w:rsidRPr="00F552F0">
              <w:rPr>
                <w:sz w:val="18"/>
                <w:szCs w:val="18"/>
              </w:rPr>
              <w:t xml:space="preserve">. All variables are as in Table 3. </w:t>
            </w:r>
            <w:r w:rsidR="00B01F00" w:rsidRPr="00F552F0">
              <w:rPr>
                <w:sz w:val="20"/>
                <w:szCs w:val="18"/>
              </w:rPr>
              <w:t xml:space="preserve">Robust </w:t>
            </w:r>
            <w:r w:rsidR="00B01F00" w:rsidRPr="00F552F0">
              <w:rPr>
                <w:i/>
                <w:sz w:val="20"/>
                <w:szCs w:val="18"/>
              </w:rPr>
              <w:t>t</w:t>
            </w:r>
            <w:r w:rsidR="00B01F00" w:rsidRPr="00F552F0">
              <w:rPr>
                <w:sz w:val="20"/>
                <w:szCs w:val="18"/>
              </w:rPr>
              <w:t>-statistics are in parentheses</w:t>
            </w:r>
            <w:r w:rsidR="00A947E6" w:rsidRPr="00F552F0">
              <w:rPr>
                <w:sz w:val="18"/>
                <w:szCs w:val="18"/>
              </w:rPr>
              <w:t>.</w:t>
            </w:r>
            <w:r w:rsidR="003D5871" w:rsidRPr="00F552F0">
              <w:rPr>
                <w:sz w:val="18"/>
                <w:szCs w:val="18"/>
              </w:rPr>
              <w:t xml:space="preserve"> Boldface indicates significance at 10% or better.</w:t>
            </w:r>
          </w:p>
        </w:tc>
      </w:tr>
      <w:tr w:rsidR="002310B8" w:rsidRPr="00F552F0" w:rsidTr="002310B8">
        <w:trPr>
          <w:trHeight w:val="443"/>
        </w:trPr>
        <w:tc>
          <w:tcPr>
            <w:tcW w:w="1097" w:type="dxa"/>
            <w:tcBorders>
              <w:top w:val="single" w:sz="4" w:space="0" w:color="auto"/>
              <w:left w:val="nil"/>
              <w:bottom w:val="single" w:sz="4" w:space="0" w:color="auto"/>
              <w:right w:val="nil"/>
            </w:tcBorders>
            <w:shd w:val="clear" w:color="auto" w:fill="auto"/>
            <w:noWrap/>
            <w:vAlign w:val="center"/>
          </w:tcPr>
          <w:p w:rsidR="00A8160B" w:rsidRPr="00F552F0" w:rsidRDefault="003D5871" w:rsidP="00717D54">
            <w:pPr>
              <w:jc w:val="center"/>
              <w:rPr>
                <w:i/>
                <w:color w:val="000000"/>
                <w:sz w:val="18"/>
                <w:szCs w:val="18"/>
              </w:rPr>
            </w:pPr>
            <w:r w:rsidRPr="00F552F0">
              <w:rPr>
                <w:i/>
                <w:iCs/>
                <w:color w:val="000000"/>
                <w:sz w:val="18"/>
                <w:szCs w:val="18"/>
              </w:rPr>
              <w:t>PANEL A</w:t>
            </w:r>
            <w:r w:rsidR="00BF6193" w:rsidRPr="00F552F0">
              <w:rPr>
                <w:i/>
                <w:iCs/>
                <w:color w:val="000000"/>
                <w:sz w:val="18"/>
                <w:szCs w:val="18"/>
              </w:rPr>
              <w:t>:</w:t>
            </w:r>
          </w:p>
        </w:tc>
        <w:tc>
          <w:tcPr>
            <w:tcW w:w="109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Widely held</w:t>
            </w:r>
          </w:p>
        </w:tc>
        <w:tc>
          <w:tcPr>
            <w:tcW w:w="1095" w:type="dxa"/>
            <w:tcBorders>
              <w:top w:val="single" w:sz="4" w:space="0" w:color="auto"/>
              <w:left w:val="nil"/>
              <w:bottom w:val="single" w:sz="4" w:space="0" w:color="auto"/>
              <w:right w:val="nil"/>
            </w:tcBorders>
            <w:shd w:val="clear" w:color="auto" w:fill="auto"/>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Family</w:t>
            </w:r>
          </w:p>
        </w:tc>
        <w:tc>
          <w:tcPr>
            <w:tcW w:w="109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State</w:t>
            </w:r>
          </w:p>
        </w:tc>
        <w:tc>
          <w:tcPr>
            <w:tcW w:w="1096" w:type="dxa"/>
            <w:tcBorders>
              <w:top w:val="single" w:sz="4" w:space="0" w:color="auto"/>
              <w:left w:val="nil"/>
              <w:bottom w:val="single" w:sz="4" w:space="0" w:color="auto"/>
              <w:right w:val="nil"/>
            </w:tcBorders>
            <w:shd w:val="clear" w:color="auto" w:fill="auto"/>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Banking system size</w:t>
            </w:r>
          </w:p>
        </w:tc>
        <w:tc>
          <w:tcPr>
            <w:tcW w:w="109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Stock market size</w:t>
            </w:r>
          </w:p>
        </w:tc>
        <w:tc>
          <w:tcPr>
            <w:tcW w:w="109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A947E6" w:rsidRPr="00F552F0" w:rsidRDefault="00A8160B" w:rsidP="00717D54">
            <w:pPr>
              <w:jc w:val="center"/>
              <w:rPr>
                <w:color w:val="000000"/>
                <w:sz w:val="18"/>
                <w:szCs w:val="18"/>
              </w:rPr>
            </w:pPr>
            <w:r w:rsidRPr="00F552F0">
              <w:rPr>
                <w:color w:val="000000"/>
                <w:sz w:val="18"/>
                <w:szCs w:val="18"/>
              </w:rPr>
              <w:t xml:space="preserve">Initial </w:t>
            </w:r>
          </w:p>
          <w:p w:rsidR="00A8160B" w:rsidRPr="00F552F0" w:rsidRDefault="00A8160B" w:rsidP="00717D54">
            <w:pPr>
              <w:jc w:val="center"/>
              <w:rPr>
                <w:color w:val="000000"/>
                <w:sz w:val="18"/>
                <w:szCs w:val="18"/>
              </w:rPr>
            </w:pPr>
            <w:r w:rsidRPr="00F552F0">
              <w:rPr>
                <w:color w:val="000000"/>
                <w:sz w:val="18"/>
                <w:szCs w:val="18"/>
              </w:rPr>
              <w:t>income</w:t>
            </w:r>
          </w:p>
        </w:tc>
        <w:tc>
          <w:tcPr>
            <w:tcW w:w="63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A8160B" w:rsidRPr="00F552F0" w:rsidRDefault="00BF6193" w:rsidP="00717D54">
            <w:pPr>
              <w:jc w:val="center"/>
              <w:rPr>
                <w:color w:val="000000"/>
                <w:sz w:val="18"/>
                <w:szCs w:val="18"/>
              </w:rPr>
            </w:pPr>
            <w:r w:rsidRPr="00F552F0">
              <w:rPr>
                <w:i/>
                <w:color w:val="000000"/>
                <w:sz w:val="18"/>
                <w:szCs w:val="18"/>
              </w:rPr>
              <w:t>R</w:t>
            </w:r>
            <w:r w:rsidR="00A8160B" w:rsidRPr="00F552F0">
              <w:rPr>
                <w:color w:val="000000"/>
                <w:sz w:val="18"/>
                <w:szCs w:val="18"/>
                <w:vertAlign w:val="superscript"/>
              </w:rPr>
              <w:t>2</w:t>
            </w:r>
          </w:p>
        </w:tc>
        <w:tc>
          <w:tcPr>
            <w:tcW w:w="630" w:type="dxa"/>
            <w:tcBorders>
              <w:top w:val="single" w:sz="4" w:space="0" w:color="auto"/>
              <w:left w:val="nil"/>
              <w:bottom w:val="single" w:sz="4" w:space="0" w:color="auto"/>
              <w:right w:val="nil"/>
            </w:tcBorders>
            <w:shd w:val="clear" w:color="auto" w:fill="auto"/>
            <w:tcMar>
              <w:top w:w="0" w:type="dxa"/>
              <w:left w:w="15" w:type="dxa"/>
              <w:bottom w:w="0" w:type="dxa"/>
              <w:right w:w="15" w:type="dxa"/>
            </w:tcMar>
            <w:vAlign w:val="center"/>
          </w:tcPr>
          <w:p w:rsidR="00A8160B" w:rsidRPr="00F552F0" w:rsidRDefault="00BF6193" w:rsidP="00717D54">
            <w:pPr>
              <w:jc w:val="center"/>
              <w:rPr>
                <w:i/>
                <w:color w:val="000000"/>
                <w:sz w:val="18"/>
                <w:szCs w:val="18"/>
              </w:rPr>
            </w:pPr>
            <w:r w:rsidRPr="00F552F0">
              <w:rPr>
                <w:i/>
                <w:color w:val="000000"/>
                <w:sz w:val="18"/>
                <w:szCs w:val="18"/>
              </w:rPr>
              <w:t>N</w:t>
            </w:r>
          </w:p>
        </w:tc>
      </w:tr>
      <w:tr w:rsidR="002310B8" w:rsidRPr="00F552F0" w:rsidTr="002310B8">
        <w:trPr>
          <w:trHeight w:val="227"/>
        </w:trPr>
        <w:tc>
          <w:tcPr>
            <w:tcW w:w="1097" w:type="dxa"/>
            <w:vMerge w:val="restart"/>
            <w:tcBorders>
              <w:top w:val="single" w:sz="4" w:space="0" w:color="auto"/>
              <w:left w:val="nil"/>
              <w:bottom w:val="nil"/>
              <w:right w:val="nil"/>
            </w:tcBorders>
            <w:shd w:val="clear" w:color="auto" w:fill="auto"/>
            <w:vAlign w:val="center"/>
          </w:tcPr>
          <w:p w:rsidR="00A8160B" w:rsidRPr="00F552F0" w:rsidRDefault="00A8160B" w:rsidP="00717D54">
            <w:pPr>
              <w:jc w:val="center"/>
              <w:rPr>
                <w:color w:val="000000"/>
                <w:sz w:val="18"/>
                <w:szCs w:val="18"/>
              </w:rPr>
            </w:pPr>
            <w:r w:rsidRPr="00F552F0">
              <w:rPr>
                <w:iCs/>
                <w:color w:val="000000"/>
                <w:sz w:val="18"/>
                <w:szCs w:val="18"/>
              </w:rPr>
              <w:t xml:space="preserve">Capital </w:t>
            </w:r>
            <w:r w:rsidR="003B4863" w:rsidRPr="00F552F0">
              <w:rPr>
                <w:iCs/>
                <w:color w:val="000000"/>
                <w:sz w:val="18"/>
                <w:szCs w:val="18"/>
              </w:rPr>
              <w:t>a</w:t>
            </w:r>
            <w:r w:rsidRPr="00F552F0">
              <w:rPr>
                <w:iCs/>
                <w:color w:val="000000"/>
                <w:sz w:val="18"/>
                <w:szCs w:val="18"/>
              </w:rPr>
              <w:t xml:space="preserve">llocation </w:t>
            </w:r>
            <w:r w:rsidR="003B4863" w:rsidRPr="00F552F0">
              <w:rPr>
                <w:iCs/>
                <w:color w:val="000000"/>
                <w:sz w:val="18"/>
                <w:szCs w:val="18"/>
              </w:rPr>
              <w:t>e</w:t>
            </w:r>
            <w:r w:rsidRPr="00F552F0">
              <w:rPr>
                <w:iCs/>
                <w:color w:val="000000"/>
                <w:sz w:val="18"/>
                <w:szCs w:val="18"/>
              </w:rPr>
              <w:t>fficiency (1993</w:t>
            </w:r>
            <w:r w:rsidR="003B4863" w:rsidRPr="00F552F0">
              <w:rPr>
                <w:iCs/>
                <w:color w:val="000000"/>
                <w:sz w:val="18"/>
                <w:szCs w:val="18"/>
              </w:rPr>
              <w:t>–</w:t>
            </w:r>
            <w:r w:rsidRPr="00F552F0">
              <w:rPr>
                <w:iCs/>
                <w:color w:val="000000"/>
                <w:sz w:val="18"/>
                <w:szCs w:val="18"/>
              </w:rPr>
              <w:t>2003)</w:t>
            </w:r>
          </w:p>
        </w:tc>
        <w:tc>
          <w:tcPr>
            <w:tcW w:w="109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-0.372</w:t>
            </w: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-0.088</w:t>
            </w:r>
          </w:p>
        </w:tc>
        <w:tc>
          <w:tcPr>
            <w:tcW w:w="1096" w:type="dxa"/>
            <w:tcBorders>
              <w:top w:val="single" w:sz="4" w:space="0" w:color="auto"/>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0.067</w:t>
            </w: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0.086</w:t>
            </w:r>
          </w:p>
        </w:tc>
        <w:tc>
          <w:tcPr>
            <w:tcW w:w="1096"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0.093</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0.35</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33</w:t>
            </w:r>
          </w:p>
        </w:tc>
      </w:tr>
      <w:tr w:rsidR="002310B8" w:rsidRPr="00F552F0" w:rsidTr="002310B8">
        <w:trPr>
          <w:trHeight w:val="315"/>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2.18</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0.43</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0.28</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0.86</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2.19</w:t>
            </w:r>
            <w:r w:rsidRPr="00F552F0">
              <w:rPr>
                <w:b/>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15"/>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bCs/>
                <w:color w:val="000000"/>
                <w:sz w:val="18"/>
                <w:szCs w:val="18"/>
              </w:rPr>
            </w:pPr>
            <w:r w:rsidRPr="00F552F0">
              <w:rPr>
                <w:b/>
                <w:bCs/>
                <w:color w:val="000000"/>
                <w:sz w:val="18"/>
                <w:szCs w:val="18"/>
              </w:rPr>
              <w:t>0.262</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0.119</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0.045</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0.073</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0.33</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33</w:t>
            </w:r>
          </w:p>
        </w:tc>
      </w:tr>
      <w:tr w:rsidR="002310B8" w:rsidRPr="00F552F0" w:rsidTr="002310B8">
        <w:trPr>
          <w:trHeight w:val="315"/>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bCs/>
                <w:color w:val="000000"/>
                <w:sz w:val="18"/>
                <w:szCs w:val="18"/>
              </w:rPr>
            </w:pPr>
            <w:r w:rsidRPr="00F552F0">
              <w:rPr>
                <w:b/>
                <w:bCs/>
                <w:color w:val="000000"/>
                <w:sz w:val="18"/>
                <w:szCs w:val="18"/>
              </w:rPr>
              <w:t>(</w:t>
            </w:r>
            <w:r w:rsidR="00841C34" w:rsidRPr="00F552F0">
              <w:rPr>
                <w:b/>
                <w:bCs/>
                <w:color w:val="000000"/>
                <w:sz w:val="18"/>
                <w:szCs w:val="18"/>
              </w:rPr>
              <w:t>1.81</w:t>
            </w:r>
            <w:r w:rsidRPr="00F552F0">
              <w:rPr>
                <w:b/>
                <w:bCs/>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0.49</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.47</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1.46</w:t>
            </w:r>
            <w:r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15"/>
        </w:trPr>
        <w:tc>
          <w:tcPr>
            <w:tcW w:w="1097" w:type="dxa"/>
            <w:vMerge w:val="restart"/>
            <w:tcBorders>
              <w:top w:val="nil"/>
              <w:left w:val="nil"/>
              <w:bottom w:val="nil"/>
              <w:right w:val="nil"/>
            </w:tcBorders>
            <w:shd w:val="clear" w:color="auto" w:fill="auto"/>
            <w:vAlign w:val="center"/>
          </w:tcPr>
          <w:p w:rsidR="00A8160B" w:rsidRPr="00F552F0" w:rsidRDefault="00A8160B" w:rsidP="00717D54">
            <w:pPr>
              <w:jc w:val="center"/>
              <w:rPr>
                <w:color w:val="000000"/>
                <w:sz w:val="18"/>
                <w:szCs w:val="18"/>
              </w:rPr>
            </w:pPr>
            <w:r w:rsidRPr="00F552F0">
              <w:rPr>
                <w:iCs/>
                <w:color w:val="000000"/>
                <w:sz w:val="18"/>
                <w:szCs w:val="18"/>
              </w:rPr>
              <w:t xml:space="preserve">Capital </w:t>
            </w:r>
            <w:r w:rsidR="003B4863" w:rsidRPr="00F552F0">
              <w:rPr>
                <w:iCs/>
                <w:color w:val="000000"/>
                <w:sz w:val="18"/>
                <w:szCs w:val="18"/>
              </w:rPr>
              <w:t>a</w:t>
            </w:r>
            <w:r w:rsidRPr="00F552F0">
              <w:rPr>
                <w:iCs/>
                <w:color w:val="000000"/>
                <w:sz w:val="18"/>
                <w:szCs w:val="18"/>
              </w:rPr>
              <w:t xml:space="preserve">llocation </w:t>
            </w:r>
            <w:r w:rsidR="003B4863" w:rsidRPr="00F552F0">
              <w:rPr>
                <w:iCs/>
                <w:color w:val="000000"/>
                <w:sz w:val="18"/>
                <w:szCs w:val="18"/>
              </w:rPr>
              <w:t>e</w:t>
            </w:r>
            <w:r w:rsidRPr="00F552F0">
              <w:rPr>
                <w:iCs/>
                <w:color w:val="000000"/>
                <w:sz w:val="18"/>
                <w:szCs w:val="18"/>
              </w:rPr>
              <w:t>fficiency (1963</w:t>
            </w:r>
            <w:r w:rsidR="003B4863" w:rsidRPr="00F552F0">
              <w:rPr>
                <w:iCs/>
                <w:color w:val="000000"/>
                <w:sz w:val="18"/>
                <w:szCs w:val="18"/>
              </w:rPr>
              <w:t>–</w:t>
            </w:r>
            <w:r w:rsidRPr="00F552F0">
              <w:rPr>
                <w:iCs/>
                <w:color w:val="000000"/>
                <w:sz w:val="18"/>
                <w:szCs w:val="18"/>
              </w:rPr>
              <w:t>2003)</w:t>
            </w: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-0.284</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-0.462</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0.003</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0.053</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0.043</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0.61</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39</w:t>
            </w:r>
          </w:p>
        </w:tc>
      </w:tr>
      <w:tr w:rsidR="002310B8" w:rsidRPr="00F552F0" w:rsidTr="002310B8">
        <w:trPr>
          <w:trHeight w:val="315"/>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3.10</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3.97</w:t>
            </w:r>
            <w:r w:rsidRPr="00F552F0">
              <w:rPr>
                <w:b/>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0.03</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1.06</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841C34" w:rsidP="00717D54">
            <w:pPr>
              <w:jc w:val="center"/>
              <w:rPr>
                <w:color w:val="000000"/>
                <w:sz w:val="18"/>
                <w:szCs w:val="18"/>
              </w:rPr>
            </w:pPr>
            <w:r w:rsidRPr="00F552F0">
              <w:rPr>
                <w:color w:val="000000"/>
                <w:sz w:val="18"/>
                <w:szCs w:val="18"/>
              </w:rPr>
              <w:t>(1.46</w:t>
            </w:r>
            <w:r w:rsidR="00A8160B"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272"/>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0.353</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-0.03</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0.083</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0.055</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0.59</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39</w:t>
            </w:r>
          </w:p>
        </w:tc>
      </w:tr>
      <w:tr w:rsidR="002310B8" w:rsidRPr="00F552F0" w:rsidTr="002310B8">
        <w:trPr>
          <w:trHeight w:val="245"/>
        </w:trPr>
        <w:tc>
          <w:tcPr>
            <w:tcW w:w="1097" w:type="dxa"/>
            <w:vMerge/>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4.12</w:t>
            </w:r>
            <w:r w:rsidRPr="00F552F0">
              <w:rPr>
                <w:b/>
                <w:color w:val="000000"/>
                <w:sz w:val="18"/>
                <w:szCs w:val="18"/>
              </w:rPr>
              <w:t>)</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0.38</w:t>
            </w:r>
            <w:r w:rsidRPr="00F552F0">
              <w:rPr>
                <w:color w:val="000000"/>
                <w:sz w:val="18"/>
                <w:szCs w:val="18"/>
              </w:rPr>
              <w:t>)</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1.43</w:t>
            </w:r>
            <w:r w:rsidRPr="00F552F0">
              <w:rPr>
                <w:color w:val="000000"/>
                <w:sz w:val="18"/>
                <w:szCs w:val="18"/>
              </w:rPr>
              <w:t>)</w:t>
            </w:r>
          </w:p>
        </w:tc>
        <w:tc>
          <w:tcPr>
            <w:tcW w:w="1096"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2.00</w:t>
            </w:r>
            <w:r w:rsidRPr="00F552F0">
              <w:rPr>
                <w:b/>
                <w:color w:val="000000"/>
                <w:sz w:val="18"/>
                <w:szCs w:val="18"/>
              </w:rPr>
              <w:t>)</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val="restart"/>
            <w:tcBorders>
              <w:top w:val="nil"/>
              <w:left w:val="nil"/>
              <w:bottom w:val="nil"/>
              <w:right w:val="nil"/>
            </w:tcBorders>
            <w:shd w:val="clear" w:color="auto" w:fill="auto"/>
            <w:vAlign w:val="center"/>
          </w:tcPr>
          <w:p w:rsidR="00A8160B" w:rsidRPr="00F552F0" w:rsidRDefault="001578B3" w:rsidP="00717D54">
            <w:pPr>
              <w:jc w:val="center"/>
              <w:rPr>
                <w:color w:val="000000"/>
                <w:sz w:val="18"/>
                <w:szCs w:val="18"/>
              </w:rPr>
            </w:pPr>
            <w:r w:rsidRPr="00F552F0">
              <w:rPr>
                <w:color w:val="000000"/>
                <w:sz w:val="18"/>
                <w:szCs w:val="18"/>
              </w:rPr>
              <w:t>Nonperforming</w:t>
            </w:r>
            <w:r w:rsidR="00A8160B" w:rsidRPr="00F552F0">
              <w:rPr>
                <w:color w:val="000000"/>
                <w:sz w:val="18"/>
                <w:szCs w:val="18"/>
              </w:rPr>
              <w:t xml:space="preserve"> </w:t>
            </w:r>
            <w:r w:rsidR="003B4863" w:rsidRPr="00F552F0">
              <w:rPr>
                <w:color w:val="000000"/>
                <w:sz w:val="18"/>
                <w:szCs w:val="18"/>
              </w:rPr>
              <w:t>l</w:t>
            </w:r>
            <w:r w:rsidR="00A8160B" w:rsidRPr="00F552F0">
              <w:rPr>
                <w:color w:val="000000"/>
                <w:sz w:val="18"/>
                <w:szCs w:val="18"/>
              </w:rPr>
              <w:t>oans</w:t>
            </w: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1.287</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1.349</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0.356</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-0.266</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-0.398</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0.65</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2.71</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2.74</w:t>
            </w:r>
            <w:r w:rsidRPr="00F552F0">
              <w:rPr>
                <w:b/>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1.15</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1.20</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3.26</w:t>
            </w:r>
            <w:r w:rsidRPr="00F552F0">
              <w:rPr>
                <w:b/>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-1.312</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0.364</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-0.274</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-0.401</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0.65</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263"/>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3.15</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1.31</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1.31</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3.57</w:t>
            </w:r>
            <w:r w:rsidRPr="00F552F0">
              <w:rPr>
                <w:b/>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val="restart"/>
            <w:tcBorders>
              <w:top w:val="nil"/>
              <w:left w:val="nil"/>
              <w:bottom w:val="nil"/>
              <w:right w:val="nil"/>
            </w:tcBorders>
            <w:shd w:val="clear" w:color="auto" w:fill="auto"/>
            <w:vAlign w:val="center"/>
          </w:tcPr>
          <w:p w:rsidR="00A8160B" w:rsidRPr="00F552F0" w:rsidRDefault="00A8160B" w:rsidP="00717D54">
            <w:pPr>
              <w:jc w:val="center"/>
              <w:rPr>
                <w:color w:val="000000"/>
                <w:sz w:val="18"/>
                <w:szCs w:val="18"/>
              </w:rPr>
            </w:pPr>
            <w:r w:rsidRPr="00F552F0">
              <w:rPr>
                <w:color w:val="000000"/>
                <w:sz w:val="18"/>
                <w:szCs w:val="18"/>
              </w:rPr>
              <w:t xml:space="preserve">Banking </w:t>
            </w:r>
            <w:r w:rsidR="003B4863" w:rsidRPr="00F552F0">
              <w:rPr>
                <w:color w:val="000000"/>
                <w:sz w:val="18"/>
                <w:szCs w:val="18"/>
              </w:rPr>
              <w:t>c</w:t>
            </w:r>
            <w:r w:rsidRPr="00F552F0">
              <w:rPr>
                <w:color w:val="000000"/>
                <w:sz w:val="18"/>
                <w:szCs w:val="18"/>
              </w:rPr>
              <w:t>rises</w:t>
            </w: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3.152</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1.085</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0.073</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-0.774</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-0.105</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0.21</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2.83</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1.00</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11</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1</w:t>
            </w:r>
            <w:r w:rsidRPr="00F552F0">
              <w:rPr>
                <w:b/>
                <w:color w:val="000000"/>
                <w:sz w:val="18"/>
                <w:szCs w:val="18"/>
              </w:rPr>
              <w:t>.</w:t>
            </w:r>
            <w:r w:rsidR="00841C34" w:rsidRPr="00F552F0">
              <w:rPr>
                <w:b/>
                <w:color w:val="000000"/>
                <w:sz w:val="18"/>
                <w:szCs w:val="18"/>
              </w:rPr>
              <w:t>68</w:t>
            </w:r>
            <w:r w:rsidRPr="00F552F0">
              <w:rPr>
                <w:b/>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40</w:t>
            </w:r>
            <w:r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-2.32</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-0.496</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-0.454</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0.16</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0.16</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15"/>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2.63</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87</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1.06</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91</w:t>
            </w:r>
            <w:r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val="restart"/>
            <w:tcBorders>
              <w:top w:val="nil"/>
              <w:left w:val="nil"/>
              <w:bottom w:val="nil"/>
              <w:right w:val="nil"/>
            </w:tcBorders>
            <w:shd w:val="clear" w:color="auto" w:fill="auto"/>
            <w:vAlign w:val="center"/>
          </w:tcPr>
          <w:p w:rsidR="00A8160B" w:rsidRPr="00F552F0" w:rsidRDefault="00A8160B" w:rsidP="00A8160B">
            <w:pPr>
              <w:jc w:val="center"/>
              <w:rPr>
                <w:color w:val="000000"/>
                <w:sz w:val="18"/>
                <w:szCs w:val="18"/>
              </w:rPr>
            </w:pPr>
            <w:r w:rsidRPr="00F552F0">
              <w:rPr>
                <w:color w:val="000000"/>
                <w:sz w:val="18"/>
                <w:szCs w:val="18"/>
              </w:rPr>
              <w:t xml:space="preserve">Banking </w:t>
            </w:r>
            <w:r w:rsidR="003B4863" w:rsidRPr="00F552F0">
              <w:rPr>
                <w:color w:val="000000"/>
                <w:sz w:val="18"/>
                <w:szCs w:val="18"/>
              </w:rPr>
              <w:t>c</w:t>
            </w:r>
            <w:r w:rsidRPr="00F552F0">
              <w:rPr>
                <w:color w:val="000000"/>
                <w:sz w:val="18"/>
                <w:szCs w:val="18"/>
              </w:rPr>
              <w:t>rises, including  2008</w:t>
            </w: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1.239</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0.197</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-0.013</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-0.237</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0.138</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0.03</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1.72</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25</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0.03</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71</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70</w:t>
            </w:r>
            <w:r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-0.836</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-0.189</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-0.117</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0.199</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0.02</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15"/>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1.31</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41</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(0.36)</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1.09</w:t>
            </w:r>
            <w:r w:rsidRPr="00F552F0">
              <w:rPr>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val="restart"/>
            <w:tcBorders>
              <w:top w:val="nil"/>
              <w:left w:val="nil"/>
              <w:bottom w:val="nil"/>
              <w:right w:val="nil"/>
            </w:tcBorders>
            <w:shd w:val="clear" w:color="auto" w:fill="auto"/>
            <w:vAlign w:val="center"/>
          </w:tcPr>
          <w:p w:rsidR="00A8160B" w:rsidRPr="00F552F0" w:rsidRDefault="00A8160B" w:rsidP="00717D54">
            <w:pPr>
              <w:jc w:val="center"/>
              <w:rPr>
                <w:color w:val="000000"/>
                <w:sz w:val="18"/>
                <w:szCs w:val="18"/>
              </w:rPr>
            </w:pPr>
            <w:r w:rsidRPr="00F552F0">
              <w:rPr>
                <w:color w:val="000000"/>
                <w:sz w:val="18"/>
                <w:szCs w:val="18"/>
              </w:rPr>
              <w:t>Growth</w:t>
            </w:r>
            <w:r w:rsidR="003B4863" w:rsidRPr="00F552F0">
              <w:rPr>
                <w:color w:val="000000"/>
                <w:sz w:val="18"/>
                <w:szCs w:val="18"/>
              </w:rPr>
              <w:t>-r</w:t>
            </w:r>
            <w:r w:rsidRPr="00F552F0">
              <w:rPr>
                <w:color w:val="000000"/>
                <w:sz w:val="18"/>
                <w:szCs w:val="18"/>
              </w:rPr>
              <w:t xml:space="preserve">ate </w:t>
            </w:r>
            <w:r w:rsidR="003B4863" w:rsidRPr="00F552F0">
              <w:rPr>
                <w:color w:val="000000"/>
                <w:sz w:val="18"/>
                <w:szCs w:val="18"/>
              </w:rPr>
              <w:t>v</w:t>
            </w:r>
            <w:r w:rsidRPr="00F552F0">
              <w:rPr>
                <w:color w:val="000000"/>
                <w:sz w:val="18"/>
                <w:szCs w:val="18"/>
              </w:rPr>
              <w:t>olatility</w:t>
            </w: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0.028</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-0.004</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0.002</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0.001</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-0.006</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0.37</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2.60</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0.33</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38</w:t>
            </w:r>
            <w:r w:rsidRPr="00F552F0">
              <w:rPr>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42</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b/>
                <w:color w:val="000000"/>
                <w:sz w:val="18"/>
                <w:szCs w:val="18"/>
              </w:rPr>
            </w:pPr>
            <w:r w:rsidRPr="00F552F0">
              <w:rPr>
                <w:b/>
                <w:color w:val="000000"/>
                <w:sz w:val="18"/>
                <w:szCs w:val="18"/>
              </w:rPr>
              <w:t>(</w:t>
            </w:r>
            <w:r w:rsidR="00841C34" w:rsidRPr="00F552F0">
              <w:rPr>
                <w:b/>
                <w:color w:val="000000"/>
                <w:sz w:val="18"/>
                <w:szCs w:val="18"/>
              </w:rPr>
              <w:t>1.76</w:t>
            </w:r>
            <w:r w:rsidRPr="00F552F0">
              <w:rPr>
                <w:b/>
                <w:color w:val="000000"/>
                <w:sz w:val="18"/>
                <w:szCs w:val="18"/>
              </w:rPr>
              <w:t>)</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300"/>
        </w:trPr>
        <w:tc>
          <w:tcPr>
            <w:tcW w:w="1097" w:type="dxa"/>
            <w:vMerge/>
            <w:tcBorders>
              <w:top w:val="nil"/>
              <w:left w:val="nil"/>
              <w:bottom w:val="nil"/>
              <w:right w:val="nil"/>
            </w:tcBorders>
            <w:shd w:val="clear" w:color="auto" w:fill="auto"/>
            <w:noWrap/>
            <w:vAlign w:val="center"/>
          </w:tcPr>
          <w:p w:rsidR="00A8160B" w:rsidRPr="00F552F0" w:rsidRDefault="00A8160B" w:rsidP="00717D54">
            <w:pPr>
              <w:jc w:val="cente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-0.015</w:t>
            </w:r>
          </w:p>
        </w:tc>
        <w:tc>
          <w:tcPr>
            <w:tcW w:w="1095"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-0.002</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0.005</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-0.004</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0.25</w:t>
            </w:r>
          </w:p>
        </w:tc>
        <w:tc>
          <w:tcPr>
            <w:tcW w:w="630" w:type="dxa"/>
            <w:tcBorders>
              <w:top w:val="nil"/>
              <w:left w:val="nil"/>
              <w:bottom w:val="nil"/>
              <w:right w:val="nil"/>
            </w:tcBorders>
            <w:shd w:val="clear" w:color="auto" w:fill="auto"/>
            <w:noWrap/>
            <w:tcMar>
              <w:top w:w="0"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43</w:t>
            </w:r>
          </w:p>
        </w:tc>
      </w:tr>
      <w:tr w:rsidR="002310B8" w:rsidRPr="00F552F0" w:rsidTr="002310B8">
        <w:trPr>
          <w:trHeight w:val="315"/>
        </w:trPr>
        <w:tc>
          <w:tcPr>
            <w:tcW w:w="1097" w:type="dxa"/>
            <w:vMerge/>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1.59</w:t>
            </w:r>
            <w:r w:rsidRPr="00F552F0">
              <w:rPr>
                <w:color w:val="000000"/>
                <w:sz w:val="18"/>
                <w:szCs w:val="18"/>
              </w:rPr>
              <w:t>)</w:t>
            </w: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109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(0.</w:t>
            </w:r>
            <w:r w:rsidR="00841C34" w:rsidRPr="00F552F0">
              <w:rPr>
                <w:color w:val="000000"/>
                <w:sz w:val="18"/>
                <w:szCs w:val="18"/>
              </w:rPr>
              <w:t>37</w:t>
            </w:r>
            <w:r w:rsidRPr="00F552F0">
              <w:rPr>
                <w:color w:val="000000"/>
                <w:sz w:val="18"/>
                <w:szCs w:val="18"/>
              </w:rPr>
              <w:t>)</w:t>
            </w: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1.37</w:t>
            </w:r>
            <w:r w:rsidRPr="00F552F0">
              <w:rPr>
                <w:color w:val="000000"/>
                <w:sz w:val="18"/>
                <w:szCs w:val="18"/>
              </w:rPr>
              <w:t>)</w:t>
            </w:r>
          </w:p>
        </w:tc>
        <w:tc>
          <w:tcPr>
            <w:tcW w:w="109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r w:rsidRPr="00F552F0">
              <w:rPr>
                <w:color w:val="000000"/>
                <w:sz w:val="18"/>
                <w:szCs w:val="18"/>
              </w:rPr>
              <w:t>(</w:t>
            </w:r>
            <w:r w:rsidR="00841C34" w:rsidRPr="00F552F0">
              <w:rPr>
                <w:color w:val="000000"/>
                <w:sz w:val="18"/>
                <w:szCs w:val="18"/>
              </w:rPr>
              <w:t>1.15</w:t>
            </w:r>
            <w:r w:rsidRPr="00F552F0">
              <w:rPr>
                <w:color w:val="000000"/>
                <w:sz w:val="18"/>
                <w:szCs w:val="18"/>
              </w:rPr>
              <w:t>)</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A8160B" w:rsidRPr="00F552F0" w:rsidRDefault="00A8160B" w:rsidP="00717D54">
            <w:pPr>
              <w:jc w:val="center"/>
              <w:rPr>
                <w:color w:val="000000"/>
                <w:sz w:val="18"/>
                <w:szCs w:val="18"/>
              </w:rPr>
            </w:pPr>
          </w:p>
        </w:tc>
      </w:tr>
      <w:tr w:rsidR="002310B8" w:rsidRPr="00F552F0" w:rsidTr="002310B8">
        <w:trPr>
          <w:trHeight w:val="290"/>
        </w:trPr>
        <w:tc>
          <w:tcPr>
            <w:tcW w:w="1097"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A947E6" w:rsidRPr="00F552F0" w:rsidRDefault="00A947E6" w:rsidP="002310B8">
            <w:pPr>
              <w:jc w:val="center"/>
              <w:rPr>
                <w:b/>
                <w:color w:val="000000"/>
                <w:sz w:val="18"/>
                <w:szCs w:val="18"/>
              </w:rPr>
            </w:pPr>
          </w:p>
          <w:p w:rsidR="002310B8" w:rsidRPr="00F552F0" w:rsidRDefault="003D5871" w:rsidP="002310B8">
            <w:pPr>
              <w:jc w:val="center"/>
              <w:rPr>
                <w:i/>
                <w:color w:val="000000"/>
                <w:sz w:val="18"/>
                <w:szCs w:val="18"/>
              </w:rPr>
            </w:pPr>
            <w:r w:rsidRPr="00F552F0">
              <w:rPr>
                <w:i/>
                <w:color w:val="000000"/>
                <w:sz w:val="18"/>
                <w:szCs w:val="18"/>
              </w:rPr>
              <w:t>PANEL B</w:t>
            </w:r>
            <w:r w:rsidR="005548D0" w:rsidRPr="00F552F0">
              <w:rPr>
                <w:i/>
                <w:color w:val="000000"/>
                <w:sz w:val="18"/>
                <w:szCs w:val="18"/>
              </w:rPr>
              <w:t>:</w:t>
            </w:r>
          </w:p>
        </w:tc>
        <w:tc>
          <w:tcPr>
            <w:tcW w:w="7831" w:type="dxa"/>
            <w:gridSpan w:val="8"/>
            <w:tcBorders>
              <w:top w:val="single" w:sz="4" w:space="0" w:color="auto"/>
              <w:left w:val="nil"/>
              <w:bottom w:val="nil"/>
              <w:right w:val="nil"/>
            </w:tcBorders>
            <w:shd w:val="clear" w:color="auto" w:fill="auto"/>
            <w:tcMar>
              <w:top w:w="15" w:type="dxa"/>
              <w:left w:w="15" w:type="dxa"/>
              <w:bottom w:w="0" w:type="dxa"/>
              <w:right w:w="15" w:type="dxa"/>
            </w:tcMar>
            <w:vAlign w:val="bottom"/>
          </w:tcPr>
          <w:p w:rsidR="002310B8" w:rsidRPr="00F552F0" w:rsidRDefault="006D635D" w:rsidP="002310B8">
            <w:pPr>
              <w:rPr>
                <w:color w:val="000000"/>
                <w:sz w:val="18"/>
                <w:szCs w:val="18"/>
              </w:rPr>
            </w:pPr>
            <w:r w:rsidRPr="00F552F0">
              <w:rPr>
                <w:color w:val="000000"/>
                <w:sz w:val="18"/>
                <w:szCs w:val="18"/>
              </w:rPr>
              <w:t>External-finance</w:t>
            </w:r>
            <w:r w:rsidR="002310B8" w:rsidRPr="00F552F0">
              <w:rPr>
                <w:color w:val="000000"/>
                <w:sz w:val="18"/>
                <w:szCs w:val="18"/>
              </w:rPr>
              <w:t xml:space="preserve"> dependence interaction with</w:t>
            </w:r>
          </w:p>
        </w:tc>
      </w:tr>
      <w:tr w:rsidR="002310B8" w:rsidRPr="00F552F0" w:rsidTr="002310B8">
        <w:trPr>
          <w:trHeight w:val="488"/>
        </w:trPr>
        <w:tc>
          <w:tcPr>
            <w:tcW w:w="109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Widely held</w:t>
            </w:r>
          </w:p>
        </w:tc>
        <w:tc>
          <w:tcPr>
            <w:tcW w:w="109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 xml:space="preserve">Family </w:t>
            </w:r>
          </w:p>
        </w:tc>
        <w:tc>
          <w:tcPr>
            <w:tcW w:w="1095" w:type="dxa"/>
            <w:tcBorders>
              <w:top w:val="single" w:sz="4" w:space="0" w:color="auto"/>
              <w:left w:val="nil"/>
              <w:bottom w:val="single" w:sz="4" w:space="0" w:color="auto"/>
              <w:right w:val="nil"/>
            </w:tcBorders>
            <w:shd w:val="clear" w:color="auto" w:fill="auto"/>
            <w:tcMar>
              <w:top w:w="0"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State</w:t>
            </w:r>
          </w:p>
        </w:tc>
        <w:tc>
          <w:tcPr>
            <w:tcW w:w="1096" w:type="dxa"/>
            <w:tcBorders>
              <w:top w:val="nil"/>
              <w:left w:val="nil"/>
              <w:bottom w:val="nil"/>
              <w:right w:val="nil"/>
            </w:tcBorders>
            <w:shd w:val="clear" w:color="auto" w:fill="auto"/>
            <w:tcMar>
              <w:top w:w="15" w:type="dxa"/>
              <w:left w:w="15" w:type="dxa"/>
              <w:bottom w:w="0" w:type="dxa"/>
              <w:right w:w="15" w:type="dxa"/>
            </w:tcMar>
            <w:vAlign w:val="center"/>
          </w:tcPr>
          <w:p w:rsidR="002310B8" w:rsidRPr="00F552F0" w:rsidRDefault="002310B8" w:rsidP="00230BB4">
            <w:pPr>
              <w:jc w:val="center"/>
              <w:rPr>
                <w:color w:val="000000"/>
                <w:sz w:val="18"/>
                <w:szCs w:val="18"/>
              </w:rPr>
            </w:pPr>
            <w:r w:rsidRPr="00F552F0">
              <w:rPr>
                <w:color w:val="000000"/>
                <w:sz w:val="18"/>
                <w:szCs w:val="18"/>
              </w:rPr>
              <w:t>Industry share</w:t>
            </w:r>
          </w:p>
        </w:tc>
        <w:tc>
          <w:tcPr>
            <w:tcW w:w="1095" w:type="dxa"/>
            <w:tcBorders>
              <w:top w:val="nil"/>
              <w:left w:val="nil"/>
              <w:bottom w:val="nil"/>
              <w:right w:val="nil"/>
            </w:tcBorders>
            <w:shd w:val="clear" w:color="auto" w:fill="auto"/>
            <w:tcMar>
              <w:top w:w="0" w:type="dxa"/>
              <w:left w:w="15" w:type="dxa"/>
              <w:bottom w:w="0" w:type="dxa"/>
              <w:right w:w="15" w:type="dxa"/>
            </w:tcMar>
            <w:vAlign w:val="center"/>
          </w:tcPr>
          <w:p w:rsidR="002310B8" w:rsidRPr="00F552F0" w:rsidRDefault="002310B8" w:rsidP="00230BB4">
            <w:pPr>
              <w:jc w:val="center"/>
              <w:rPr>
                <w:color w:val="000000"/>
                <w:sz w:val="18"/>
                <w:szCs w:val="18"/>
              </w:rPr>
            </w:pPr>
            <w:r w:rsidRPr="00F552F0">
              <w:rPr>
                <w:color w:val="000000"/>
                <w:sz w:val="18"/>
                <w:szCs w:val="18"/>
              </w:rPr>
              <w:t>Industry dummies</w:t>
            </w:r>
          </w:p>
        </w:tc>
        <w:tc>
          <w:tcPr>
            <w:tcW w:w="1096" w:type="dxa"/>
            <w:tcBorders>
              <w:top w:val="nil"/>
              <w:left w:val="nil"/>
              <w:bottom w:val="nil"/>
              <w:right w:val="nil"/>
            </w:tcBorders>
            <w:shd w:val="clear" w:color="auto" w:fill="auto"/>
            <w:tcMar>
              <w:top w:w="15" w:type="dxa"/>
              <w:left w:w="15" w:type="dxa"/>
              <w:bottom w:w="0" w:type="dxa"/>
              <w:right w:w="15" w:type="dxa"/>
            </w:tcMar>
            <w:vAlign w:val="center"/>
          </w:tcPr>
          <w:p w:rsidR="002310B8" w:rsidRPr="00F552F0" w:rsidRDefault="002310B8" w:rsidP="00230BB4">
            <w:pPr>
              <w:jc w:val="center"/>
              <w:rPr>
                <w:color w:val="000000"/>
                <w:sz w:val="18"/>
                <w:szCs w:val="18"/>
              </w:rPr>
            </w:pPr>
            <w:r w:rsidRPr="00F552F0">
              <w:rPr>
                <w:color w:val="000000"/>
                <w:sz w:val="18"/>
                <w:szCs w:val="18"/>
              </w:rPr>
              <w:t>Country dummies</w:t>
            </w:r>
          </w:p>
        </w:tc>
        <w:tc>
          <w:tcPr>
            <w:tcW w:w="630" w:type="dxa"/>
            <w:tcBorders>
              <w:top w:val="nil"/>
              <w:left w:val="nil"/>
              <w:bottom w:val="nil"/>
              <w:right w:val="nil"/>
            </w:tcBorders>
            <w:shd w:val="clear" w:color="auto" w:fill="auto"/>
            <w:tcMar>
              <w:top w:w="15" w:type="dxa"/>
              <w:left w:w="15" w:type="dxa"/>
              <w:bottom w:w="0" w:type="dxa"/>
              <w:right w:w="15" w:type="dxa"/>
            </w:tcMar>
            <w:vAlign w:val="center"/>
          </w:tcPr>
          <w:p w:rsidR="002310B8" w:rsidRPr="00F552F0" w:rsidRDefault="002310B8" w:rsidP="00230BB4">
            <w:pPr>
              <w:jc w:val="center"/>
              <w:rPr>
                <w:color w:val="000000"/>
                <w:sz w:val="18"/>
                <w:szCs w:val="18"/>
              </w:rPr>
            </w:pPr>
            <w:r w:rsidRPr="00F552F0">
              <w:rPr>
                <w:color w:val="000000"/>
                <w:sz w:val="18"/>
                <w:szCs w:val="18"/>
              </w:rPr>
              <w:t>R</w:t>
            </w:r>
            <w:r w:rsidRPr="00F552F0">
              <w:rPr>
                <w:color w:val="000000"/>
                <w:sz w:val="18"/>
                <w:szCs w:val="18"/>
                <w:vertAlign w:val="superscript"/>
              </w:rPr>
              <w:t>2</w:t>
            </w:r>
          </w:p>
        </w:tc>
        <w:tc>
          <w:tcPr>
            <w:tcW w:w="630" w:type="dxa"/>
            <w:tcBorders>
              <w:top w:val="nil"/>
              <w:left w:val="nil"/>
              <w:bottom w:val="nil"/>
              <w:right w:val="nil"/>
            </w:tcBorders>
            <w:shd w:val="clear" w:color="auto" w:fill="auto"/>
            <w:tcMar>
              <w:top w:w="15" w:type="dxa"/>
              <w:left w:w="15" w:type="dxa"/>
              <w:bottom w:w="0" w:type="dxa"/>
              <w:right w:w="15" w:type="dxa"/>
            </w:tcMar>
            <w:vAlign w:val="center"/>
          </w:tcPr>
          <w:p w:rsidR="002310B8" w:rsidRPr="00F552F0" w:rsidRDefault="002310B8" w:rsidP="00230BB4">
            <w:pPr>
              <w:jc w:val="center"/>
              <w:rPr>
                <w:color w:val="000000"/>
                <w:sz w:val="18"/>
                <w:szCs w:val="18"/>
              </w:rPr>
            </w:pPr>
            <w:r w:rsidRPr="00F552F0">
              <w:rPr>
                <w:color w:val="000000"/>
                <w:sz w:val="18"/>
                <w:szCs w:val="18"/>
              </w:rPr>
              <w:t>N</w:t>
            </w:r>
          </w:p>
        </w:tc>
      </w:tr>
      <w:tr w:rsidR="002310B8" w:rsidRPr="00F552F0" w:rsidTr="002310B8">
        <w:trPr>
          <w:trHeight w:val="300"/>
        </w:trPr>
        <w:tc>
          <w:tcPr>
            <w:tcW w:w="1097" w:type="dxa"/>
            <w:vMerge w:val="restart"/>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E269EA">
            <w:pPr>
              <w:jc w:val="center"/>
              <w:rPr>
                <w:color w:val="000000"/>
                <w:sz w:val="18"/>
                <w:szCs w:val="18"/>
              </w:rPr>
            </w:pPr>
          </w:p>
          <w:p w:rsidR="002310B8" w:rsidRPr="00F552F0" w:rsidRDefault="002310B8" w:rsidP="00E269EA">
            <w:pPr>
              <w:jc w:val="center"/>
              <w:rPr>
                <w:color w:val="000000"/>
                <w:sz w:val="18"/>
                <w:szCs w:val="18"/>
              </w:rPr>
            </w:pPr>
            <w:r w:rsidRPr="00F552F0">
              <w:rPr>
                <w:color w:val="000000"/>
                <w:sz w:val="18"/>
                <w:szCs w:val="18"/>
              </w:rPr>
              <w:t xml:space="preserve">Industry </w:t>
            </w:r>
            <w:proofErr w:type="spellStart"/>
            <w:r w:rsidRPr="00F552F0">
              <w:rPr>
                <w:color w:val="000000"/>
                <w:sz w:val="18"/>
                <w:szCs w:val="18"/>
              </w:rPr>
              <w:t>alue</w:t>
            </w:r>
            <w:proofErr w:type="spellEnd"/>
            <w:r w:rsidR="003B4863" w:rsidRPr="00F552F0">
              <w:rPr>
                <w:color w:val="000000"/>
                <w:sz w:val="18"/>
                <w:szCs w:val="18"/>
              </w:rPr>
              <w:t>-a</w:t>
            </w:r>
            <w:r w:rsidRPr="00F552F0">
              <w:rPr>
                <w:color w:val="000000"/>
                <w:sz w:val="18"/>
                <w:szCs w:val="18"/>
              </w:rPr>
              <w:t xml:space="preserve">dded </w:t>
            </w:r>
            <w:r w:rsidR="003B4863" w:rsidRPr="00F552F0">
              <w:rPr>
                <w:color w:val="000000"/>
                <w:sz w:val="18"/>
                <w:szCs w:val="18"/>
              </w:rPr>
              <w:t>g</w:t>
            </w:r>
            <w:r w:rsidRPr="00F552F0">
              <w:rPr>
                <w:color w:val="000000"/>
                <w:sz w:val="18"/>
                <w:szCs w:val="18"/>
              </w:rPr>
              <w:t>rowth</w:t>
            </w:r>
          </w:p>
        </w:tc>
        <w:tc>
          <w:tcPr>
            <w:tcW w:w="1094"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-0.093</w:t>
            </w: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-0.013</w:t>
            </w:r>
          </w:p>
        </w:tc>
        <w:tc>
          <w:tcPr>
            <w:tcW w:w="1096"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-0.530</w:t>
            </w:r>
          </w:p>
        </w:tc>
        <w:tc>
          <w:tcPr>
            <w:tcW w:w="1095"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yes</w:t>
            </w:r>
          </w:p>
        </w:tc>
        <w:tc>
          <w:tcPr>
            <w:tcW w:w="1096"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yes</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E269EA">
            <w:pPr>
              <w:jc w:val="center"/>
              <w:rPr>
                <w:color w:val="000000"/>
                <w:sz w:val="18"/>
                <w:szCs w:val="18"/>
              </w:rPr>
            </w:pPr>
            <w:r w:rsidRPr="00F552F0">
              <w:rPr>
                <w:color w:val="000000"/>
                <w:sz w:val="18"/>
                <w:szCs w:val="18"/>
              </w:rPr>
              <w:t>0.32</w:t>
            </w:r>
          </w:p>
        </w:tc>
        <w:tc>
          <w:tcPr>
            <w:tcW w:w="630"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446</w:t>
            </w: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bottom"/>
          </w:tcPr>
          <w:p w:rsidR="002310B8" w:rsidRPr="00F552F0" w:rsidRDefault="002310B8">
            <w:pP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w:t>
            </w:r>
            <w:r w:rsidR="00841C34" w:rsidRPr="00F552F0">
              <w:rPr>
                <w:b/>
                <w:color w:val="000000"/>
                <w:sz w:val="18"/>
                <w:szCs w:val="18"/>
              </w:rPr>
              <w:t>2.70</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w:t>
            </w:r>
            <w:r w:rsidR="00841C34" w:rsidRPr="00F552F0">
              <w:rPr>
                <w:color w:val="000000"/>
                <w:sz w:val="18"/>
                <w:szCs w:val="18"/>
              </w:rPr>
              <w:t>0.37</w:t>
            </w:r>
            <w:r w:rsidRPr="00F552F0">
              <w:rPr>
                <w:color w:val="000000"/>
                <w:sz w:val="18"/>
                <w:szCs w:val="18"/>
              </w:rPr>
              <w:t>)</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w:t>
            </w:r>
            <w:r w:rsidR="00841C34" w:rsidRPr="00F552F0">
              <w:rPr>
                <w:b/>
                <w:color w:val="000000"/>
                <w:sz w:val="18"/>
                <w:szCs w:val="18"/>
              </w:rPr>
              <w:t>1.86</w:t>
            </w:r>
            <w:r w:rsidRPr="00F552F0">
              <w:rPr>
                <w:b/>
                <w:color w:val="000000"/>
                <w:sz w:val="18"/>
                <w:szCs w:val="18"/>
              </w:rPr>
              <w:t>)</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r>
      <w:tr w:rsidR="002310B8" w:rsidRPr="00F552F0" w:rsidTr="002310B8">
        <w:trPr>
          <w:trHeight w:val="300"/>
        </w:trPr>
        <w:tc>
          <w:tcPr>
            <w:tcW w:w="1097" w:type="dxa"/>
            <w:vMerge/>
            <w:tcBorders>
              <w:top w:val="nil"/>
              <w:left w:val="nil"/>
              <w:bottom w:val="nil"/>
              <w:right w:val="nil"/>
            </w:tcBorders>
            <w:shd w:val="clear" w:color="auto" w:fill="auto"/>
            <w:noWrap/>
            <w:tcMar>
              <w:top w:w="15" w:type="dxa"/>
              <w:left w:w="15" w:type="dxa"/>
              <w:bottom w:w="0" w:type="dxa"/>
              <w:right w:w="15" w:type="dxa"/>
            </w:tcMar>
            <w:vAlign w:val="bottom"/>
          </w:tcPr>
          <w:p w:rsidR="002310B8" w:rsidRPr="00F552F0" w:rsidRDefault="002310B8">
            <w:pPr>
              <w:rPr>
                <w:color w:val="000000"/>
                <w:sz w:val="18"/>
                <w:szCs w:val="18"/>
              </w:rPr>
            </w:pPr>
          </w:p>
        </w:tc>
        <w:tc>
          <w:tcPr>
            <w:tcW w:w="1094"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0.055</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-0.536</w:t>
            </w:r>
          </w:p>
        </w:tc>
        <w:tc>
          <w:tcPr>
            <w:tcW w:w="1095"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yes</w:t>
            </w:r>
          </w:p>
        </w:tc>
        <w:tc>
          <w:tcPr>
            <w:tcW w:w="1096"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yes</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0.31</w:t>
            </w:r>
          </w:p>
        </w:tc>
        <w:tc>
          <w:tcPr>
            <w:tcW w:w="630" w:type="dxa"/>
            <w:tcBorders>
              <w:top w:val="nil"/>
              <w:left w:val="nil"/>
              <w:bottom w:val="nil"/>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r w:rsidRPr="00F552F0">
              <w:rPr>
                <w:color w:val="000000"/>
                <w:sz w:val="18"/>
                <w:szCs w:val="18"/>
              </w:rPr>
              <w:t>446</w:t>
            </w:r>
          </w:p>
        </w:tc>
      </w:tr>
      <w:tr w:rsidR="002310B8" w:rsidRPr="00F552F0" w:rsidTr="002310B8">
        <w:trPr>
          <w:trHeight w:val="300"/>
        </w:trPr>
        <w:tc>
          <w:tcPr>
            <w:tcW w:w="1097" w:type="dxa"/>
            <w:vMerge/>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310B8" w:rsidRPr="00F552F0" w:rsidRDefault="002310B8">
            <w:pPr>
              <w:rPr>
                <w:color w:val="000000"/>
                <w:sz w:val="18"/>
                <w:szCs w:val="18"/>
              </w:rPr>
            </w:pPr>
          </w:p>
        </w:tc>
        <w:tc>
          <w:tcPr>
            <w:tcW w:w="109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w:t>
            </w:r>
            <w:r w:rsidR="00841C34" w:rsidRPr="00F552F0">
              <w:rPr>
                <w:b/>
                <w:color w:val="000000"/>
                <w:sz w:val="18"/>
                <w:szCs w:val="18"/>
              </w:rPr>
              <w:t>1.83</w:t>
            </w:r>
            <w:r w:rsidRPr="00F552F0">
              <w:rPr>
                <w:b/>
                <w:color w:val="000000"/>
                <w:sz w:val="18"/>
                <w:szCs w:val="18"/>
              </w:rPr>
              <w:t>)</w:t>
            </w: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b/>
                <w:color w:val="000000"/>
                <w:sz w:val="18"/>
                <w:szCs w:val="18"/>
              </w:rPr>
            </w:pPr>
            <w:r w:rsidRPr="00F552F0">
              <w:rPr>
                <w:b/>
                <w:color w:val="000000"/>
                <w:sz w:val="18"/>
                <w:szCs w:val="18"/>
              </w:rPr>
              <w:t>(</w:t>
            </w:r>
            <w:r w:rsidR="00841C34" w:rsidRPr="00F552F0">
              <w:rPr>
                <w:b/>
                <w:color w:val="000000"/>
                <w:sz w:val="18"/>
                <w:szCs w:val="18"/>
              </w:rPr>
              <w:t>1.84</w:t>
            </w:r>
            <w:r w:rsidRPr="00F552F0">
              <w:rPr>
                <w:b/>
                <w:color w:val="000000"/>
                <w:sz w:val="18"/>
                <w:szCs w:val="18"/>
              </w:rPr>
              <w:t>)</w:t>
            </w:r>
          </w:p>
        </w:tc>
        <w:tc>
          <w:tcPr>
            <w:tcW w:w="109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109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2310B8" w:rsidRPr="00F552F0" w:rsidRDefault="002310B8" w:rsidP="00717D54">
            <w:pPr>
              <w:jc w:val="center"/>
              <w:rPr>
                <w:color w:val="000000"/>
                <w:sz w:val="18"/>
                <w:szCs w:val="18"/>
              </w:rPr>
            </w:pPr>
          </w:p>
        </w:tc>
      </w:tr>
    </w:tbl>
    <w:p w:rsidR="00717D54" w:rsidRPr="00F552F0" w:rsidRDefault="00717D54">
      <w:pPr>
        <w:rPr>
          <w:sz w:val="16"/>
          <w:szCs w:val="16"/>
        </w:rPr>
      </w:pPr>
    </w:p>
    <w:p w:rsidR="00717D54" w:rsidRPr="00F552F0" w:rsidRDefault="00717D54">
      <w:pPr>
        <w:rPr>
          <w:sz w:val="16"/>
          <w:szCs w:val="16"/>
        </w:rPr>
      </w:pPr>
    </w:p>
    <w:p w:rsidR="00E5018F" w:rsidRPr="00F552F0" w:rsidRDefault="00E5018F">
      <w:pPr>
        <w:sectPr w:rsidR="00E5018F" w:rsidRPr="00F552F0" w:rsidSect="00E269EA">
          <w:pgSz w:w="12240" w:h="15840"/>
          <w:pgMar w:top="1440" w:right="1800" w:bottom="1440" w:left="1800" w:header="720" w:footer="720" w:gutter="0"/>
          <w:cols w:space="720"/>
          <w:docGrid w:linePitch="360"/>
        </w:sectPr>
      </w:pPr>
    </w:p>
    <w:p w:rsidR="004E2386" w:rsidRPr="00F552F0" w:rsidRDefault="004E2386">
      <w:pPr>
        <w:pStyle w:val="Revision"/>
      </w:pPr>
    </w:p>
    <w:tbl>
      <w:tblPr>
        <w:tblpPr w:leftFromText="180" w:rightFromText="180" w:vertAnchor="text" w:horzAnchor="margin" w:tblpY="1"/>
        <w:tblW w:w="5000" w:type="pct"/>
        <w:tblLook w:val="01E0" w:firstRow="1" w:lastRow="1" w:firstColumn="1" w:lastColumn="1" w:noHBand="0" w:noVBand="0"/>
      </w:tblPr>
      <w:tblGrid>
        <w:gridCol w:w="1908"/>
        <w:gridCol w:w="1085"/>
        <w:gridCol w:w="1173"/>
        <w:gridCol w:w="1173"/>
        <w:gridCol w:w="1173"/>
        <w:gridCol w:w="1173"/>
        <w:gridCol w:w="1171"/>
      </w:tblGrid>
      <w:tr w:rsidR="004E2386" w:rsidRPr="00F552F0" w:rsidTr="00273E5E">
        <w:trPr>
          <w:trHeight w:val="506"/>
        </w:trPr>
        <w:tc>
          <w:tcPr>
            <w:tcW w:w="5000" w:type="pct"/>
            <w:gridSpan w:val="7"/>
          </w:tcPr>
          <w:p w:rsidR="004E2386" w:rsidRPr="00F552F0" w:rsidRDefault="007B7D43" w:rsidP="00785017">
            <w:pPr>
              <w:rPr>
                <w:b/>
                <w:sz w:val="22"/>
                <w:szCs w:val="22"/>
              </w:rPr>
            </w:pPr>
            <w:r w:rsidRPr="00F552F0">
              <w:rPr>
                <w:b/>
                <w:sz w:val="22"/>
                <w:szCs w:val="22"/>
              </w:rPr>
              <w:t>Table</w:t>
            </w:r>
            <w:r w:rsidR="004E2386" w:rsidRPr="00F552F0">
              <w:rPr>
                <w:b/>
                <w:sz w:val="22"/>
                <w:szCs w:val="22"/>
              </w:rPr>
              <w:t xml:space="preserve"> 6</w:t>
            </w:r>
          </w:p>
          <w:p w:rsidR="004E2386" w:rsidRPr="00F552F0" w:rsidRDefault="003D5871" w:rsidP="00346CDA">
            <w:pPr>
              <w:rPr>
                <w:sz w:val="22"/>
                <w:szCs w:val="22"/>
              </w:rPr>
            </w:pPr>
            <w:r w:rsidRPr="00F552F0">
              <w:rPr>
                <w:sz w:val="22"/>
                <w:szCs w:val="22"/>
              </w:rPr>
              <w:t xml:space="preserve">Bank </w:t>
            </w:r>
            <w:r w:rsidR="00672217" w:rsidRPr="00F552F0">
              <w:rPr>
                <w:sz w:val="22"/>
                <w:szCs w:val="22"/>
              </w:rPr>
              <w:t>c</w:t>
            </w:r>
            <w:r w:rsidRPr="00F552F0">
              <w:rPr>
                <w:sz w:val="22"/>
                <w:szCs w:val="22"/>
              </w:rPr>
              <w:t xml:space="preserve">ontrol and </w:t>
            </w:r>
            <w:r w:rsidR="00672217" w:rsidRPr="00F552F0">
              <w:rPr>
                <w:sz w:val="22"/>
                <w:szCs w:val="22"/>
              </w:rPr>
              <w:t>e</w:t>
            </w:r>
            <w:r w:rsidRPr="00F552F0">
              <w:rPr>
                <w:sz w:val="22"/>
                <w:szCs w:val="22"/>
              </w:rPr>
              <w:t xml:space="preserve">conomic </w:t>
            </w:r>
            <w:r w:rsidR="00672217" w:rsidRPr="00F552F0">
              <w:rPr>
                <w:sz w:val="22"/>
                <w:szCs w:val="22"/>
              </w:rPr>
              <w:t>g</w:t>
            </w:r>
            <w:r w:rsidRPr="00F552F0">
              <w:rPr>
                <w:sz w:val="22"/>
                <w:szCs w:val="22"/>
              </w:rPr>
              <w:t>rowth</w:t>
            </w:r>
          </w:p>
        </w:tc>
      </w:tr>
      <w:tr w:rsidR="004E2386" w:rsidRPr="00F552F0" w:rsidTr="00273E5E">
        <w:trPr>
          <w:trHeight w:val="506"/>
        </w:trPr>
        <w:tc>
          <w:tcPr>
            <w:tcW w:w="5000" w:type="pct"/>
            <w:gridSpan w:val="7"/>
          </w:tcPr>
          <w:p w:rsidR="004E2386" w:rsidRPr="00F552F0" w:rsidRDefault="00672217" w:rsidP="00B01F00">
            <w:pPr>
              <w:autoSpaceDE w:val="0"/>
              <w:autoSpaceDN w:val="0"/>
              <w:adjustRightInd w:val="0"/>
              <w:jc w:val="both"/>
              <w:rPr>
                <w:sz w:val="20"/>
                <w:szCs w:val="18"/>
              </w:rPr>
            </w:pPr>
            <w:r w:rsidRPr="00F552F0">
              <w:rPr>
                <w:sz w:val="20"/>
                <w:szCs w:val="18"/>
              </w:rPr>
              <w:tab/>
            </w:r>
            <w:r w:rsidR="004E2386" w:rsidRPr="00F552F0">
              <w:rPr>
                <w:sz w:val="20"/>
                <w:szCs w:val="18"/>
              </w:rPr>
              <w:t xml:space="preserve">The table shows results of cross-country OLS regressions with robust standard errors. </w:t>
            </w:r>
            <w:r w:rsidR="003D5871" w:rsidRPr="00F552F0">
              <w:rPr>
                <w:sz w:val="20"/>
                <w:szCs w:val="18"/>
              </w:rPr>
              <w:t xml:space="preserve"> The sample includes </w:t>
            </w:r>
            <w:r w:rsidR="00B01F00" w:rsidRPr="00F552F0">
              <w:rPr>
                <w:sz w:val="20"/>
                <w:szCs w:val="18"/>
              </w:rPr>
              <w:t xml:space="preserve">up to the </w:t>
            </w:r>
            <w:r w:rsidR="003D5871" w:rsidRPr="00F552F0">
              <w:rPr>
                <w:sz w:val="20"/>
                <w:szCs w:val="18"/>
              </w:rPr>
              <w:t>44 countries described in Table1,</w:t>
            </w:r>
            <w:r w:rsidR="00B01F00" w:rsidRPr="00F552F0">
              <w:rPr>
                <w:sz w:val="20"/>
                <w:szCs w:val="18"/>
              </w:rPr>
              <w:t xml:space="preserve"> as</w:t>
            </w:r>
            <w:r w:rsidR="003D5871" w:rsidRPr="00F552F0">
              <w:rPr>
                <w:sz w:val="20"/>
                <w:szCs w:val="18"/>
              </w:rPr>
              <w:t xml:space="preserve"> limited by the availability of </w:t>
            </w:r>
            <w:r w:rsidR="00B01F00" w:rsidRPr="00F552F0">
              <w:rPr>
                <w:sz w:val="20"/>
                <w:szCs w:val="18"/>
              </w:rPr>
              <w:t xml:space="preserve">the </w:t>
            </w:r>
            <w:r w:rsidR="003D5871" w:rsidRPr="00F552F0">
              <w:rPr>
                <w:sz w:val="20"/>
                <w:szCs w:val="18"/>
              </w:rPr>
              <w:t xml:space="preserve">variables in </w:t>
            </w:r>
            <w:r w:rsidR="00B01F00" w:rsidRPr="00F552F0">
              <w:rPr>
                <w:sz w:val="20"/>
                <w:szCs w:val="18"/>
              </w:rPr>
              <w:t>each</w:t>
            </w:r>
            <w:r w:rsidR="003D5871" w:rsidRPr="00F552F0">
              <w:rPr>
                <w:sz w:val="20"/>
                <w:szCs w:val="18"/>
              </w:rPr>
              <w:t xml:space="preserve"> regression</w:t>
            </w:r>
            <w:r w:rsidR="0001373F" w:rsidRPr="00F552F0">
              <w:rPr>
                <w:sz w:val="20"/>
                <w:szCs w:val="18"/>
              </w:rPr>
              <w:t xml:space="preserve">. </w:t>
            </w:r>
            <w:r w:rsidR="004E2386" w:rsidRPr="00F552F0">
              <w:rPr>
                <w:sz w:val="20"/>
                <w:szCs w:val="18"/>
              </w:rPr>
              <w:t>Dependent variables are in columns and independent variables are in rows. Variables are as defined in Table 3.</w:t>
            </w:r>
            <w:r w:rsidR="008C2C72" w:rsidRPr="00F552F0">
              <w:rPr>
                <w:sz w:val="20"/>
                <w:szCs w:val="18"/>
              </w:rPr>
              <w:t xml:space="preserve"> </w:t>
            </w:r>
            <w:r w:rsidR="00B01F00" w:rsidRPr="00F552F0">
              <w:rPr>
                <w:sz w:val="20"/>
                <w:szCs w:val="18"/>
              </w:rPr>
              <w:t xml:space="preserve"> Robust </w:t>
            </w:r>
            <w:r w:rsidR="00B01F00" w:rsidRPr="00F552F0">
              <w:rPr>
                <w:i/>
                <w:sz w:val="20"/>
                <w:szCs w:val="18"/>
              </w:rPr>
              <w:t>t</w:t>
            </w:r>
            <w:r w:rsidR="00B01F00" w:rsidRPr="00F552F0">
              <w:rPr>
                <w:sz w:val="20"/>
                <w:szCs w:val="18"/>
              </w:rPr>
              <w:t>-statistics are in parentheses</w:t>
            </w:r>
            <w:proofErr w:type="gramStart"/>
            <w:r w:rsidR="008C2C72" w:rsidRPr="00F552F0">
              <w:rPr>
                <w:sz w:val="20"/>
                <w:szCs w:val="18"/>
              </w:rPr>
              <w:t>.</w:t>
            </w:r>
            <w:r w:rsidR="003D5871" w:rsidRPr="00F552F0">
              <w:rPr>
                <w:sz w:val="20"/>
                <w:szCs w:val="18"/>
              </w:rPr>
              <w:t>.</w:t>
            </w:r>
            <w:proofErr w:type="gramEnd"/>
            <w:r w:rsidR="003D5871" w:rsidRPr="00F552F0">
              <w:rPr>
                <w:sz w:val="20"/>
                <w:szCs w:val="18"/>
              </w:rPr>
              <w:t>Boldface indicates significance at 10% or better.</w:t>
            </w:r>
          </w:p>
        </w:tc>
      </w:tr>
      <w:tr w:rsidR="004E2386" w:rsidRPr="00F552F0" w:rsidTr="000210DD">
        <w:trPr>
          <w:trHeight w:val="506"/>
        </w:trPr>
        <w:tc>
          <w:tcPr>
            <w:tcW w:w="1078" w:type="pct"/>
            <w:tcBorders>
              <w:top w:val="single" w:sz="4" w:space="0" w:color="auto"/>
            </w:tcBorders>
          </w:tcPr>
          <w:p w:rsidR="004E2386" w:rsidRPr="00F552F0" w:rsidRDefault="004E2386" w:rsidP="004E2386">
            <w:pPr>
              <w:rPr>
                <w:sz w:val="20"/>
                <w:szCs w:val="18"/>
              </w:rPr>
            </w:pPr>
          </w:p>
        </w:tc>
        <w:tc>
          <w:tcPr>
            <w:tcW w:w="1275" w:type="pct"/>
            <w:gridSpan w:val="2"/>
            <w:tcBorders>
              <w:top w:val="single" w:sz="4" w:space="0" w:color="auto"/>
            </w:tcBorders>
            <w:vAlign w:val="center"/>
          </w:tcPr>
          <w:p w:rsidR="004E2386" w:rsidRPr="00F552F0" w:rsidRDefault="004E2386" w:rsidP="004E2386">
            <w:pPr>
              <w:jc w:val="center"/>
              <w:rPr>
                <w:sz w:val="20"/>
                <w:szCs w:val="18"/>
              </w:rPr>
            </w:pPr>
            <w:r w:rsidRPr="00F552F0">
              <w:rPr>
                <w:sz w:val="20"/>
                <w:szCs w:val="18"/>
              </w:rPr>
              <w:t xml:space="preserve">Income </w:t>
            </w:r>
            <w:r w:rsidR="00672217" w:rsidRPr="00F552F0">
              <w:rPr>
                <w:sz w:val="20"/>
                <w:szCs w:val="18"/>
              </w:rPr>
              <w:t>g</w:t>
            </w:r>
            <w:r w:rsidRPr="00F552F0">
              <w:rPr>
                <w:sz w:val="20"/>
                <w:szCs w:val="18"/>
              </w:rPr>
              <w:t>rowth</w:t>
            </w:r>
          </w:p>
        </w:tc>
        <w:tc>
          <w:tcPr>
            <w:tcW w:w="1324" w:type="pct"/>
            <w:gridSpan w:val="2"/>
            <w:tcBorders>
              <w:top w:val="single" w:sz="4" w:space="0" w:color="auto"/>
            </w:tcBorders>
            <w:vAlign w:val="center"/>
          </w:tcPr>
          <w:p w:rsidR="004E2386" w:rsidRPr="00F552F0" w:rsidRDefault="001F449F" w:rsidP="004E2386">
            <w:pPr>
              <w:jc w:val="center"/>
              <w:rPr>
                <w:sz w:val="20"/>
                <w:szCs w:val="18"/>
              </w:rPr>
            </w:pPr>
            <w:r w:rsidRPr="00F552F0">
              <w:rPr>
                <w:sz w:val="20"/>
                <w:szCs w:val="18"/>
              </w:rPr>
              <w:t xml:space="preserve">TFP </w:t>
            </w:r>
            <w:r w:rsidR="00672217" w:rsidRPr="00F552F0">
              <w:rPr>
                <w:sz w:val="20"/>
                <w:szCs w:val="18"/>
              </w:rPr>
              <w:t>g</w:t>
            </w:r>
            <w:r w:rsidR="004E2386" w:rsidRPr="00F552F0">
              <w:rPr>
                <w:sz w:val="20"/>
                <w:szCs w:val="18"/>
              </w:rPr>
              <w:t>rowth</w:t>
            </w:r>
          </w:p>
        </w:tc>
        <w:tc>
          <w:tcPr>
            <w:tcW w:w="1324" w:type="pct"/>
            <w:gridSpan w:val="2"/>
            <w:tcBorders>
              <w:top w:val="single" w:sz="4" w:space="0" w:color="auto"/>
            </w:tcBorders>
            <w:vAlign w:val="center"/>
          </w:tcPr>
          <w:p w:rsidR="004E2386" w:rsidRPr="00F552F0" w:rsidRDefault="004E2386" w:rsidP="004E2386">
            <w:pPr>
              <w:jc w:val="center"/>
              <w:rPr>
                <w:sz w:val="20"/>
                <w:szCs w:val="18"/>
              </w:rPr>
            </w:pPr>
            <w:r w:rsidRPr="00F552F0">
              <w:rPr>
                <w:sz w:val="20"/>
                <w:szCs w:val="18"/>
              </w:rPr>
              <w:t xml:space="preserve">Capital </w:t>
            </w:r>
            <w:r w:rsidR="00672217" w:rsidRPr="00F552F0">
              <w:rPr>
                <w:sz w:val="20"/>
                <w:szCs w:val="18"/>
              </w:rPr>
              <w:t>a</w:t>
            </w:r>
            <w:r w:rsidRPr="00F552F0">
              <w:rPr>
                <w:sz w:val="20"/>
                <w:szCs w:val="18"/>
              </w:rPr>
              <w:t>ccumulation</w:t>
            </w:r>
          </w:p>
        </w:tc>
      </w:tr>
      <w:tr w:rsidR="004E2386" w:rsidRPr="00F552F0" w:rsidTr="000210DD">
        <w:trPr>
          <w:trHeight w:val="506"/>
        </w:trPr>
        <w:tc>
          <w:tcPr>
            <w:tcW w:w="1078" w:type="pct"/>
            <w:tcBorders>
              <w:top w:val="single" w:sz="4" w:space="0" w:color="auto"/>
            </w:tcBorders>
          </w:tcPr>
          <w:p w:rsidR="004E2386" w:rsidRPr="00F552F0" w:rsidRDefault="00392DB6" w:rsidP="004E2386">
            <w:pPr>
              <w:rPr>
                <w:sz w:val="20"/>
                <w:szCs w:val="18"/>
              </w:rPr>
            </w:pPr>
            <w:r w:rsidRPr="00F552F0">
              <w:rPr>
                <w:sz w:val="20"/>
                <w:szCs w:val="18"/>
              </w:rPr>
              <w:t>Widely held</w:t>
            </w:r>
          </w:p>
        </w:tc>
        <w:tc>
          <w:tcPr>
            <w:tcW w:w="613" w:type="pct"/>
            <w:tcBorders>
              <w:top w:val="single" w:sz="4" w:space="0" w:color="auto"/>
            </w:tcBorders>
          </w:tcPr>
          <w:p w:rsidR="004E2386" w:rsidRPr="00F552F0" w:rsidRDefault="004E2386" w:rsidP="004E2386">
            <w:pPr>
              <w:jc w:val="center"/>
              <w:rPr>
                <w:sz w:val="20"/>
                <w:szCs w:val="18"/>
              </w:rPr>
            </w:pP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0.015</w:t>
            </w:r>
          </w:p>
          <w:p w:rsidR="004E2386" w:rsidRPr="00F552F0" w:rsidRDefault="004E2386" w:rsidP="004E2386">
            <w:pPr>
              <w:jc w:val="center"/>
              <w:rPr>
                <w:sz w:val="20"/>
                <w:szCs w:val="18"/>
              </w:rPr>
            </w:pPr>
            <w:r w:rsidRPr="00F552F0">
              <w:rPr>
                <w:sz w:val="20"/>
                <w:szCs w:val="18"/>
              </w:rPr>
              <w:t>(</w:t>
            </w:r>
            <w:r w:rsidR="00841C34" w:rsidRPr="00F552F0">
              <w:rPr>
                <w:sz w:val="20"/>
                <w:szCs w:val="18"/>
              </w:rPr>
              <w:t>1.43</w:t>
            </w:r>
            <w:r w:rsidRPr="00F552F0">
              <w:rPr>
                <w:sz w:val="20"/>
                <w:szCs w:val="18"/>
              </w:rPr>
              <w:t>)</w:t>
            </w:r>
          </w:p>
        </w:tc>
        <w:tc>
          <w:tcPr>
            <w:tcW w:w="662" w:type="pct"/>
            <w:tcBorders>
              <w:top w:val="single" w:sz="4" w:space="0" w:color="auto"/>
            </w:tcBorders>
          </w:tcPr>
          <w:p w:rsidR="004E2386" w:rsidRPr="00F552F0" w:rsidRDefault="004E2386" w:rsidP="004E2386">
            <w:pPr>
              <w:jc w:val="center"/>
              <w:rPr>
                <w:sz w:val="20"/>
                <w:szCs w:val="18"/>
              </w:rPr>
            </w:pP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0.010</w:t>
            </w:r>
          </w:p>
          <w:p w:rsidR="004E2386" w:rsidRPr="00F552F0" w:rsidRDefault="004E2386" w:rsidP="004E2386">
            <w:pPr>
              <w:jc w:val="center"/>
              <w:rPr>
                <w:sz w:val="20"/>
                <w:szCs w:val="18"/>
              </w:rPr>
            </w:pPr>
            <w:r w:rsidRPr="00F552F0">
              <w:rPr>
                <w:sz w:val="20"/>
                <w:szCs w:val="18"/>
              </w:rPr>
              <w:t>(0.</w:t>
            </w:r>
            <w:r w:rsidR="00841C34" w:rsidRPr="00F552F0">
              <w:rPr>
                <w:sz w:val="20"/>
                <w:szCs w:val="18"/>
              </w:rPr>
              <w:t>97</w:t>
            </w:r>
            <w:r w:rsidRPr="00F552F0">
              <w:rPr>
                <w:sz w:val="20"/>
                <w:szCs w:val="18"/>
              </w:rPr>
              <w:t>)</w:t>
            </w:r>
          </w:p>
        </w:tc>
        <w:tc>
          <w:tcPr>
            <w:tcW w:w="662" w:type="pct"/>
            <w:tcBorders>
              <w:top w:val="single" w:sz="4" w:space="0" w:color="auto"/>
            </w:tcBorders>
          </w:tcPr>
          <w:p w:rsidR="004E2386" w:rsidRPr="00F552F0" w:rsidRDefault="004E2386" w:rsidP="004E2386">
            <w:pPr>
              <w:jc w:val="center"/>
              <w:rPr>
                <w:sz w:val="20"/>
                <w:szCs w:val="18"/>
              </w:rPr>
            </w:pPr>
          </w:p>
        </w:tc>
        <w:tc>
          <w:tcPr>
            <w:tcW w:w="662" w:type="pct"/>
            <w:tcBorders>
              <w:top w:val="single" w:sz="4" w:space="0" w:color="auto"/>
            </w:tcBorders>
          </w:tcPr>
          <w:p w:rsidR="004E2386" w:rsidRPr="00F552F0" w:rsidRDefault="004E2386" w:rsidP="004E2386">
            <w:pPr>
              <w:jc w:val="center"/>
              <w:rPr>
                <w:b/>
                <w:sz w:val="20"/>
                <w:szCs w:val="18"/>
              </w:rPr>
            </w:pPr>
            <w:r w:rsidRPr="00F552F0">
              <w:rPr>
                <w:b/>
                <w:sz w:val="20"/>
                <w:szCs w:val="18"/>
              </w:rPr>
              <w:t>0.016</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3.46</w:t>
            </w:r>
            <w:r w:rsidRPr="00F552F0">
              <w:rPr>
                <w:b/>
                <w:sz w:val="20"/>
                <w:szCs w:val="18"/>
              </w:rPr>
              <w:t>)</w:t>
            </w: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Family</w:t>
            </w:r>
          </w:p>
          <w:p w:rsidR="004E2386" w:rsidRPr="00F552F0" w:rsidRDefault="004E2386" w:rsidP="004E2386">
            <w:pPr>
              <w:rPr>
                <w:sz w:val="20"/>
                <w:szCs w:val="18"/>
              </w:rPr>
            </w:pPr>
          </w:p>
        </w:tc>
        <w:tc>
          <w:tcPr>
            <w:tcW w:w="613" w:type="pct"/>
            <w:vAlign w:val="bottom"/>
          </w:tcPr>
          <w:p w:rsidR="004E2386" w:rsidRPr="00F552F0" w:rsidRDefault="004E2386" w:rsidP="004E2386">
            <w:pPr>
              <w:jc w:val="center"/>
              <w:rPr>
                <w:b/>
                <w:sz w:val="20"/>
                <w:szCs w:val="18"/>
              </w:rPr>
            </w:pPr>
            <w:r w:rsidRPr="00F552F0">
              <w:rPr>
                <w:b/>
                <w:sz w:val="20"/>
                <w:szCs w:val="18"/>
              </w:rPr>
              <w:t>-0.035</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2.64</w:t>
            </w:r>
            <w:r w:rsidRPr="00F552F0">
              <w:rPr>
                <w:b/>
                <w:sz w:val="20"/>
                <w:szCs w:val="18"/>
              </w:rPr>
              <w:t>)</w:t>
            </w:r>
          </w:p>
        </w:tc>
        <w:tc>
          <w:tcPr>
            <w:tcW w:w="662" w:type="pct"/>
          </w:tcPr>
          <w:p w:rsidR="004E2386" w:rsidRPr="00F552F0" w:rsidRDefault="004E2386" w:rsidP="004E2386">
            <w:pPr>
              <w:jc w:val="center"/>
              <w:rPr>
                <w:b/>
                <w:sz w:val="20"/>
                <w:szCs w:val="18"/>
              </w:rPr>
            </w:pPr>
          </w:p>
        </w:tc>
        <w:tc>
          <w:tcPr>
            <w:tcW w:w="662" w:type="pct"/>
            <w:vAlign w:val="bottom"/>
          </w:tcPr>
          <w:p w:rsidR="004E2386" w:rsidRPr="00F552F0" w:rsidRDefault="004E2386" w:rsidP="004E2386">
            <w:pPr>
              <w:jc w:val="center"/>
              <w:rPr>
                <w:b/>
                <w:sz w:val="20"/>
                <w:szCs w:val="18"/>
              </w:rPr>
            </w:pPr>
            <w:r w:rsidRPr="00F552F0">
              <w:rPr>
                <w:b/>
                <w:sz w:val="20"/>
                <w:szCs w:val="18"/>
              </w:rPr>
              <w:t>-0.030</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2.31</w:t>
            </w:r>
            <w:r w:rsidRPr="00F552F0">
              <w:rPr>
                <w:b/>
                <w:sz w:val="20"/>
                <w:szCs w:val="18"/>
              </w:rPr>
              <w:t>)</w:t>
            </w:r>
          </w:p>
        </w:tc>
        <w:tc>
          <w:tcPr>
            <w:tcW w:w="662" w:type="pct"/>
          </w:tcPr>
          <w:p w:rsidR="004E2386" w:rsidRPr="00F552F0" w:rsidRDefault="004E2386" w:rsidP="004E2386">
            <w:pPr>
              <w:jc w:val="center"/>
              <w:rPr>
                <w:sz w:val="20"/>
                <w:szCs w:val="18"/>
              </w:rPr>
            </w:pPr>
          </w:p>
        </w:tc>
        <w:tc>
          <w:tcPr>
            <w:tcW w:w="662" w:type="pct"/>
            <w:vAlign w:val="bottom"/>
          </w:tcPr>
          <w:p w:rsidR="004E2386" w:rsidRPr="00F552F0" w:rsidRDefault="004E2386" w:rsidP="004E2386">
            <w:pPr>
              <w:jc w:val="center"/>
              <w:rPr>
                <w:sz w:val="20"/>
                <w:szCs w:val="18"/>
              </w:rPr>
            </w:pPr>
            <w:r w:rsidRPr="00F552F0">
              <w:rPr>
                <w:sz w:val="20"/>
                <w:szCs w:val="18"/>
              </w:rPr>
              <w:t>-0.015</w:t>
            </w:r>
          </w:p>
          <w:p w:rsidR="004E2386" w:rsidRPr="00F552F0" w:rsidRDefault="004E2386" w:rsidP="004E2386">
            <w:pPr>
              <w:jc w:val="center"/>
              <w:rPr>
                <w:sz w:val="20"/>
                <w:szCs w:val="18"/>
              </w:rPr>
            </w:pPr>
            <w:r w:rsidRPr="00F552F0">
              <w:rPr>
                <w:sz w:val="20"/>
                <w:szCs w:val="18"/>
              </w:rPr>
              <w:t>(</w:t>
            </w:r>
            <w:r w:rsidR="00841C34" w:rsidRPr="00F552F0">
              <w:rPr>
                <w:sz w:val="20"/>
                <w:szCs w:val="18"/>
              </w:rPr>
              <w:t>1.33</w:t>
            </w:r>
            <w:r w:rsidRPr="00F552F0">
              <w:rPr>
                <w:sz w:val="20"/>
                <w:szCs w:val="18"/>
              </w:rPr>
              <w:t>)</w:t>
            </w:r>
          </w:p>
        </w:tc>
        <w:tc>
          <w:tcPr>
            <w:tcW w:w="662" w:type="pct"/>
          </w:tcPr>
          <w:p w:rsidR="004E2386" w:rsidRPr="00F552F0" w:rsidRDefault="004E2386" w:rsidP="004E2386">
            <w:pPr>
              <w:jc w:val="center"/>
              <w:rPr>
                <w:b/>
                <w:sz w:val="20"/>
                <w:szCs w:val="18"/>
              </w:rPr>
            </w:pP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State</w:t>
            </w:r>
          </w:p>
        </w:tc>
        <w:tc>
          <w:tcPr>
            <w:tcW w:w="613" w:type="pct"/>
            <w:vAlign w:val="bottom"/>
          </w:tcPr>
          <w:p w:rsidR="004E2386" w:rsidRPr="00F552F0" w:rsidRDefault="004E2386" w:rsidP="004E2386">
            <w:pPr>
              <w:jc w:val="center"/>
              <w:rPr>
                <w:sz w:val="20"/>
                <w:szCs w:val="18"/>
              </w:rPr>
            </w:pPr>
            <w:r w:rsidRPr="00F552F0">
              <w:rPr>
                <w:sz w:val="20"/>
                <w:szCs w:val="18"/>
              </w:rPr>
              <w:t>-0.003</w:t>
            </w:r>
          </w:p>
          <w:p w:rsidR="004E2386" w:rsidRPr="00F552F0" w:rsidRDefault="004E2386" w:rsidP="004E2386">
            <w:pPr>
              <w:jc w:val="center"/>
              <w:rPr>
                <w:sz w:val="20"/>
                <w:szCs w:val="18"/>
              </w:rPr>
            </w:pPr>
            <w:r w:rsidRPr="00F552F0">
              <w:rPr>
                <w:sz w:val="20"/>
                <w:szCs w:val="18"/>
              </w:rPr>
              <w:t>(0</w:t>
            </w:r>
            <w:r w:rsidR="00841C34" w:rsidRPr="00F552F0">
              <w:rPr>
                <w:sz w:val="20"/>
                <w:szCs w:val="18"/>
              </w:rPr>
              <w:t>.28</w:t>
            </w:r>
            <w:r w:rsidRPr="00F552F0">
              <w:rPr>
                <w:sz w:val="20"/>
                <w:szCs w:val="18"/>
              </w:rPr>
              <w:t>)</w:t>
            </w:r>
          </w:p>
        </w:tc>
        <w:tc>
          <w:tcPr>
            <w:tcW w:w="662" w:type="pct"/>
          </w:tcPr>
          <w:p w:rsidR="004E2386" w:rsidRPr="00F552F0" w:rsidRDefault="004E2386" w:rsidP="004E2386">
            <w:pPr>
              <w:jc w:val="center"/>
              <w:rPr>
                <w:sz w:val="20"/>
                <w:szCs w:val="18"/>
              </w:rPr>
            </w:pPr>
          </w:p>
        </w:tc>
        <w:tc>
          <w:tcPr>
            <w:tcW w:w="662" w:type="pct"/>
            <w:vAlign w:val="bottom"/>
          </w:tcPr>
          <w:p w:rsidR="004E2386" w:rsidRPr="00F552F0" w:rsidRDefault="004E2386" w:rsidP="004E2386">
            <w:pPr>
              <w:jc w:val="center"/>
              <w:rPr>
                <w:sz w:val="20"/>
                <w:szCs w:val="18"/>
              </w:rPr>
            </w:pPr>
            <w:r w:rsidRPr="00F552F0">
              <w:rPr>
                <w:sz w:val="20"/>
                <w:szCs w:val="18"/>
              </w:rPr>
              <w:t>0.002</w:t>
            </w:r>
          </w:p>
          <w:p w:rsidR="004E2386" w:rsidRPr="00F552F0" w:rsidRDefault="004E2386" w:rsidP="004E2386">
            <w:pPr>
              <w:jc w:val="center"/>
              <w:rPr>
                <w:sz w:val="20"/>
                <w:szCs w:val="18"/>
              </w:rPr>
            </w:pPr>
            <w:r w:rsidRPr="00F552F0">
              <w:rPr>
                <w:sz w:val="20"/>
                <w:szCs w:val="18"/>
              </w:rPr>
              <w:t>(</w:t>
            </w:r>
            <w:r w:rsidR="00841C34" w:rsidRPr="00F552F0">
              <w:rPr>
                <w:sz w:val="20"/>
                <w:szCs w:val="18"/>
              </w:rPr>
              <w:t>0.23</w:t>
            </w:r>
            <w:r w:rsidRPr="00F552F0">
              <w:rPr>
                <w:sz w:val="20"/>
                <w:szCs w:val="18"/>
              </w:rPr>
              <w:t>)</w:t>
            </w:r>
          </w:p>
        </w:tc>
        <w:tc>
          <w:tcPr>
            <w:tcW w:w="662" w:type="pct"/>
            <w:vAlign w:val="bottom"/>
          </w:tcPr>
          <w:p w:rsidR="004E2386" w:rsidRPr="00F552F0" w:rsidRDefault="004E2386" w:rsidP="004E2386">
            <w:pPr>
              <w:jc w:val="center"/>
              <w:rPr>
                <w:sz w:val="20"/>
                <w:szCs w:val="18"/>
              </w:rPr>
            </w:pPr>
          </w:p>
        </w:tc>
        <w:tc>
          <w:tcPr>
            <w:tcW w:w="662" w:type="pct"/>
            <w:vAlign w:val="bottom"/>
          </w:tcPr>
          <w:p w:rsidR="004E2386" w:rsidRPr="00F552F0" w:rsidRDefault="004E2386" w:rsidP="004E2386">
            <w:pPr>
              <w:jc w:val="center"/>
              <w:rPr>
                <w:b/>
                <w:sz w:val="20"/>
                <w:szCs w:val="18"/>
              </w:rPr>
            </w:pPr>
            <w:r w:rsidRPr="00F552F0">
              <w:rPr>
                <w:b/>
                <w:sz w:val="20"/>
                <w:szCs w:val="18"/>
              </w:rPr>
              <w:t>-0.016</w:t>
            </w:r>
          </w:p>
          <w:p w:rsidR="004E2386" w:rsidRPr="00F552F0" w:rsidRDefault="004E2386" w:rsidP="004E2386">
            <w:pPr>
              <w:jc w:val="center"/>
              <w:rPr>
                <w:sz w:val="20"/>
                <w:szCs w:val="18"/>
              </w:rPr>
            </w:pPr>
            <w:r w:rsidRPr="00F552F0">
              <w:rPr>
                <w:b/>
                <w:sz w:val="20"/>
                <w:szCs w:val="18"/>
              </w:rPr>
              <w:t>(</w:t>
            </w:r>
            <w:r w:rsidR="00841C34" w:rsidRPr="00F552F0">
              <w:rPr>
                <w:b/>
                <w:sz w:val="20"/>
                <w:szCs w:val="18"/>
              </w:rPr>
              <w:t>2.00</w:t>
            </w:r>
            <w:r w:rsidRPr="00F552F0">
              <w:rPr>
                <w:b/>
                <w:sz w:val="20"/>
                <w:szCs w:val="18"/>
              </w:rPr>
              <w:t>)</w:t>
            </w:r>
          </w:p>
        </w:tc>
        <w:tc>
          <w:tcPr>
            <w:tcW w:w="662" w:type="pct"/>
            <w:vAlign w:val="bottom"/>
          </w:tcPr>
          <w:p w:rsidR="004E2386" w:rsidRPr="00F552F0" w:rsidRDefault="004E2386" w:rsidP="004E2386">
            <w:pPr>
              <w:jc w:val="center"/>
              <w:rPr>
                <w:sz w:val="20"/>
                <w:szCs w:val="18"/>
              </w:rPr>
            </w:pP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Human capital</w:t>
            </w:r>
          </w:p>
        </w:tc>
        <w:tc>
          <w:tcPr>
            <w:tcW w:w="613" w:type="pct"/>
            <w:vAlign w:val="bottom"/>
          </w:tcPr>
          <w:p w:rsidR="004E2386" w:rsidRPr="00F552F0" w:rsidRDefault="004E2386" w:rsidP="004E2386">
            <w:pPr>
              <w:jc w:val="center"/>
              <w:rPr>
                <w:sz w:val="20"/>
                <w:szCs w:val="18"/>
              </w:rPr>
            </w:pPr>
            <w:r w:rsidRPr="00F552F0">
              <w:rPr>
                <w:sz w:val="20"/>
                <w:szCs w:val="18"/>
              </w:rPr>
              <w:t>0.012</w:t>
            </w:r>
          </w:p>
          <w:p w:rsidR="004E2386" w:rsidRPr="00F552F0" w:rsidRDefault="004E2386" w:rsidP="004E2386">
            <w:pPr>
              <w:jc w:val="center"/>
              <w:rPr>
                <w:sz w:val="20"/>
                <w:szCs w:val="18"/>
              </w:rPr>
            </w:pPr>
            <w:r w:rsidRPr="00F552F0">
              <w:rPr>
                <w:sz w:val="20"/>
                <w:szCs w:val="18"/>
              </w:rPr>
              <w:t>(</w:t>
            </w:r>
            <w:r w:rsidR="00841C34" w:rsidRPr="00F552F0">
              <w:rPr>
                <w:sz w:val="20"/>
                <w:szCs w:val="18"/>
              </w:rPr>
              <w:t>1.34</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0.015</w:t>
            </w:r>
          </w:p>
          <w:p w:rsidR="004E2386" w:rsidRPr="00F552F0" w:rsidRDefault="004E2386" w:rsidP="004E2386">
            <w:pPr>
              <w:jc w:val="center"/>
              <w:rPr>
                <w:sz w:val="20"/>
                <w:szCs w:val="18"/>
              </w:rPr>
            </w:pPr>
            <w:r w:rsidRPr="00F552F0">
              <w:rPr>
                <w:sz w:val="20"/>
                <w:szCs w:val="18"/>
              </w:rPr>
              <w:t>(</w:t>
            </w:r>
            <w:r w:rsidR="00841C34" w:rsidRPr="00F552F0">
              <w:rPr>
                <w:sz w:val="20"/>
                <w:szCs w:val="18"/>
              </w:rPr>
              <w:t>1.37</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0.011</w:t>
            </w:r>
          </w:p>
          <w:p w:rsidR="004E2386" w:rsidRPr="00F552F0" w:rsidRDefault="004E2386" w:rsidP="004E2386">
            <w:pPr>
              <w:jc w:val="center"/>
              <w:rPr>
                <w:sz w:val="20"/>
                <w:szCs w:val="18"/>
              </w:rPr>
            </w:pPr>
            <w:r w:rsidRPr="00F552F0">
              <w:rPr>
                <w:sz w:val="20"/>
                <w:szCs w:val="18"/>
              </w:rPr>
              <w:t>(</w:t>
            </w:r>
            <w:r w:rsidR="00841C34" w:rsidRPr="00F552F0">
              <w:rPr>
                <w:sz w:val="20"/>
                <w:szCs w:val="18"/>
              </w:rPr>
              <w:t>1.33</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0.014</w:t>
            </w:r>
          </w:p>
          <w:p w:rsidR="004E2386" w:rsidRPr="00F552F0" w:rsidRDefault="004E2386" w:rsidP="004E2386">
            <w:pPr>
              <w:jc w:val="center"/>
              <w:rPr>
                <w:sz w:val="20"/>
                <w:szCs w:val="18"/>
              </w:rPr>
            </w:pPr>
            <w:r w:rsidRPr="00F552F0">
              <w:rPr>
                <w:sz w:val="20"/>
                <w:szCs w:val="18"/>
              </w:rPr>
              <w:t>(</w:t>
            </w:r>
            <w:r w:rsidR="00841C34" w:rsidRPr="00F552F0">
              <w:rPr>
                <w:sz w:val="20"/>
                <w:szCs w:val="18"/>
              </w:rPr>
              <w:t>1.43</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.29</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30</w:t>
            </w:r>
            <w:r w:rsidRPr="00F552F0">
              <w:rPr>
                <w:sz w:val="20"/>
                <w:szCs w:val="18"/>
              </w:rPr>
              <w:t>)</w:t>
            </w: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Trade openness</w:t>
            </w:r>
          </w:p>
        </w:tc>
        <w:tc>
          <w:tcPr>
            <w:tcW w:w="613" w:type="pct"/>
            <w:vAlign w:val="bottom"/>
          </w:tcPr>
          <w:p w:rsidR="004E2386" w:rsidRPr="00F552F0" w:rsidRDefault="004E2386" w:rsidP="004E2386">
            <w:pPr>
              <w:jc w:val="center"/>
              <w:rPr>
                <w:sz w:val="20"/>
                <w:szCs w:val="18"/>
              </w:rPr>
            </w:pPr>
            <w:r w:rsidRPr="00F552F0">
              <w:rPr>
                <w:sz w:val="20"/>
                <w:szCs w:val="18"/>
              </w:rPr>
              <w:t>0.003</w:t>
            </w:r>
          </w:p>
          <w:p w:rsidR="004E2386" w:rsidRPr="00F552F0" w:rsidRDefault="004E2386" w:rsidP="004E2386">
            <w:pPr>
              <w:jc w:val="center"/>
              <w:rPr>
                <w:sz w:val="20"/>
                <w:szCs w:val="18"/>
              </w:rPr>
            </w:pPr>
            <w:r w:rsidRPr="00F552F0">
              <w:rPr>
                <w:sz w:val="20"/>
                <w:szCs w:val="18"/>
              </w:rPr>
              <w:t>(</w:t>
            </w:r>
            <w:r w:rsidR="00841C34" w:rsidRPr="00F552F0">
              <w:rPr>
                <w:sz w:val="20"/>
                <w:szCs w:val="18"/>
              </w:rPr>
              <w:t>0.70</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0.003</w:t>
            </w:r>
          </w:p>
          <w:p w:rsidR="004E2386" w:rsidRPr="00F552F0" w:rsidRDefault="004E2386" w:rsidP="004E2386">
            <w:pPr>
              <w:jc w:val="center"/>
              <w:rPr>
                <w:sz w:val="20"/>
                <w:szCs w:val="18"/>
              </w:rPr>
            </w:pPr>
            <w:r w:rsidRPr="00F552F0">
              <w:rPr>
                <w:sz w:val="20"/>
                <w:szCs w:val="18"/>
              </w:rPr>
              <w:t>(0.5</w:t>
            </w:r>
            <w:r w:rsidR="00841C34" w:rsidRPr="00F552F0">
              <w:rPr>
                <w:sz w:val="20"/>
                <w:szCs w:val="18"/>
              </w:rPr>
              <w:t>5</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0.005</w:t>
            </w:r>
          </w:p>
          <w:p w:rsidR="004E2386" w:rsidRPr="00F552F0" w:rsidRDefault="004E2386" w:rsidP="004E2386">
            <w:pPr>
              <w:jc w:val="center"/>
              <w:rPr>
                <w:sz w:val="20"/>
                <w:szCs w:val="18"/>
              </w:rPr>
            </w:pPr>
            <w:r w:rsidRPr="00F552F0">
              <w:rPr>
                <w:sz w:val="20"/>
                <w:szCs w:val="18"/>
              </w:rPr>
              <w:t>(</w:t>
            </w:r>
            <w:r w:rsidR="00841C34" w:rsidRPr="00F552F0">
              <w:rPr>
                <w:sz w:val="20"/>
                <w:szCs w:val="18"/>
              </w:rPr>
              <w:t>1.16</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0.005</w:t>
            </w:r>
          </w:p>
          <w:p w:rsidR="004E2386" w:rsidRPr="00F552F0" w:rsidRDefault="004E2386" w:rsidP="004E2386">
            <w:pPr>
              <w:jc w:val="center"/>
              <w:rPr>
                <w:sz w:val="20"/>
                <w:szCs w:val="18"/>
              </w:rPr>
            </w:pPr>
            <w:r w:rsidRPr="00F552F0">
              <w:rPr>
                <w:sz w:val="20"/>
                <w:szCs w:val="18"/>
              </w:rPr>
              <w:t>(0.</w:t>
            </w:r>
            <w:r w:rsidR="00841C34" w:rsidRPr="00F552F0">
              <w:rPr>
                <w:sz w:val="20"/>
                <w:szCs w:val="18"/>
              </w:rPr>
              <w:t>99</w:t>
            </w:r>
            <w:r w:rsidRPr="00F552F0">
              <w:rPr>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-0.006</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2.41</w:t>
            </w:r>
            <w:r w:rsidRPr="00F552F0">
              <w:rPr>
                <w:b/>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-0.006</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2.43</w:t>
            </w:r>
            <w:r w:rsidRPr="00F552F0">
              <w:rPr>
                <w:b/>
                <w:sz w:val="20"/>
                <w:szCs w:val="18"/>
              </w:rPr>
              <w:t>)</w:t>
            </w:r>
          </w:p>
        </w:tc>
      </w:tr>
      <w:tr w:rsidR="004E2386" w:rsidRPr="00F552F0" w:rsidTr="000210DD">
        <w:trPr>
          <w:trHeight w:val="506"/>
        </w:trPr>
        <w:tc>
          <w:tcPr>
            <w:tcW w:w="1078" w:type="pct"/>
          </w:tcPr>
          <w:p w:rsidR="004E2386" w:rsidRPr="00F552F0" w:rsidRDefault="004E2386" w:rsidP="001F449F">
            <w:pPr>
              <w:rPr>
                <w:sz w:val="20"/>
                <w:szCs w:val="18"/>
              </w:rPr>
            </w:pPr>
            <w:r w:rsidRPr="00F552F0">
              <w:rPr>
                <w:sz w:val="20"/>
                <w:szCs w:val="18"/>
              </w:rPr>
              <w:t>Banking system size</w:t>
            </w:r>
          </w:p>
        </w:tc>
        <w:tc>
          <w:tcPr>
            <w:tcW w:w="613" w:type="pct"/>
            <w:vAlign w:val="bottom"/>
          </w:tcPr>
          <w:p w:rsidR="004E2386" w:rsidRPr="00F552F0" w:rsidRDefault="004E2386" w:rsidP="004E2386">
            <w:pPr>
              <w:jc w:val="center"/>
              <w:rPr>
                <w:sz w:val="20"/>
                <w:szCs w:val="18"/>
              </w:rPr>
            </w:pPr>
            <w:r w:rsidRPr="00F552F0">
              <w:rPr>
                <w:sz w:val="20"/>
                <w:szCs w:val="18"/>
              </w:rPr>
              <w:t>0.006</w:t>
            </w:r>
          </w:p>
          <w:p w:rsidR="004E2386" w:rsidRPr="00F552F0" w:rsidRDefault="004E2386" w:rsidP="004E2386">
            <w:pPr>
              <w:jc w:val="center"/>
              <w:rPr>
                <w:sz w:val="20"/>
                <w:szCs w:val="18"/>
              </w:rPr>
            </w:pPr>
            <w:r w:rsidRPr="00F552F0">
              <w:rPr>
                <w:sz w:val="20"/>
                <w:szCs w:val="18"/>
              </w:rPr>
              <w:t>(</w:t>
            </w:r>
            <w:r w:rsidR="00841C34" w:rsidRPr="00F552F0">
              <w:rPr>
                <w:sz w:val="20"/>
                <w:szCs w:val="18"/>
              </w:rPr>
              <w:t>1.09</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0.008</w:t>
            </w:r>
          </w:p>
          <w:p w:rsidR="004E2386" w:rsidRPr="00F552F0" w:rsidRDefault="004E2386" w:rsidP="004E2386">
            <w:pPr>
              <w:jc w:val="center"/>
              <w:rPr>
                <w:sz w:val="20"/>
                <w:szCs w:val="18"/>
              </w:rPr>
            </w:pPr>
            <w:r w:rsidRPr="00F552F0">
              <w:rPr>
                <w:sz w:val="20"/>
                <w:szCs w:val="18"/>
              </w:rPr>
              <w:t>(</w:t>
            </w:r>
            <w:r w:rsidR="00841C34" w:rsidRPr="00F552F0">
              <w:rPr>
                <w:sz w:val="20"/>
                <w:szCs w:val="18"/>
              </w:rPr>
              <w:t>1.39</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81</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0.006</w:t>
            </w:r>
          </w:p>
          <w:p w:rsidR="004E2386" w:rsidRPr="00F552F0" w:rsidRDefault="004E2386" w:rsidP="004E2386">
            <w:pPr>
              <w:jc w:val="center"/>
              <w:rPr>
                <w:sz w:val="20"/>
                <w:szCs w:val="18"/>
              </w:rPr>
            </w:pPr>
            <w:r w:rsidRPr="00F552F0">
              <w:rPr>
                <w:sz w:val="20"/>
                <w:szCs w:val="18"/>
              </w:rPr>
              <w:t>(</w:t>
            </w:r>
            <w:r w:rsidR="00841C34" w:rsidRPr="00F552F0">
              <w:rPr>
                <w:sz w:val="20"/>
                <w:szCs w:val="18"/>
              </w:rPr>
              <w:t>1.07</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0.005</w:t>
            </w:r>
          </w:p>
          <w:p w:rsidR="004E2386" w:rsidRPr="00F552F0" w:rsidRDefault="004E2386" w:rsidP="004E2386">
            <w:pPr>
              <w:jc w:val="center"/>
              <w:rPr>
                <w:sz w:val="20"/>
                <w:szCs w:val="18"/>
              </w:rPr>
            </w:pPr>
            <w:r w:rsidRPr="00F552F0">
              <w:rPr>
                <w:sz w:val="20"/>
                <w:szCs w:val="18"/>
              </w:rPr>
              <w:t>(</w:t>
            </w:r>
            <w:r w:rsidR="00841C34" w:rsidRPr="00F552F0">
              <w:rPr>
                <w:sz w:val="20"/>
                <w:szCs w:val="18"/>
              </w:rPr>
              <w:t>1.11</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0.005</w:t>
            </w:r>
          </w:p>
          <w:p w:rsidR="004E2386" w:rsidRPr="00F552F0" w:rsidRDefault="004E2386" w:rsidP="004E2386">
            <w:pPr>
              <w:jc w:val="center"/>
              <w:rPr>
                <w:sz w:val="20"/>
                <w:szCs w:val="18"/>
              </w:rPr>
            </w:pPr>
            <w:r w:rsidRPr="00F552F0">
              <w:rPr>
                <w:sz w:val="20"/>
                <w:szCs w:val="18"/>
              </w:rPr>
              <w:t>(</w:t>
            </w:r>
            <w:r w:rsidR="00841C34" w:rsidRPr="00F552F0">
              <w:rPr>
                <w:sz w:val="20"/>
                <w:szCs w:val="18"/>
              </w:rPr>
              <w:t>1.01</w:t>
            </w:r>
            <w:r w:rsidRPr="00F552F0">
              <w:rPr>
                <w:sz w:val="20"/>
                <w:szCs w:val="18"/>
              </w:rPr>
              <w:t>)</w:t>
            </w:r>
          </w:p>
        </w:tc>
      </w:tr>
      <w:tr w:rsidR="004E2386" w:rsidRPr="00F552F0" w:rsidTr="000210DD">
        <w:trPr>
          <w:trHeight w:val="547"/>
        </w:trPr>
        <w:tc>
          <w:tcPr>
            <w:tcW w:w="1078" w:type="pct"/>
          </w:tcPr>
          <w:p w:rsidR="004E2386" w:rsidRPr="00F552F0" w:rsidRDefault="001F449F" w:rsidP="004E2386">
            <w:pPr>
              <w:rPr>
                <w:sz w:val="20"/>
                <w:szCs w:val="18"/>
              </w:rPr>
            </w:pPr>
            <w:r w:rsidRPr="00F552F0">
              <w:rPr>
                <w:sz w:val="20"/>
                <w:szCs w:val="18"/>
              </w:rPr>
              <w:t>Stock market size</w:t>
            </w:r>
          </w:p>
        </w:tc>
        <w:tc>
          <w:tcPr>
            <w:tcW w:w="613" w:type="pct"/>
            <w:vAlign w:val="bottom"/>
          </w:tcPr>
          <w:p w:rsidR="004E2386" w:rsidRPr="00F552F0" w:rsidRDefault="008C2C72" w:rsidP="004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18"/>
              </w:rPr>
            </w:pPr>
            <w:r w:rsidRPr="00F552F0">
              <w:rPr>
                <w:sz w:val="20"/>
                <w:szCs w:val="18"/>
              </w:rPr>
              <w:t>0.005</w:t>
            </w:r>
          </w:p>
          <w:p w:rsidR="004E2386" w:rsidRPr="00F552F0" w:rsidRDefault="008C2C72" w:rsidP="004E2386">
            <w:pPr>
              <w:jc w:val="center"/>
              <w:rPr>
                <w:b/>
                <w:sz w:val="20"/>
                <w:szCs w:val="18"/>
              </w:rPr>
            </w:pPr>
            <w:r w:rsidRPr="00F552F0">
              <w:rPr>
                <w:sz w:val="20"/>
                <w:szCs w:val="18"/>
              </w:rPr>
              <w:t>(1.21)</w:t>
            </w:r>
          </w:p>
        </w:tc>
        <w:tc>
          <w:tcPr>
            <w:tcW w:w="662" w:type="pct"/>
            <w:vAlign w:val="bottom"/>
          </w:tcPr>
          <w:p w:rsidR="004E2386" w:rsidRPr="00F552F0" w:rsidRDefault="004E2386" w:rsidP="004E2386">
            <w:pPr>
              <w:jc w:val="center"/>
              <w:rPr>
                <w:sz w:val="20"/>
                <w:szCs w:val="18"/>
              </w:rPr>
            </w:pPr>
            <w:r w:rsidRPr="00F552F0">
              <w:rPr>
                <w:sz w:val="20"/>
                <w:szCs w:val="18"/>
              </w:rPr>
              <w:t>0.002</w:t>
            </w:r>
          </w:p>
          <w:p w:rsidR="004E2386" w:rsidRPr="00F552F0" w:rsidRDefault="004E2386" w:rsidP="004E2386">
            <w:pPr>
              <w:jc w:val="center"/>
              <w:rPr>
                <w:sz w:val="20"/>
                <w:szCs w:val="18"/>
              </w:rPr>
            </w:pPr>
            <w:r w:rsidRPr="00F552F0">
              <w:rPr>
                <w:sz w:val="20"/>
                <w:szCs w:val="18"/>
              </w:rPr>
              <w:t>(</w:t>
            </w:r>
            <w:r w:rsidR="00841C34" w:rsidRPr="00F552F0">
              <w:rPr>
                <w:sz w:val="20"/>
                <w:szCs w:val="18"/>
              </w:rPr>
              <w:t>0.40</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0.005</w:t>
            </w:r>
          </w:p>
          <w:p w:rsidR="004E2386" w:rsidRPr="00F552F0" w:rsidRDefault="004E2386" w:rsidP="004E2386">
            <w:pPr>
              <w:jc w:val="center"/>
              <w:rPr>
                <w:sz w:val="20"/>
                <w:szCs w:val="18"/>
              </w:rPr>
            </w:pPr>
            <w:r w:rsidRPr="00F552F0">
              <w:rPr>
                <w:sz w:val="20"/>
                <w:szCs w:val="18"/>
              </w:rPr>
              <w:t>(</w:t>
            </w:r>
            <w:r w:rsidR="00841C34" w:rsidRPr="00F552F0">
              <w:rPr>
                <w:sz w:val="20"/>
                <w:szCs w:val="18"/>
              </w:rPr>
              <w:t>1.18</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(0.</w:t>
            </w:r>
            <w:r w:rsidR="00841C34" w:rsidRPr="00F552F0">
              <w:rPr>
                <w:sz w:val="20"/>
                <w:szCs w:val="18"/>
              </w:rPr>
              <w:t>31</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w:t>
            </w:r>
            <w:r w:rsidR="00841C34" w:rsidRPr="00F552F0">
              <w:rPr>
                <w:sz w:val="20"/>
                <w:szCs w:val="18"/>
              </w:rPr>
              <w:t>0.40</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(0.</w:t>
            </w:r>
            <w:r w:rsidR="00841C34" w:rsidRPr="00F552F0">
              <w:rPr>
                <w:sz w:val="20"/>
                <w:szCs w:val="18"/>
              </w:rPr>
              <w:t>45</w:t>
            </w:r>
            <w:r w:rsidRPr="00F552F0">
              <w:rPr>
                <w:sz w:val="20"/>
                <w:szCs w:val="18"/>
              </w:rPr>
              <w:t>)</w:t>
            </w:r>
          </w:p>
        </w:tc>
      </w:tr>
      <w:tr w:rsidR="004E2386" w:rsidRPr="00F552F0" w:rsidTr="000210DD">
        <w:trPr>
          <w:trHeight w:val="547"/>
        </w:trPr>
        <w:tc>
          <w:tcPr>
            <w:tcW w:w="1078" w:type="pct"/>
          </w:tcPr>
          <w:p w:rsidR="004E2386" w:rsidRPr="00F552F0" w:rsidRDefault="004E2386" w:rsidP="001F449F">
            <w:pPr>
              <w:rPr>
                <w:sz w:val="20"/>
                <w:szCs w:val="18"/>
              </w:rPr>
            </w:pPr>
            <w:smartTag w:uri="urn:schemas-microsoft-com:office:smarttags" w:element="place">
              <w:r w:rsidRPr="00F552F0">
                <w:rPr>
                  <w:sz w:val="20"/>
                  <w:szCs w:val="18"/>
                </w:rPr>
                <w:t>Africa</w:t>
              </w:r>
            </w:smartTag>
            <w:r w:rsidRPr="00F552F0">
              <w:rPr>
                <w:sz w:val="20"/>
                <w:szCs w:val="18"/>
              </w:rPr>
              <w:t xml:space="preserve"> dummy</w:t>
            </w:r>
          </w:p>
        </w:tc>
        <w:tc>
          <w:tcPr>
            <w:tcW w:w="613" w:type="pct"/>
            <w:vAlign w:val="bottom"/>
          </w:tcPr>
          <w:p w:rsidR="004E2386" w:rsidRPr="00F552F0" w:rsidRDefault="004E2386" w:rsidP="004E2386">
            <w:pPr>
              <w:jc w:val="center"/>
              <w:rPr>
                <w:b/>
                <w:sz w:val="20"/>
                <w:szCs w:val="18"/>
              </w:rPr>
            </w:pPr>
            <w:r w:rsidRPr="00F552F0">
              <w:rPr>
                <w:b/>
                <w:sz w:val="20"/>
                <w:szCs w:val="18"/>
              </w:rPr>
              <w:t>-0.023</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1.89</w:t>
            </w:r>
            <w:r w:rsidRPr="00F552F0">
              <w:rPr>
                <w:b/>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-0.024</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2.02</w:t>
            </w:r>
            <w:r w:rsidRPr="00F552F0">
              <w:rPr>
                <w:b/>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-0.022</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1.82</w:t>
            </w:r>
            <w:r w:rsidRPr="00F552F0">
              <w:rPr>
                <w:b/>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-0.023</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1.94</w:t>
            </w:r>
            <w:r w:rsidRPr="00F552F0">
              <w:rPr>
                <w:b/>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.64</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62</w:t>
            </w:r>
            <w:r w:rsidRPr="00F552F0">
              <w:rPr>
                <w:sz w:val="20"/>
                <w:szCs w:val="18"/>
              </w:rPr>
              <w:t>)</w:t>
            </w: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Initial income square</w:t>
            </w:r>
          </w:p>
        </w:tc>
        <w:tc>
          <w:tcPr>
            <w:tcW w:w="613" w:type="pct"/>
            <w:vAlign w:val="bottom"/>
          </w:tcPr>
          <w:p w:rsidR="004E2386" w:rsidRPr="00F552F0" w:rsidRDefault="004E2386" w:rsidP="004E2386">
            <w:pPr>
              <w:jc w:val="center"/>
              <w:rPr>
                <w:b/>
                <w:sz w:val="20"/>
                <w:szCs w:val="18"/>
              </w:rPr>
            </w:pPr>
            <w:r w:rsidRPr="00F552F0">
              <w:rPr>
                <w:b/>
                <w:sz w:val="20"/>
                <w:szCs w:val="18"/>
              </w:rPr>
              <w:t>-0.004</w:t>
            </w:r>
          </w:p>
          <w:p w:rsidR="004E2386" w:rsidRPr="00F552F0" w:rsidRDefault="004E2386" w:rsidP="004E2386">
            <w:pPr>
              <w:jc w:val="center"/>
              <w:rPr>
                <w:b/>
                <w:sz w:val="20"/>
                <w:szCs w:val="18"/>
              </w:rPr>
            </w:pPr>
            <w:r w:rsidRPr="00F552F0">
              <w:rPr>
                <w:b/>
                <w:sz w:val="20"/>
                <w:szCs w:val="18"/>
              </w:rPr>
              <w:t>(</w:t>
            </w:r>
            <w:r w:rsidR="00841C34" w:rsidRPr="00F552F0">
              <w:rPr>
                <w:b/>
                <w:sz w:val="20"/>
                <w:szCs w:val="18"/>
              </w:rPr>
              <w:t>1.75</w:t>
            </w:r>
            <w:r w:rsidRPr="00F552F0">
              <w:rPr>
                <w:b/>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(0.</w:t>
            </w:r>
            <w:r w:rsidR="00841C34" w:rsidRPr="00F552F0">
              <w:rPr>
                <w:sz w:val="20"/>
                <w:szCs w:val="18"/>
              </w:rPr>
              <w:t>52</w:t>
            </w:r>
            <w:r w:rsidRPr="00F552F0">
              <w:rPr>
                <w:sz w:val="20"/>
                <w:szCs w:val="18"/>
              </w:rPr>
              <w:t>)</w:t>
            </w:r>
          </w:p>
        </w:tc>
        <w:tc>
          <w:tcPr>
            <w:tcW w:w="662" w:type="pct"/>
            <w:vAlign w:val="bottom"/>
          </w:tcPr>
          <w:p w:rsidR="004E2386" w:rsidRPr="00F552F0" w:rsidRDefault="004E2386" w:rsidP="004E2386">
            <w:pPr>
              <w:jc w:val="center"/>
              <w:rPr>
                <w:b/>
                <w:sz w:val="20"/>
                <w:szCs w:val="18"/>
              </w:rPr>
            </w:pPr>
            <w:r w:rsidRPr="00F552F0">
              <w:rPr>
                <w:b/>
                <w:sz w:val="20"/>
                <w:szCs w:val="18"/>
              </w:rPr>
              <w:t>-0.004</w:t>
            </w:r>
          </w:p>
          <w:p w:rsidR="004E2386" w:rsidRPr="00F552F0" w:rsidRDefault="004E2386" w:rsidP="004E2386">
            <w:pPr>
              <w:jc w:val="center"/>
              <w:rPr>
                <w:sz w:val="20"/>
                <w:szCs w:val="18"/>
              </w:rPr>
            </w:pPr>
            <w:r w:rsidRPr="00F552F0">
              <w:rPr>
                <w:b/>
                <w:sz w:val="20"/>
                <w:szCs w:val="18"/>
              </w:rPr>
              <w:t>(</w:t>
            </w:r>
            <w:r w:rsidR="00841C34" w:rsidRPr="00F552F0">
              <w:rPr>
                <w:b/>
                <w:sz w:val="20"/>
                <w:szCs w:val="18"/>
              </w:rPr>
              <w:t>1.70</w:t>
            </w:r>
            <w:r w:rsidRPr="00F552F0">
              <w:rPr>
                <w:b/>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(0.</w:t>
            </w:r>
            <w:r w:rsidR="00841C34" w:rsidRPr="00F552F0">
              <w:rPr>
                <w:sz w:val="20"/>
                <w:szCs w:val="18"/>
              </w:rPr>
              <w:t>35</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(0.5</w:t>
            </w:r>
            <w:r w:rsidR="00841C34" w:rsidRPr="00F552F0">
              <w:rPr>
                <w:sz w:val="20"/>
                <w:szCs w:val="18"/>
              </w:rPr>
              <w:t>8</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-0.001</w:t>
            </w:r>
          </w:p>
          <w:p w:rsidR="004E2386" w:rsidRPr="00F552F0" w:rsidRDefault="004E2386" w:rsidP="004E2386">
            <w:pPr>
              <w:jc w:val="center"/>
              <w:rPr>
                <w:sz w:val="20"/>
                <w:szCs w:val="18"/>
              </w:rPr>
            </w:pPr>
            <w:r w:rsidRPr="00F552F0">
              <w:rPr>
                <w:sz w:val="20"/>
                <w:szCs w:val="18"/>
              </w:rPr>
              <w:t>(</w:t>
            </w:r>
            <w:r w:rsidR="00841C34" w:rsidRPr="00F552F0">
              <w:rPr>
                <w:sz w:val="20"/>
                <w:szCs w:val="18"/>
              </w:rPr>
              <w:t>1.21</w:t>
            </w:r>
            <w:r w:rsidRPr="00F552F0">
              <w:rPr>
                <w:sz w:val="20"/>
                <w:szCs w:val="18"/>
              </w:rPr>
              <w:t>)</w:t>
            </w:r>
          </w:p>
        </w:tc>
      </w:tr>
      <w:tr w:rsidR="004E2386" w:rsidRPr="00F552F0" w:rsidTr="000210DD">
        <w:trPr>
          <w:trHeight w:val="547"/>
        </w:trPr>
        <w:tc>
          <w:tcPr>
            <w:tcW w:w="1078" w:type="pct"/>
          </w:tcPr>
          <w:p w:rsidR="004E2386" w:rsidRPr="00F552F0" w:rsidRDefault="004E2386" w:rsidP="004E2386">
            <w:pPr>
              <w:rPr>
                <w:sz w:val="20"/>
                <w:szCs w:val="18"/>
              </w:rPr>
            </w:pPr>
            <w:r w:rsidRPr="00F552F0">
              <w:rPr>
                <w:sz w:val="20"/>
                <w:szCs w:val="18"/>
              </w:rPr>
              <w:t xml:space="preserve">Initial </w:t>
            </w:r>
            <w:r w:rsidR="00672217" w:rsidRPr="00F552F0">
              <w:rPr>
                <w:sz w:val="20"/>
                <w:szCs w:val="18"/>
              </w:rPr>
              <w:t>i</w:t>
            </w:r>
            <w:r w:rsidRPr="00F552F0">
              <w:rPr>
                <w:sz w:val="20"/>
                <w:szCs w:val="18"/>
              </w:rPr>
              <w:t>ncome</w:t>
            </w:r>
          </w:p>
        </w:tc>
        <w:tc>
          <w:tcPr>
            <w:tcW w:w="613" w:type="pct"/>
            <w:vAlign w:val="bottom"/>
          </w:tcPr>
          <w:p w:rsidR="004E2386" w:rsidRPr="00F552F0" w:rsidRDefault="004E2386" w:rsidP="004E2386">
            <w:pPr>
              <w:jc w:val="center"/>
              <w:rPr>
                <w:sz w:val="20"/>
                <w:szCs w:val="18"/>
              </w:rPr>
            </w:pPr>
            <w:r w:rsidRPr="00F552F0">
              <w:rPr>
                <w:sz w:val="20"/>
                <w:szCs w:val="18"/>
              </w:rPr>
              <w:t>0.064</w:t>
            </w:r>
          </w:p>
          <w:p w:rsidR="004E2386" w:rsidRPr="00F552F0" w:rsidRDefault="004E2386" w:rsidP="004E2386">
            <w:pPr>
              <w:jc w:val="center"/>
              <w:rPr>
                <w:sz w:val="20"/>
                <w:szCs w:val="18"/>
              </w:rPr>
            </w:pPr>
            <w:r w:rsidRPr="00F552F0">
              <w:rPr>
                <w:sz w:val="20"/>
                <w:szCs w:val="18"/>
              </w:rPr>
              <w:t>(</w:t>
            </w:r>
            <w:r w:rsidR="00841C34" w:rsidRPr="00F552F0">
              <w:rPr>
                <w:sz w:val="20"/>
                <w:szCs w:val="18"/>
              </w:rPr>
              <w:t>1.58</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0.011</w:t>
            </w:r>
          </w:p>
          <w:p w:rsidR="004E2386" w:rsidRPr="00F552F0" w:rsidRDefault="004E2386" w:rsidP="004E2386">
            <w:pPr>
              <w:jc w:val="center"/>
              <w:rPr>
                <w:sz w:val="20"/>
                <w:szCs w:val="18"/>
              </w:rPr>
            </w:pPr>
            <w:r w:rsidRPr="00F552F0">
              <w:rPr>
                <w:sz w:val="20"/>
                <w:szCs w:val="18"/>
              </w:rPr>
              <w:t>(0.</w:t>
            </w:r>
            <w:r w:rsidR="00841C34" w:rsidRPr="00F552F0">
              <w:rPr>
                <w:sz w:val="20"/>
                <w:szCs w:val="18"/>
              </w:rPr>
              <w:t>31</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0.058</w:t>
            </w:r>
          </w:p>
          <w:p w:rsidR="004E2386" w:rsidRPr="00F552F0" w:rsidRDefault="004E2386" w:rsidP="004E2386">
            <w:pPr>
              <w:jc w:val="center"/>
              <w:rPr>
                <w:sz w:val="20"/>
                <w:szCs w:val="18"/>
              </w:rPr>
            </w:pPr>
            <w:r w:rsidRPr="00F552F0">
              <w:rPr>
                <w:sz w:val="20"/>
                <w:szCs w:val="18"/>
              </w:rPr>
              <w:t>(</w:t>
            </w:r>
            <w:r w:rsidR="00841C34" w:rsidRPr="00F552F0">
              <w:rPr>
                <w:sz w:val="20"/>
                <w:szCs w:val="18"/>
              </w:rPr>
              <w:t>1.54</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0.004</w:t>
            </w:r>
          </w:p>
          <w:p w:rsidR="004E2386" w:rsidRPr="00F552F0" w:rsidRDefault="004E2386" w:rsidP="004E2386">
            <w:pPr>
              <w:jc w:val="center"/>
              <w:rPr>
                <w:sz w:val="20"/>
                <w:szCs w:val="18"/>
              </w:rPr>
            </w:pPr>
            <w:r w:rsidRPr="00F552F0">
              <w:rPr>
                <w:sz w:val="20"/>
                <w:szCs w:val="18"/>
              </w:rPr>
              <w:t>(0.</w:t>
            </w:r>
            <w:r w:rsidR="00841C34" w:rsidRPr="00F552F0">
              <w:rPr>
                <w:sz w:val="20"/>
                <w:szCs w:val="18"/>
              </w:rPr>
              <w:t>12</w:t>
            </w:r>
            <w:r w:rsidRPr="00F552F0">
              <w:rPr>
                <w:sz w:val="20"/>
                <w:szCs w:val="18"/>
              </w:rPr>
              <w:t>)</w:t>
            </w:r>
          </w:p>
        </w:tc>
        <w:tc>
          <w:tcPr>
            <w:tcW w:w="662" w:type="pct"/>
            <w:vAlign w:val="bottom"/>
          </w:tcPr>
          <w:p w:rsidR="004E2386" w:rsidRPr="00F552F0" w:rsidRDefault="004E2386" w:rsidP="004E2386">
            <w:pPr>
              <w:jc w:val="center"/>
              <w:rPr>
                <w:sz w:val="20"/>
                <w:szCs w:val="18"/>
              </w:rPr>
            </w:pPr>
            <w:r w:rsidRPr="00F552F0">
              <w:rPr>
                <w:sz w:val="20"/>
                <w:szCs w:val="18"/>
              </w:rPr>
              <w:t>0.021</w:t>
            </w:r>
          </w:p>
          <w:p w:rsidR="004E2386" w:rsidRPr="00F552F0" w:rsidRDefault="004E2386" w:rsidP="004E2386">
            <w:pPr>
              <w:jc w:val="center"/>
              <w:rPr>
                <w:sz w:val="20"/>
                <w:szCs w:val="18"/>
              </w:rPr>
            </w:pPr>
            <w:r w:rsidRPr="00F552F0">
              <w:rPr>
                <w:sz w:val="20"/>
                <w:szCs w:val="18"/>
              </w:rPr>
              <w:t>(0.57)</w:t>
            </w:r>
          </w:p>
        </w:tc>
        <w:tc>
          <w:tcPr>
            <w:tcW w:w="662" w:type="pct"/>
            <w:vAlign w:val="bottom"/>
          </w:tcPr>
          <w:p w:rsidR="004E2386" w:rsidRPr="00F552F0" w:rsidRDefault="004E2386" w:rsidP="004E2386">
            <w:pPr>
              <w:jc w:val="center"/>
              <w:rPr>
                <w:sz w:val="20"/>
                <w:szCs w:val="18"/>
              </w:rPr>
            </w:pPr>
            <w:r w:rsidRPr="00F552F0">
              <w:rPr>
                <w:sz w:val="20"/>
                <w:szCs w:val="18"/>
              </w:rPr>
              <w:t>0.023</w:t>
            </w:r>
          </w:p>
          <w:p w:rsidR="004E2386" w:rsidRPr="00F552F0" w:rsidRDefault="004E2386" w:rsidP="004E2386">
            <w:pPr>
              <w:jc w:val="center"/>
              <w:rPr>
                <w:sz w:val="20"/>
                <w:szCs w:val="18"/>
              </w:rPr>
            </w:pPr>
            <w:r w:rsidRPr="00F552F0">
              <w:rPr>
                <w:sz w:val="20"/>
                <w:szCs w:val="18"/>
              </w:rPr>
              <w:t>(</w:t>
            </w:r>
            <w:r w:rsidR="00841C34" w:rsidRPr="00F552F0">
              <w:rPr>
                <w:sz w:val="20"/>
                <w:szCs w:val="18"/>
              </w:rPr>
              <w:t>1.20</w:t>
            </w:r>
            <w:r w:rsidRPr="00F552F0">
              <w:rPr>
                <w:sz w:val="20"/>
                <w:szCs w:val="18"/>
              </w:rPr>
              <w:t>)</w:t>
            </w:r>
          </w:p>
        </w:tc>
      </w:tr>
      <w:tr w:rsidR="004E2386" w:rsidRPr="00F552F0" w:rsidTr="000210DD">
        <w:trPr>
          <w:trHeight w:val="506"/>
        </w:trPr>
        <w:tc>
          <w:tcPr>
            <w:tcW w:w="1078" w:type="pct"/>
            <w:tcBorders>
              <w:bottom w:val="single" w:sz="4" w:space="0" w:color="auto"/>
            </w:tcBorders>
          </w:tcPr>
          <w:p w:rsidR="004E2386" w:rsidRPr="00F552F0" w:rsidRDefault="004E2386" w:rsidP="004E2386">
            <w:pPr>
              <w:rPr>
                <w:sz w:val="20"/>
                <w:szCs w:val="18"/>
              </w:rPr>
            </w:pPr>
            <w:r w:rsidRPr="00F552F0">
              <w:rPr>
                <w:sz w:val="20"/>
                <w:szCs w:val="18"/>
              </w:rPr>
              <w:t>Constant</w:t>
            </w:r>
          </w:p>
        </w:tc>
        <w:tc>
          <w:tcPr>
            <w:tcW w:w="613"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-0.280</w:t>
            </w:r>
          </w:p>
          <w:p w:rsidR="004E2386" w:rsidRPr="00F552F0" w:rsidRDefault="004E2386" w:rsidP="004E2386">
            <w:pPr>
              <w:jc w:val="center"/>
              <w:rPr>
                <w:sz w:val="20"/>
                <w:szCs w:val="18"/>
              </w:rPr>
            </w:pPr>
            <w:r w:rsidRPr="00F552F0">
              <w:rPr>
                <w:sz w:val="20"/>
                <w:szCs w:val="18"/>
              </w:rPr>
              <w:t>(</w:t>
            </w:r>
            <w:r w:rsidR="00841C34" w:rsidRPr="00F552F0">
              <w:rPr>
                <w:sz w:val="20"/>
                <w:szCs w:val="18"/>
              </w:rPr>
              <w:t>1.55</w:t>
            </w:r>
            <w:r w:rsidRPr="00F552F0">
              <w:rPr>
                <w:sz w:val="20"/>
                <w:szCs w:val="18"/>
              </w:rPr>
              <w:t>)</w:t>
            </w:r>
          </w:p>
        </w:tc>
        <w:tc>
          <w:tcPr>
            <w:tcW w:w="662"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-0.077</w:t>
            </w:r>
          </w:p>
          <w:p w:rsidR="004E2386" w:rsidRPr="00F552F0" w:rsidRDefault="004E2386" w:rsidP="004E2386">
            <w:pPr>
              <w:jc w:val="center"/>
              <w:rPr>
                <w:sz w:val="20"/>
                <w:szCs w:val="18"/>
              </w:rPr>
            </w:pPr>
            <w:r w:rsidRPr="00F552F0">
              <w:rPr>
                <w:sz w:val="20"/>
                <w:szCs w:val="18"/>
              </w:rPr>
              <w:t>(0.</w:t>
            </w:r>
            <w:r w:rsidR="00841C34" w:rsidRPr="00F552F0">
              <w:rPr>
                <w:sz w:val="20"/>
                <w:szCs w:val="18"/>
              </w:rPr>
              <w:t>49</w:t>
            </w:r>
            <w:r w:rsidRPr="00F552F0">
              <w:rPr>
                <w:sz w:val="20"/>
                <w:szCs w:val="18"/>
              </w:rPr>
              <w:t>)</w:t>
            </w:r>
          </w:p>
        </w:tc>
        <w:tc>
          <w:tcPr>
            <w:tcW w:w="662"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-0.252</w:t>
            </w:r>
          </w:p>
          <w:p w:rsidR="004E2386" w:rsidRPr="00F552F0" w:rsidRDefault="004E2386" w:rsidP="004E2386">
            <w:pPr>
              <w:jc w:val="center"/>
              <w:rPr>
                <w:sz w:val="20"/>
                <w:szCs w:val="18"/>
              </w:rPr>
            </w:pPr>
            <w:r w:rsidRPr="00F552F0">
              <w:rPr>
                <w:sz w:val="20"/>
                <w:szCs w:val="18"/>
              </w:rPr>
              <w:t>(</w:t>
            </w:r>
            <w:r w:rsidR="00841C34" w:rsidRPr="00F552F0">
              <w:rPr>
                <w:sz w:val="20"/>
                <w:szCs w:val="18"/>
              </w:rPr>
              <w:t>1.52</w:t>
            </w:r>
            <w:r w:rsidRPr="00F552F0">
              <w:rPr>
                <w:sz w:val="20"/>
                <w:szCs w:val="18"/>
              </w:rPr>
              <w:t>)</w:t>
            </w:r>
          </w:p>
        </w:tc>
        <w:tc>
          <w:tcPr>
            <w:tcW w:w="662"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-0.041</w:t>
            </w:r>
          </w:p>
          <w:p w:rsidR="004E2386" w:rsidRPr="00F552F0" w:rsidRDefault="004E2386" w:rsidP="004E2386">
            <w:pPr>
              <w:jc w:val="center"/>
              <w:rPr>
                <w:sz w:val="20"/>
                <w:szCs w:val="18"/>
              </w:rPr>
            </w:pPr>
            <w:r w:rsidRPr="00F552F0">
              <w:rPr>
                <w:sz w:val="20"/>
                <w:szCs w:val="18"/>
              </w:rPr>
              <w:t>(0.</w:t>
            </w:r>
            <w:r w:rsidR="00841C34" w:rsidRPr="00F552F0">
              <w:rPr>
                <w:sz w:val="20"/>
                <w:szCs w:val="18"/>
              </w:rPr>
              <w:t>30</w:t>
            </w:r>
            <w:r w:rsidRPr="00F552F0">
              <w:rPr>
                <w:sz w:val="20"/>
                <w:szCs w:val="18"/>
              </w:rPr>
              <w:t>)</w:t>
            </w:r>
          </w:p>
        </w:tc>
        <w:tc>
          <w:tcPr>
            <w:tcW w:w="662"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-0.094</w:t>
            </w:r>
          </w:p>
          <w:p w:rsidR="004E2386" w:rsidRPr="00F552F0" w:rsidRDefault="004E2386" w:rsidP="004E2386">
            <w:pPr>
              <w:jc w:val="center"/>
              <w:rPr>
                <w:sz w:val="20"/>
                <w:szCs w:val="18"/>
              </w:rPr>
            </w:pPr>
            <w:r w:rsidRPr="00F552F0">
              <w:rPr>
                <w:sz w:val="20"/>
                <w:szCs w:val="18"/>
              </w:rPr>
              <w:t>(0.</w:t>
            </w:r>
            <w:r w:rsidR="00841C34" w:rsidRPr="00F552F0">
              <w:rPr>
                <w:sz w:val="20"/>
                <w:szCs w:val="18"/>
              </w:rPr>
              <w:t>62</w:t>
            </w:r>
            <w:r w:rsidRPr="00F552F0">
              <w:rPr>
                <w:sz w:val="20"/>
                <w:szCs w:val="18"/>
              </w:rPr>
              <w:t>)</w:t>
            </w:r>
          </w:p>
        </w:tc>
        <w:tc>
          <w:tcPr>
            <w:tcW w:w="662" w:type="pct"/>
            <w:tcBorders>
              <w:bottom w:val="single" w:sz="4" w:space="0" w:color="auto"/>
            </w:tcBorders>
            <w:vAlign w:val="bottom"/>
          </w:tcPr>
          <w:p w:rsidR="004E2386" w:rsidRPr="00F552F0" w:rsidRDefault="004E2386" w:rsidP="004E2386">
            <w:pPr>
              <w:jc w:val="center"/>
              <w:rPr>
                <w:sz w:val="20"/>
                <w:szCs w:val="18"/>
              </w:rPr>
            </w:pPr>
            <w:r w:rsidRPr="00F552F0">
              <w:rPr>
                <w:sz w:val="20"/>
                <w:szCs w:val="18"/>
              </w:rPr>
              <w:t>-0.120</w:t>
            </w:r>
          </w:p>
          <w:p w:rsidR="004E2386" w:rsidRPr="00F552F0" w:rsidRDefault="004E2386" w:rsidP="004E2386">
            <w:pPr>
              <w:jc w:val="center"/>
              <w:rPr>
                <w:sz w:val="20"/>
                <w:szCs w:val="18"/>
              </w:rPr>
            </w:pPr>
            <w:r w:rsidRPr="00F552F0">
              <w:rPr>
                <w:sz w:val="20"/>
                <w:szCs w:val="18"/>
              </w:rPr>
              <w:t>(</w:t>
            </w:r>
            <w:r w:rsidR="00841C34" w:rsidRPr="00F552F0">
              <w:rPr>
                <w:sz w:val="20"/>
                <w:szCs w:val="18"/>
              </w:rPr>
              <w:t>1.41</w:t>
            </w:r>
            <w:r w:rsidRPr="00F552F0">
              <w:rPr>
                <w:sz w:val="20"/>
                <w:szCs w:val="18"/>
              </w:rPr>
              <w:t>)</w:t>
            </w:r>
          </w:p>
        </w:tc>
      </w:tr>
      <w:tr w:rsidR="004E2386" w:rsidRPr="00F552F0" w:rsidTr="000210DD">
        <w:trPr>
          <w:trHeight w:val="350"/>
        </w:trPr>
        <w:tc>
          <w:tcPr>
            <w:tcW w:w="1078" w:type="pct"/>
            <w:tcBorders>
              <w:top w:val="single" w:sz="4" w:space="0" w:color="auto"/>
            </w:tcBorders>
          </w:tcPr>
          <w:p w:rsidR="004E2386" w:rsidRPr="00F552F0" w:rsidRDefault="00BF6193" w:rsidP="004E2386">
            <w:pPr>
              <w:rPr>
                <w:sz w:val="20"/>
                <w:szCs w:val="18"/>
              </w:rPr>
            </w:pPr>
            <w:r w:rsidRPr="00F552F0">
              <w:rPr>
                <w:i/>
                <w:sz w:val="20"/>
                <w:szCs w:val="18"/>
              </w:rPr>
              <w:t>R</w:t>
            </w:r>
            <w:r w:rsidR="004E2386" w:rsidRPr="00F552F0">
              <w:rPr>
                <w:sz w:val="20"/>
                <w:szCs w:val="18"/>
                <w:vertAlign w:val="superscript"/>
              </w:rPr>
              <w:t>2</w:t>
            </w:r>
          </w:p>
        </w:tc>
        <w:tc>
          <w:tcPr>
            <w:tcW w:w="613" w:type="pct"/>
            <w:tcBorders>
              <w:top w:val="single" w:sz="4" w:space="0" w:color="auto"/>
            </w:tcBorders>
          </w:tcPr>
          <w:p w:rsidR="004E2386" w:rsidRPr="00F552F0" w:rsidRDefault="004E2386" w:rsidP="004E2386">
            <w:pPr>
              <w:jc w:val="center"/>
              <w:rPr>
                <w:sz w:val="20"/>
                <w:szCs w:val="18"/>
              </w:rPr>
            </w:pPr>
            <w:r w:rsidRPr="00F552F0">
              <w:rPr>
                <w:sz w:val="20"/>
                <w:szCs w:val="18"/>
              </w:rPr>
              <w:t>0.41</w:t>
            </w: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0.31</w:t>
            </w: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0.39</w:t>
            </w: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0.28</w:t>
            </w: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0.45</w:t>
            </w:r>
          </w:p>
        </w:tc>
        <w:tc>
          <w:tcPr>
            <w:tcW w:w="662" w:type="pct"/>
            <w:tcBorders>
              <w:top w:val="single" w:sz="4" w:space="0" w:color="auto"/>
            </w:tcBorders>
          </w:tcPr>
          <w:p w:rsidR="004E2386" w:rsidRPr="00F552F0" w:rsidRDefault="004E2386" w:rsidP="004E2386">
            <w:pPr>
              <w:jc w:val="center"/>
              <w:rPr>
                <w:sz w:val="20"/>
                <w:szCs w:val="18"/>
              </w:rPr>
            </w:pPr>
            <w:r w:rsidRPr="00F552F0">
              <w:rPr>
                <w:sz w:val="20"/>
                <w:szCs w:val="18"/>
              </w:rPr>
              <w:t>0.45</w:t>
            </w:r>
          </w:p>
        </w:tc>
      </w:tr>
      <w:tr w:rsidR="004E2386" w:rsidRPr="00F552F0" w:rsidTr="000210DD">
        <w:trPr>
          <w:trHeight w:val="281"/>
        </w:trPr>
        <w:tc>
          <w:tcPr>
            <w:tcW w:w="1078" w:type="pct"/>
          </w:tcPr>
          <w:p w:rsidR="004E2386" w:rsidRPr="00F552F0" w:rsidRDefault="00BF6193" w:rsidP="004E2386">
            <w:pPr>
              <w:rPr>
                <w:i/>
                <w:sz w:val="20"/>
                <w:szCs w:val="18"/>
              </w:rPr>
            </w:pPr>
            <w:r w:rsidRPr="00F552F0">
              <w:rPr>
                <w:i/>
                <w:sz w:val="20"/>
                <w:szCs w:val="18"/>
              </w:rPr>
              <w:t>N</w:t>
            </w:r>
          </w:p>
          <w:p w:rsidR="004E2386" w:rsidRPr="00F552F0" w:rsidRDefault="004E2386" w:rsidP="004E2386">
            <w:pPr>
              <w:rPr>
                <w:sz w:val="20"/>
                <w:szCs w:val="18"/>
              </w:rPr>
            </w:pPr>
          </w:p>
        </w:tc>
        <w:tc>
          <w:tcPr>
            <w:tcW w:w="613" w:type="pct"/>
          </w:tcPr>
          <w:p w:rsidR="004E2386" w:rsidRPr="00F552F0" w:rsidRDefault="004E2386" w:rsidP="004E2386">
            <w:pPr>
              <w:jc w:val="center"/>
              <w:rPr>
                <w:sz w:val="20"/>
                <w:szCs w:val="18"/>
              </w:rPr>
            </w:pPr>
            <w:r w:rsidRPr="00F552F0">
              <w:rPr>
                <w:sz w:val="20"/>
                <w:szCs w:val="18"/>
              </w:rPr>
              <w:t>43</w:t>
            </w:r>
          </w:p>
          <w:p w:rsidR="004E2386" w:rsidRPr="00F552F0" w:rsidRDefault="004E2386" w:rsidP="004E2386">
            <w:pPr>
              <w:jc w:val="center"/>
              <w:rPr>
                <w:sz w:val="20"/>
                <w:szCs w:val="18"/>
              </w:rPr>
            </w:pPr>
          </w:p>
        </w:tc>
        <w:tc>
          <w:tcPr>
            <w:tcW w:w="662" w:type="pct"/>
          </w:tcPr>
          <w:p w:rsidR="004E2386" w:rsidRPr="00F552F0" w:rsidRDefault="004E2386" w:rsidP="004E2386">
            <w:pPr>
              <w:jc w:val="center"/>
              <w:rPr>
                <w:sz w:val="20"/>
                <w:szCs w:val="18"/>
              </w:rPr>
            </w:pPr>
            <w:r w:rsidRPr="00F552F0">
              <w:rPr>
                <w:sz w:val="20"/>
                <w:szCs w:val="18"/>
              </w:rPr>
              <w:t>43</w:t>
            </w:r>
          </w:p>
        </w:tc>
        <w:tc>
          <w:tcPr>
            <w:tcW w:w="662" w:type="pct"/>
          </w:tcPr>
          <w:p w:rsidR="004E2386" w:rsidRPr="00F552F0" w:rsidRDefault="004E2386" w:rsidP="004E2386">
            <w:pPr>
              <w:jc w:val="center"/>
              <w:rPr>
                <w:sz w:val="20"/>
                <w:szCs w:val="18"/>
              </w:rPr>
            </w:pPr>
            <w:r w:rsidRPr="00F552F0">
              <w:rPr>
                <w:sz w:val="20"/>
                <w:szCs w:val="18"/>
              </w:rPr>
              <w:t>43</w:t>
            </w:r>
          </w:p>
        </w:tc>
        <w:tc>
          <w:tcPr>
            <w:tcW w:w="662" w:type="pct"/>
          </w:tcPr>
          <w:p w:rsidR="004E2386" w:rsidRPr="00F552F0" w:rsidRDefault="004E2386" w:rsidP="004E2386">
            <w:pPr>
              <w:jc w:val="center"/>
              <w:rPr>
                <w:sz w:val="20"/>
                <w:szCs w:val="18"/>
              </w:rPr>
            </w:pPr>
            <w:r w:rsidRPr="00F552F0">
              <w:rPr>
                <w:sz w:val="20"/>
                <w:szCs w:val="18"/>
              </w:rPr>
              <w:t>43</w:t>
            </w:r>
          </w:p>
          <w:p w:rsidR="004E2386" w:rsidRPr="00F552F0" w:rsidRDefault="004E2386" w:rsidP="004E2386">
            <w:pPr>
              <w:jc w:val="center"/>
              <w:rPr>
                <w:sz w:val="20"/>
                <w:szCs w:val="18"/>
              </w:rPr>
            </w:pPr>
          </w:p>
        </w:tc>
        <w:tc>
          <w:tcPr>
            <w:tcW w:w="662" w:type="pct"/>
          </w:tcPr>
          <w:p w:rsidR="004E2386" w:rsidRPr="00F552F0" w:rsidRDefault="004E2386" w:rsidP="004E2386">
            <w:pPr>
              <w:jc w:val="center"/>
              <w:rPr>
                <w:sz w:val="20"/>
                <w:szCs w:val="18"/>
              </w:rPr>
            </w:pPr>
            <w:r w:rsidRPr="00F552F0">
              <w:rPr>
                <w:sz w:val="20"/>
                <w:szCs w:val="18"/>
              </w:rPr>
              <w:t>43</w:t>
            </w:r>
          </w:p>
        </w:tc>
        <w:tc>
          <w:tcPr>
            <w:tcW w:w="662" w:type="pct"/>
          </w:tcPr>
          <w:p w:rsidR="004E2386" w:rsidRPr="00F552F0" w:rsidRDefault="004E2386" w:rsidP="004E2386">
            <w:pPr>
              <w:jc w:val="center"/>
              <w:rPr>
                <w:sz w:val="20"/>
                <w:szCs w:val="18"/>
              </w:rPr>
            </w:pPr>
            <w:r w:rsidRPr="00F552F0">
              <w:rPr>
                <w:sz w:val="20"/>
                <w:szCs w:val="18"/>
              </w:rPr>
              <w:t>43</w:t>
            </w:r>
          </w:p>
          <w:p w:rsidR="004E2386" w:rsidRPr="00F552F0" w:rsidRDefault="004E2386" w:rsidP="004E2386">
            <w:pPr>
              <w:jc w:val="center"/>
              <w:rPr>
                <w:sz w:val="20"/>
                <w:szCs w:val="18"/>
              </w:rPr>
            </w:pPr>
          </w:p>
        </w:tc>
      </w:tr>
    </w:tbl>
    <w:p w:rsidR="004E2386" w:rsidRPr="00F552F0" w:rsidRDefault="004E2386">
      <w:pPr>
        <w:pStyle w:val="Revision"/>
      </w:pPr>
    </w:p>
    <w:p w:rsidR="004C3644" w:rsidRPr="00F552F0" w:rsidRDefault="004C3644"/>
    <w:p w:rsidR="00C15DFF" w:rsidRPr="00F552F0" w:rsidRDefault="00C15DFF"/>
    <w:p w:rsidR="004C3644" w:rsidRPr="00F552F0" w:rsidRDefault="004C3644"/>
    <w:p w:rsidR="00C15DFF" w:rsidRPr="00F552F0" w:rsidRDefault="00C15DFF">
      <w:pPr>
        <w:sectPr w:rsidR="00C15DFF" w:rsidRPr="00F552F0">
          <w:pgSz w:w="12240" w:h="15840"/>
          <w:pgMar w:top="1440" w:right="1800" w:bottom="1066" w:left="1800" w:header="720" w:footer="720" w:gutter="0"/>
          <w:cols w:space="720"/>
          <w:docGrid w:linePitch="360"/>
        </w:sectPr>
      </w:pPr>
    </w:p>
    <w:tbl>
      <w:tblPr>
        <w:tblW w:w="5000" w:type="pct"/>
        <w:tblLayout w:type="fixed"/>
        <w:tblLook w:val="01E0" w:firstRow="1" w:lastRow="1" w:firstColumn="1" w:lastColumn="1" w:noHBand="0" w:noVBand="0"/>
      </w:tblPr>
      <w:tblGrid>
        <w:gridCol w:w="2862"/>
        <w:gridCol w:w="1037"/>
        <w:gridCol w:w="1043"/>
        <w:gridCol w:w="299"/>
        <w:gridCol w:w="1011"/>
        <w:gridCol w:w="1013"/>
        <w:gridCol w:w="35"/>
        <w:gridCol w:w="976"/>
        <w:gridCol w:w="1013"/>
        <w:gridCol w:w="24"/>
        <w:gridCol w:w="987"/>
        <w:gridCol w:w="1013"/>
        <w:gridCol w:w="13"/>
        <w:gridCol w:w="997"/>
        <w:gridCol w:w="1011"/>
      </w:tblGrid>
      <w:tr w:rsidR="00543DFB" w:rsidRPr="00F552F0" w:rsidTr="00E87729">
        <w:trPr>
          <w:trHeight w:val="279"/>
        </w:trPr>
        <w:tc>
          <w:tcPr>
            <w:tcW w:w="5000" w:type="pct"/>
            <w:gridSpan w:val="15"/>
            <w:tcMar>
              <w:left w:w="0" w:type="dxa"/>
              <w:right w:w="0" w:type="dxa"/>
            </w:tcMar>
          </w:tcPr>
          <w:p w:rsidR="00543DFB" w:rsidRPr="00F552F0" w:rsidRDefault="00543DFB" w:rsidP="0078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552F0">
              <w:rPr>
                <w:b/>
                <w:sz w:val="22"/>
                <w:szCs w:val="22"/>
              </w:rPr>
              <w:lastRenderedPageBreak/>
              <w:t>Table 7</w:t>
            </w:r>
          </w:p>
          <w:p w:rsidR="00543DFB" w:rsidRPr="00F552F0" w:rsidRDefault="003D5871" w:rsidP="002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552F0">
              <w:rPr>
                <w:sz w:val="22"/>
                <w:szCs w:val="22"/>
              </w:rPr>
              <w:t xml:space="preserve">Consistency with </w:t>
            </w:r>
            <w:r w:rsidR="00672217" w:rsidRPr="00F552F0">
              <w:rPr>
                <w:sz w:val="22"/>
                <w:szCs w:val="22"/>
              </w:rPr>
              <w:t>c</w:t>
            </w:r>
            <w:r w:rsidRPr="00F552F0">
              <w:rPr>
                <w:sz w:val="22"/>
                <w:szCs w:val="22"/>
              </w:rPr>
              <w:t xml:space="preserve">rony </w:t>
            </w:r>
            <w:r w:rsidR="00672217" w:rsidRPr="00F552F0">
              <w:rPr>
                <w:sz w:val="22"/>
                <w:szCs w:val="22"/>
              </w:rPr>
              <w:t>c</w:t>
            </w:r>
            <w:r w:rsidRPr="00F552F0">
              <w:rPr>
                <w:sz w:val="22"/>
                <w:szCs w:val="22"/>
              </w:rPr>
              <w:t>apitalism</w:t>
            </w:r>
          </w:p>
        </w:tc>
      </w:tr>
      <w:tr w:rsidR="00543DFB" w:rsidRPr="00F552F0" w:rsidTr="00E87729">
        <w:trPr>
          <w:trHeight w:val="279"/>
        </w:trPr>
        <w:tc>
          <w:tcPr>
            <w:tcW w:w="5000" w:type="pct"/>
            <w:gridSpan w:val="15"/>
            <w:tcBorders>
              <w:bottom w:val="single" w:sz="4" w:space="0" w:color="auto"/>
            </w:tcBorders>
            <w:tcMar>
              <w:left w:w="0" w:type="dxa"/>
              <w:right w:w="0" w:type="dxa"/>
            </w:tcMar>
          </w:tcPr>
          <w:p w:rsidR="001E4697" w:rsidRPr="00F552F0" w:rsidRDefault="00672217" w:rsidP="00B01F00">
            <w:pPr>
              <w:rPr>
                <w:sz w:val="18"/>
              </w:rPr>
            </w:pPr>
            <w:r w:rsidRPr="00F552F0">
              <w:rPr>
                <w:sz w:val="18"/>
              </w:rPr>
              <w:tab/>
            </w:r>
            <w:r w:rsidR="001E4697" w:rsidRPr="00F552F0">
              <w:rPr>
                <w:sz w:val="18"/>
              </w:rPr>
              <w:t xml:space="preserve">The table shows cross-country OLS regressions with robust standard errors. </w:t>
            </w:r>
            <w:r w:rsidR="003D5871" w:rsidRPr="00F552F0">
              <w:rPr>
                <w:sz w:val="18"/>
              </w:rPr>
              <w:t xml:space="preserve">The sample includes </w:t>
            </w:r>
            <w:r w:rsidR="00B01F00" w:rsidRPr="00F552F0">
              <w:rPr>
                <w:sz w:val="18"/>
              </w:rPr>
              <w:t xml:space="preserve">up to the </w:t>
            </w:r>
            <w:r w:rsidR="003D5871" w:rsidRPr="00F552F0">
              <w:rPr>
                <w:sz w:val="18"/>
              </w:rPr>
              <w:t xml:space="preserve">44 countries </w:t>
            </w:r>
            <w:r w:rsidR="00B01F00" w:rsidRPr="00F552F0">
              <w:rPr>
                <w:sz w:val="18"/>
              </w:rPr>
              <w:t>listed</w:t>
            </w:r>
            <w:r w:rsidR="003D5871" w:rsidRPr="00F552F0">
              <w:rPr>
                <w:sz w:val="18"/>
              </w:rPr>
              <w:t xml:space="preserve"> in Table1, limited by the availability of variables in the regression. </w:t>
            </w:r>
            <w:r w:rsidR="001E4697" w:rsidRPr="00F552F0">
              <w:rPr>
                <w:sz w:val="18"/>
              </w:rPr>
              <w:t xml:space="preserve">Dependent variables are in columns and independent variables are in rows. Variables are as defined in Table </w:t>
            </w:r>
            <w:proofErr w:type="gramStart"/>
            <w:r w:rsidR="001E4697" w:rsidRPr="00F552F0">
              <w:rPr>
                <w:sz w:val="18"/>
              </w:rPr>
              <w:t>3.</w:t>
            </w:r>
            <w:r w:rsidR="00B01F00" w:rsidRPr="00F552F0">
              <w:rPr>
                <w:sz w:val="18"/>
              </w:rPr>
              <w:t xml:space="preserve">Robust </w:t>
            </w:r>
            <w:r w:rsidR="001E4697" w:rsidRPr="00F552F0">
              <w:rPr>
                <w:sz w:val="18"/>
              </w:rPr>
              <w:t xml:space="preserve"> </w:t>
            </w:r>
            <w:r w:rsidRPr="00F552F0">
              <w:rPr>
                <w:i/>
                <w:sz w:val="18"/>
                <w:szCs w:val="18"/>
              </w:rPr>
              <w:t>t</w:t>
            </w:r>
            <w:proofErr w:type="gramEnd"/>
            <w:r w:rsidRPr="00F552F0">
              <w:rPr>
                <w:sz w:val="18"/>
                <w:szCs w:val="18"/>
              </w:rPr>
              <w:t xml:space="preserve"> statistics </w:t>
            </w:r>
            <w:r w:rsidR="00B01F00" w:rsidRPr="00F552F0">
              <w:rPr>
                <w:sz w:val="18"/>
                <w:szCs w:val="18"/>
              </w:rPr>
              <w:t xml:space="preserve"> </w:t>
            </w:r>
            <w:r w:rsidRPr="00F552F0">
              <w:rPr>
                <w:sz w:val="18"/>
                <w:szCs w:val="18"/>
              </w:rPr>
              <w:t>are in parentheses. Boldface indicates significance at 10% or better.</w:t>
            </w:r>
          </w:p>
        </w:tc>
      </w:tr>
      <w:tr w:rsidR="00543DFB" w:rsidRPr="00F552F0" w:rsidTr="00E87729">
        <w:trPr>
          <w:trHeight w:val="279"/>
        </w:trPr>
        <w:tc>
          <w:tcPr>
            <w:tcW w:w="1073" w:type="pct"/>
            <w:tcBorders>
              <w:top w:val="single" w:sz="4" w:space="0" w:color="auto"/>
              <w:bottom w:val="single" w:sz="4" w:space="0" w:color="auto"/>
            </w:tcBorders>
            <w:tcMar>
              <w:left w:w="0" w:type="dxa"/>
              <w:right w:w="0" w:type="dxa"/>
            </w:tcMar>
          </w:tcPr>
          <w:p w:rsidR="00543DFB" w:rsidRPr="00F552F0" w:rsidRDefault="00543DFB" w:rsidP="00543DFB">
            <w:pPr>
              <w:jc w:val="center"/>
              <w:rPr>
                <w:sz w:val="18"/>
              </w:rPr>
            </w:pPr>
          </w:p>
        </w:tc>
        <w:tc>
          <w:tcPr>
            <w:tcW w:w="780" w:type="pct"/>
            <w:gridSpan w:val="2"/>
            <w:tcBorders>
              <w:top w:val="single" w:sz="4" w:space="0" w:color="auto"/>
              <w:bottom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 xml:space="preserve">Equality of </w:t>
            </w:r>
            <w:r w:rsidR="00672217" w:rsidRPr="00F552F0">
              <w:rPr>
                <w:sz w:val="18"/>
              </w:rPr>
              <w:t>o</w:t>
            </w:r>
            <w:r w:rsidRPr="00F552F0">
              <w:rPr>
                <w:sz w:val="18"/>
              </w:rPr>
              <w:t>utcomes</w:t>
            </w:r>
          </w:p>
        </w:tc>
        <w:tc>
          <w:tcPr>
            <w:tcW w:w="112" w:type="pct"/>
            <w:tcBorders>
              <w:top w:val="single" w:sz="4" w:space="0" w:color="auto"/>
              <w:bottom w:val="single" w:sz="4" w:space="0" w:color="auto"/>
            </w:tcBorders>
            <w:tcMar>
              <w:left w:w="0" w:type="dxa"/>
              <w:right w:w="0" w:type="dxa"/>
            </w:tcMar>
            <w:vAlign w:val="bottom"/>
          </w:tcPr>
          <w:p w:rsidR="00543DFB" w:rsidRPr="00F552F0" w:rsidRDefault="00543DFB" w:rsidP="00543DFB">
            <w:pPr>
              <w:jc w:val="center"/>
              <w:rPr>
                <w:sz w:val="18"/>
              </w:rPr>
            </w:pPr>
          </w:p>
        </w:tc>
        <w:tc>
          <w:tcPr>
            <w:tcW w:w="3035" w:type="pct"/>
            <w:gridSpan w:val="11"/>
            <w:tcBorders>
              <w:top w:val="single" w:sz="4" w:space="0" w:color="auto"/>
              <w:bottom w:val="single" w:sz="4" w:space="0" w:color="auto"/>
            </w:tcBorders>
            <w:vAlign w:val="bottom"/>
          </w:tcPr>
          <w:p w:rsidR="00543DFB" w:rsidRPr="00F552F0" w:rsidRDefault="001E4697" w:rsidP="00672217">
            <w:pPr>
              <w:jc w:val="center"/>
              <w:rPr>
                <w:sz w:val="18"/>
              </w:rPr>
            </w:pPr>
            <w:r w:rsidRPr="00F552F0">
              <w:rPr>
                <w:sz w:val="18"/>
              </w:rPr>
              <w:t xml:space="preserve">Equality of </w:t>
            </w:r>
            <w:r w:rsidR="00672217" w:rsidRPr="00F552F0">
              <w:rPr>
                <w:sz w:val="18"/>
              </w:rPr>
              <w:t>o</w:t>
            </w:r>
            <w:r w:rsidRPr="00F552F0">
              <w:rPr>
                <w:sz w:val="18"/>
              </w:rPr>
              <w:t>pportunity</w:t>
            </w:r>
          </w:p>
        </w:tc>
      </w:tr>
      <w:tr w:rsidR="00543DFB" w:rsidRPr="00F552F0" w:rsidTr="00E87729">
        <w:trPr>
          <w:trHeight w:val="279"/>
        </w:trPr>
        <w:tc>
          <w:tcPr>
            <w:tcW w:w="1073" w:type="pct"/>
            <w:vMerge w:val="restart"/>
            <w:tcBorders>
              <w:top w:val="single" w:sz="4" w:space="0" w:color="auto"/>
            </w:tcBorders>
            <w:tcMar>
              <w:left w:w="0" w:type="dxa"/>
              <w:right w:w="0" w:type="dxa"/>
            </w:tcMar>
          </w:tcPr>
          <w:p w:rsidR="00543DFB" w:rsidRPr="00F552F0" w:rsidRDefault="00543DFB" w:rsidP="00543DFB">
            <w:pPr>
              <w:jc w:val="center"/>
              <w:rPr>
                <w:sz w:val="18"/>
              </w:rPr>
            </w:pPr>
          </w:p>
        </w:tc>
        <w:tc>
          <w:tcPr>
            <w:tcW w:w="780" w:type="pct"/>
            <w:gridSpan w:val="2"/>
            <w:vMerge w:val="restart"/>
            <w:tcBorders>
              <w:top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 xml:space="preserve">Income </w:t>
            </w:r>
            <w:r w:rsidR="00672217" w:rsidRPr="00F552F0">
              <w:rPr>
                <w:sz w:val="18"/>
              </w:rPr>
              <w:t>i</w:t>
            </w:r>
            <w:r w:rsidRPr="00F552F0">
              <w:rPr>
                <w:sz w:val="18"/>
              </w:rPr>
              <w:t>nequality</w:t>
            </w:r>
          </w:p>
          <w:p w:rsidR="00543DFB" w:rsidRPr="00F552F0" w:rsidRDefault="001E4697" w:rsidP="00543DFB">
            <w:pPr>
              <w:jc w:val="center"/>
              <w:rPr>
                <w:sz w:val="18"/>
              </w:rPr>
            </w:pPr>
            <w:r w:rsidRPr="00F552F0">
              <w:rPr>
                <w:sz w:val="18"/>
              </w:rPr>
              <w:t>(</w:t>
            </w:r>
            <w:proofErr w:type="spellStart"/>
            <w:r w:rsidRPr="00F552F0">
              <w:rPr>
                <w:sz w:val="18"/>
              </w:rPr>
              <w:t>Gini</w:t>
            </w:r>
            <w:proofErr w:type="spellEnd"/>
            <w:r w:rsidRPr="00F552F0">
              <w:rPr>
                <w:sz w:val="18"/>
              </w:rPr>
              <w:t xml:space="preserve"> coefficient)</w:t>
            </w:r>
          </w:p>
        </w:tc>
        <w:tc>
          <w:tcPr>
            <w:tcW w:w="112" w:type="pct"/>
            <w:vMerge w:val="restart"/>
            <w:tcBorders>
              <w:top w:val="single" w:sz="4" w:space="0" w:color="auto"/>
            </w:tcBorders>
            <w:tcMar>
              <w:left w:w="0" w:type="dxa"/>
              <w:right w:w="0" w:type="dxa"/>
            </w:tcMar>
            <w:vAlign w:val="bottom"/>
          </w:tcPr>
          <w:p w:rsidR="00543DFB" w:rsidRPr="00F552F0" w:rsidRDefault="00543DFB" w:rsidP="00543DFB">
            <w:pPr>
              <w:jc w:val="center"/>
              <w:rPr>
                <w:sz w:val="18"/>
              </w:rPr>
            </w:pPr>
          </w:p>
          <w:p w:rsidR="00543DFB" w:rsidRPr="00F552F0" w:rsidRDefault="00543DFB" w:rsidP="00543DFB">
            <w:pPr>
              <w:jc w:val="center"/>
              <w:rPr>
                <w:sz w:val="18"/>
              </w:rPr>
            </w:pPr>
          </w:p>
        </w:tc>
        <w:tc>
          <w:tcPr>
            <w:tcW w:w="772" w:type="pct"/>
            <w:gridSpan w:val="3"/>
            <w:vMerge w:val="restart"/>
            <w:tcBorders>
              <w:top w:val="single" w:sz="4" w:space="0" w:color="auto"/>
            </w:tcBorders>
            <w:vAlign w:val="bottom"/>
          </w:tcPr>
          <w:p w:rsidR="00543DFB" w:rsidRPr="00F552F0" w:rsidRDefault="00543DFB" w:rsidP="00543DFB">
            <w:pPr>
              <w:jc w:val="center"/>
              <w:rPr>
                <w:sz w:val="18"/>
                <w:szCs w:val="18"/>
              </w:rPr>
            </w:pPr>
            <w:r w:rsidRPr="00F552F0">
              <w:rPr>
                <w:sz w:val="18"/>
                <w:szCs w:val="18"/>
              </w:rPr>
              <w:t>PCs per thousand</w:t>
            </w:r>
          </w:p>
          <w:p w:rsidR="00543DFB" w:rsidRPr="00F552F0" w:rsidRDefault="00672217" w:rsidP="00543DFB">
            <w:pPr>
              <w:jc w:val="center"/>
              <w:rPr>
                <w:sz w:val="18"/>
                <w:szCs w:val="18"/>
              </w:rPr>
            </w:pPr>
            <w:r w:rsidRPr="00F552F0">
              <w:rPr>
                <w:sz w:val="18"/>
                <w:szCs w:val="18"/>
              </w:rPr>
              <w:t>p</w:t>
            </w:r>
            <w:r w:rsidR="00543DFB" w:rsidRPr="00F552F0">
              <w:rPr>
                <w:sz w:val="18"/>
                <w:szCs w:val="18"/>
              </w:rPr>
              <w:t>opulation</w:t>
            </w:r>
          </w:p>
        </w:tc>
        <w:tc>
          <w:tcPr>
            <w:tcW w:w="2263" w:type="pct"/>
            <w:gridSpan w:val="8"/>
            <w:tcBorders>
              <w:top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Difficulty starting a new company</w:t>
            </w:r>
          </w:p>
        </w:tc>
      </w:tr>
      <w:tr w:rsidR="00543DFB" w:rsidRPr="00F552F0" w:rsidTr="00E87729">
        <w:trPr>
          <w:trHeight w:val="268"/>
        </w:trPr>
        <w:tc>
          <w:tcPr>
            <w:tcW w:w="1073" w:type="pct"/>
            <w:vMerge/>
            <w:tcBorders>
              <w:bottom w:val="single" w:sz="4" w:space="0" w:color="auto"/>
            </w:tcBorders>
            <w:tcMar>
              <w:left w:w="0" w:type="dxa"/>
              <w:right w:w="0" w:type="dxa"/>
            </w:tcMar>
          </w:tcPr>
          <w:p w:rsidR="00543DFB" w:rsidRPr="00F552F0" w:rsidRDefault="00543DFB" w:rsidP="00543DFB">
            <w:pPr>
              <w:jc w:val="center"/>
              <w:rPr>
                <w:sz w:val="18"/>
              </w:rPr>
            </w:pPr>
          </w:p>
        </w:tc>
        <w:tc>
          <w:tcPr>
            <w:tcW w:w="780" w:type="pct"/>
            <w:gridSpan w:val="2"/>
            <w:vMerge/>
            <w:tcBorders>
              <w:bottom w:val="single" w:sz="4" w:space="0" w:color="auto"/>
            </w:tcBorders>
            <w:tcMar>
              <w:left w:w="0" w:type="dxa"/>
              <w:right w:w="0" w:type="dxa"/>
            </w:tcMar>
            <w:vAlign w:val="bottom"/>
          </w:tcPr>
          <w:p w:rsidR="00543DFB" w:rsidRPr="00F552F0" w:rsidRDefault="00543DFB" w:rsidP="00543DFB">
            <w:pPr>
              <w:jc w:val="center"/>
              <w:rPr>
                <w:sz w:val="18"/>
              </w:rPr>
            </w:pPr>
          </w:p>
        </w:tc>
        <w:tc>
          <w:tcPr>
            <w:tcW w:w="112" w:type="pct"/>
            <w:vMerge/>
            <w:tcBorders>
              <w:bottom w:val="single" w:sz="4" w:space="0" w:color="auto"/>
            </w:tcBorders>
            <w:tcMar>
              <w:left w:w="0" w:type="dxa"/>
              <w:right w:w="0" w:type="dxa"/>
            </w:tcMar>
            <w:vAlign w:val="bottom"/>
          </w:tcPr>
          <w:p w:rsidR="00543DFB" w:rsidRPr="00F552F0" w:rsidRDefault="00543DFB" w:rsidP="00543DFB">
            <w:pPr>
              <w:jc w:val="center"/>
              <w:rPr>
                <w:sz w:val="18"/>
              </w:rPr>
            </w:pPr>
          </w:p>
        </w:tc>
        <w:tc>
          <w:tcPr>
            <w:tcW w:w="772" w:type="pct"/>
            <w:gridSpan w:val="3"/>
            <w:vMerge/>
            <w:tcBorders>
              <w:bottom w:val="single" w:sz="4" w:space="0" w:color="auto"/>
            </w:tcBorders>
            <w:tcMar>
              <w:left w:w="0" w:type="dxa"/>
              <w:right w:w="0" w:type="dxa"/>
            </w:tcMar>
            <w:vAlign w:val="bottom"/>
          </w:tcPr>
          <w:p w:rsidR="00543DFB" w:rsidRPr="00F552F0" w:rsidRDefault="00543DFB" w:rsidP="00543DFB">
            <w:pPr>
              <w:jc w:val="center"/>
              <w:rPr>
                <w:sz w:val="18"/>
                <w:szCs w:val="18"/>
              </w:rPr>
            </w:pPr>
          </w:p>
        </w:tc>
        <w:tc>
          <w:tcPr>
            <w:tcW w:w="755" w:type="pct"/>
            <w:gridSpan w:val="3"/>
            <w:tcBorders>
              <w:bottom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Number of procedures</w:t>
            </w:r>
          </w:p>
        </w:tc>
        <w:tc>
          <w:tcPr>
            <w:tcW w:w="755" w:type="pct"/>
            <w:gridSpan w:val="3"/>
            <w:tcBorders>
              <w:bottom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Time</w:t>
            </w:r>
          </w:p>
        </w:tc>
        <w:tc>
          <w:tcPr>
            <w:tcW w:w="753" w:type="pct"/>
            <w:gridSpan w:val="2"/>
            <w:tcBorders>
              <w:bottom w:val="single" w:sz="4" w:space="0" w:color="auto"/>
            </w:tcBorders>
            <w:tcMar>
              <w:left w:w="0" w:type="dxa"/>
              <w:right w:w="0" w:type="dxa"/>
            </w:tcMar>
            <w:vAlign w:val="bottom"/>
          </w:tcPr>
          <w:p w:rsidR="00543DFB" w:rsidRPr="00F552F0" w:rsidRDefault="001E4697" w:rsidP="00543DFB">
            <w:pPr>
              <w:jc w:val="center"/>
              <w:rPr>
                <w:sz w:val="18"/>
              </w:rPr>
            </w:pPr>
            <w:r w:rsidRPr="00F552F0">
              <w:rPr>
                <w:sz w:val="18"/>
              </w:rPr>
              <w:t>Cost</w:t>
            </w:r>
          </w:p>
        </w:tc>
      </w:tr>
      <w:tr w:rsidR="00543DFB" w:rsidRPr="00F552F0" w:rsidTr="00E87729">
        <w:trPr>
          <w:trHeight w:val="567"/>
        </w:trPr>
        <w:tc>
          <w:tcPr>
            <w:tcW w:w="1073" w:type="pct"/>
            <w:tcBorders>
              <w:top w:val="single" w:sz="4" w:space="0" w:color="auto"/>
            </w:tcBorders>
            <w:tcMar>
              <w:left w:w="0" w:type="dxa"/>
              <w:right w:w="0" w:type="dxa"/>
            </w:tcMar>
            <w:vAlign w:val="center"/>
          </w:tcPr>
          <w:p w:rsidR="00543DFB" w:rsidRPr="00F552F0" w:rsidRDefault="001E4697" w:rsidP="00543DFB">
            <w:pPr>
              <w:rPr>
                <w:sz w:val="18"/>
              </w:rPr>
            </w:pPr>
            <w:r w:rsidRPr="00F552F0">
              <w:rPr>
                <w:sz w:val="18"/>
              </w:rPr>
              <w:t>Widely held</w:t>
            </w:r>
          </w:p>
        </w:tc>
        <w:tc>
          <w:tcPr>
            <w:tcW w:w="389" w:type="pct"/>
            <w:tcBorders>
              <w:top w:val="single" w:sz="4" w:space="0" w:color="auto"/>
            </w:tcBorders>
            <w:tcMar>
              <w:left w:w="0" w:type="dxa"/>
              <w:right w:w="0" w:type="dxa"/>
            </w:tcMar>
            <w:vAlign w:val="center"/>
          </w:tcPr>
          <w:p w:rsidR="00543DFB" w:rsidRPr="00F552F0" w:rsidRDefault="00543DFB" w:rsidP="00543DFB">
            <w:pPr>
              <w:jc w:val="center"/>
              <w:rPr>
                <w:b/>
                <w:sz w:val="18"/>
              </w:rPr>
            </w:pPr>
          </w:p>
        </w:tc>
        <w:tc>
          <w:tcPr>
            <w:tcW w:w="391" w:type="pct"/>
            <w:tcBorders>
              <w:top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-0.266</w:t>
            </w:r>
          </w:p>
          <w:p w:rsidR="00543DFB" w:rsidRPr="00F552F0" w:rsidRDefault="001E4697" w:rsidP="00543DFB">
            <w:pPr>
              <w:jc w:val="center"/>
              <w:rPr>
                <w:b/>
                <w:sz w:val="18"/>
              </w:rPr>
            </w:pPr>
            <w:r w:rsidRPr="00F552F0">
              <w:rPr>
                <w:b/>
                <w:sz w:val="18"/>
              </w:rPr>
              <w:t>(1.78)</w:t>
            </w:r>
          </w:p>
        </w:tc>
        <w:tc>
          <w:tcPr>
            <w:tcW w:w="112" w:type="pct"/>
            <w:tcBorders>
              <w:top w:val="single" w:sz="4" w:space="0" w:color="auto"/>
            </w:tcBorders>
            <w:tcMar>
              <w:left w:w="0" w:type="dxa"/>
              <w:right w:w="0" w:type="dxa"/>
            </w:tcMar>
            <w:vAlign w:val="center"/>
          </w:tcPr>
          <w:p w:rsidR="00543DFB" w:rsidRPr="00F552F0" w:rsidRDefault="00543DFB" w:rsidP="00543DFB">
            <w:pPr>
              <w:jc w:val="center"/>
              <w:rPr>
                <w:b/>
                <w:sz w:val="18"/>
              </w:rPr>
            </w:pPr>
          </w:p>
        </w:tc>
        <w:tc>
          <w:tcPr>
            <w:tcW w:w="379" w:type="pct"/>
            <w:tcBorders>
              <w:top w:val="single" w:sz="4" w:space="0" w:color="auto"/>
            </w:tcBorders>
            <w:tcMar>
              <w:left w:w="0" w:type="dxa"/>
              <w:right w:w="0" w:type="dxa"/>
            </w:tcMar>
            <w:vAlign w:val="center"/>
          </w:tcPr>
          <w:p w:rsidR="00543DFB" w:rsidRPr="00F552F0" w:rsidRDefault="00543DFB" w:rsidP="00543DFB">
            <w:pPr>
              <w:jc w:val="center"/>
              <w:rPr>
                <w:b/>
                <w:sz w:val="18"/>
              </w:rPr>
            </w:pPr>
          </w:p>
        </w:tc>
        <w:tc>
          <w:tcPr>
            <w:tcW w:w="380" w:type="pct"/>
            <w:tcBorders>
              <w:top w:val="single" w:sz="4" w:space="0" w:color="auto"/>
            </w:tcBorders>
            <w:tcMar>
              <w:left w:w="0" w:type="dxa"/>
              <w:right w:w="0" w:type="dxa"/>
            </w:tcMar>
            <w:vAlign w:val="center"/>
          </w:tcPr>
          <w:p w:rsidR="00543DFB" w:rsidRPr="00F552F0" w:rsidRDefault="00543DFB" w:rsidP="00543DFB">
            <w:pPr>
              <w:jc w:val="center"/>
              <w:rPr>
                <w:b/>
                <w:sz w:val="18"/>
                <w:szCs w:val="18"/>
              </w:rPr>
            </w:pPr>
            <w:r w:rsidRPr="00F552F0">
              <w:rPr>
                <w:b/>
                <w:sz w:val="18"/>
                <w:szCs w:val="18"/>
              </w:rPr>
              <w:t>118</w:t>
            </w:r>
          </w:p>
          <w:p w:rsidR="00543DFB" w:rsidRPr="00F552F0" w:rsidRDefault="00543DFB" w:rsidP="00543DFB">
            <w:pPr>
              <w:jc w:val="center"/>
              <w:rPr>
                <w:b/>
                <w:sz w:val="18"/>
                <w:szCs w:val="18"/>
              </w:rPr>
            </w:pPr>
            <w:r w:rsidRPr="00F552F0">
              <w:rPr>
                <w:b/>
                <w:sz w:val="18"/>
                <w:szCs w:val="18"/>
              </w:rPr>
              <w:t>(3.07)</w:t>
            </w:r>
          </w:p>
        </w:tc>
        <w:tc>
          <w:tcPr>
            <w:tcW w:w="379" w:type="pct"/>
            <w:gridSpan w:val="2"/>
            <w:tcBorders>
              <w:top w:val="single" w:sz="4" w:space="0" w:color="auto"/>
            </w:tcBorders>
            <w:tcMar>
              <w:left w:w="0" w:type="dxa"/>
              <w:right w:w="0" w:type="dxa"/>
            </w:tcMar>
            <w:vAlign w:val="center"/>
          </w:tcPr>
          <w:p w:rsidR="00543DFB" w:rsidRPr="00F552F0" w:rsidRDefault="00543DFB" w:rsidP="00543DFB">
            <w:pPr>
              <w:jc w:val="center"/>
              <w:rPr>
                <w:b/>
                <w:sz w:val="18"/>
                <w:szCs w:val="18"/>
              </w:rPr>
            </w:pPr>
          </w:p>
        </w:tc>
        <w:tc>
          <w:tcPr>
            <w:tcW w:w="380" w:type="pct"/>
            <w:tcBorders>
              <w:top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-0.785</w:t>
            </w:r>
          </w:p>
          <w:p w:rsidR="00543DFB" w:rsidRPr="00F552F0" w:rsidRDefault="001E4697" w:rsidP="00543DFB">
            <w:pPr>
              <w:jc w:val="center"/>
              <w:rPr>
                <w:b/>
                <w:sz w:val="18"/>
              </w:rPr>
            </w:pPr>
            <w:r w:rsidRPr="00F552F0">
              <w:rPr>
                <w:b/>
                <w:sz w:val="18"/>
              </w:rPr>
              <w:t>(3.10)</w:t>
            </w:r>
          </w:p>
        </w:tc>
        <w:tc>
          <w:tcPr>
            <w:tcW w:w="379" w:type="pct"/>
            <w:gridSpan w:val="2"/>
            <w:tcBorders>
              <w:top w:val="single" w:sz="4" w:space="0" w:color="auto"/>
            </w:tcBorders>
            <w:tcMar>
              <w:left w:w="0" w:type="dxa"/>
              <w:right w:w="0" w:type="dxa"/>
            </w:tcMar>
            <w:vAlign w:val="center"/>
          </w:tcPr>
          <w:p w:rsidR="00543DFB" w:rsidRPr="00F552F0" w:rsidRDefault="00543DFB" w:rsidP="00543DFB">
            <w:pPr>
              <w:jc w:val="center"/>
              <w:rPr>
                <w:b/>
                <w:sz w:val="18"/>
              </w:rPr>
            </w:pPr>
          </w:p>
        </w:tc>
        <w:tc>
          <w:tcPr>
            <w:tcW w:w="380" w:type="pct"/>
            <w:tcBorders>
              <w:top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-1.136</w:t>
            </w:r>
          </w:p>
          <w:p w:rsidR="00543DFB" w:rsidRPr="00F552F0" w:rsidRDefault="001E4697" w:rsidP="00543DFB">
            <w:pPr>
              <w:jc w:val="center"/>
              <w:rPr>
                <w:b/>
                <w:sz w:val="18"/>
              </w:rPr>
            </w:pPr>
            <w:r w:rsidRPr="00F552F0">
              <w:rPr>
                <w:b/>
                <w:sz w:val="18"/>
              </w:rPr>
              <w:t>(2.52)</w:t>
            </w:r>
          </w:p>
        </w:tc>
        <w:tc>
          <w:tcPr>
            <w:tcW w:w="379" w:type="pct"/>
            <w:gridSpan w:val="2"/>
            <w:tcBorders>
              <w:top w:val="single" w:sz="4" w:space="0" w:color="auto"/>
            </w:tcBorders>
            <w:tcMar>
              <w:left w:w="0" w:type="dxa"/>
              <w:right w:w="0" w:type="dxa"/>
            </w:tcMar>
            <w:vAlign w:val="center"/>
          </w:tcPr>
          <w:p w:rsidR="00543DFB" w:rsidRPr="00F552F0" w:rsidRDefault="00543DFB" w:rsidP="00543DFB">
            <w:pPr>
              <w:jc w:val="center"/>
              <w:rPr>
                <w:b/>
                <w:sz w:val="18"/>
              </w:rPr>
            </w:pPr>
          </w:p>
        </w:tc>
        <w:tc>
          <w:tcPr>
            <w:tcW w:w="379" w:type="pct"/>
            <w:tcBorders>
              <w:top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-1.39</w:t>
            </w:r>
          </w:p>
          <w:p w:rsidR="00543DFB" w:rsidRPr="00F552F0" w:rsidRDefault="001E4697" w:rsidP="00543DFB">
            <w:pPr>
              <w:jc w:val="center"/>
              <w:rPr>
                <w:b/>
                <w:sz w:val="18"/>
              </w:rPr>
            </w:pPr>
            <w:r w:rsidRPr="00F552F0">
              <w:rPr>
                <w:b/>
                <w:sz w:val="18"/>
              </w:rPr>
              <w:t>(3.30)</w:t>
            </w:r>
          </w:p>
        </w:tc>
      </w:tr>
      <w:tr w:rsidR="00543DFB" w:rsidRPr="00F552F0" w:rsidTr="00E87729">
        <w:trPr>
          <w:trHeight w:val="567"/>
        </w:trPr>
        <w:tc>
          <w:tcPr>
            <w:tcW w:w="1073" w:type="pct"/>
            <w:tcMar>
              <w:left w:w="0" w:type="dxa"/>
              <w:right w:w="0" w:type="dxa"/>
            </w:tcMar>
            <w:vAlign w:val="center"/>
          </w:tcPr>
          <w:p w:rsidR="00543DFB" w:rsidRPr="00F552F0" w:rsidRDefault="001E4697" w:rsidP="00543DFB">
            <w:pPr>
              <w:rPr>
                <w:sz w:val="18"/>
              </w:rPr>
            </w:pPr>
            <w:r w:rsidRPr="00F552F0">
              <w:rPr>
                <w:sz w:val="18"/>
              </w:rPr>
              <w:t>Family</w:t>
            </w:r>
          </w:p>
        </w:tc>
        <w:tc>
          <w:tcPr>
            <w:tcW w:w="389" w:type="pct"/>
            <w:tcMar>
              <w:left w:w="0" w:type="dxa"/>
              <w:right w:w="0" w:type="dxa"/>
            </w:tcMar>
            <w:vAlign w:val="center"/>
          </w:tcPr>
          <w:p w:rsidR="00543DFB" w:rsidRPr="00F552F0" w:rsidRDefault="001E4697" w:rsidP="00543DFB">
            <w:pPr>
              <w:jc w:val="center"/>
              <w:rPr>
                <w:b/>
                <w:sz w:val="18"/>
              </w:rPr>
            </w:pPr>
            <w:r w:rsidRPr="00F552F0">
              <w:rPr>
                <w:b/>
                <w:sz w:val="18"/>
              </w:rPr>
              <w:t>0.629</w:t>
            </w:r>
          </w:p>
          <w:p w:rsidR="00543DFB" w:rsidRPr="00F552F0" w:rsidRDefault="001E4697" w:rsidP="00543DFB">
            <w:pPr>
              <w:jc w:val="center"/>
              <w:rPr>
                <w:b/>
                <w:sz w:val="18"/>
              </w:rPr>
            </w:pPr>
            <w:r w:rsidRPr="00F552F0">
              <w:rPr>
                <w:b/>
                <w:sz w:val="18"/>
              </w:rPr>
              <w:t>(3.52)</w:t>
            </w:r>
          </w:p>
        </w:tc>
        <w:tc>
          <w:tcPr>
            <w:tcW w:w="391" w:type="pct"/>
            <w:tcMar>
              <w:left w:w="0" w:type="dxa"/>
              <w:right w:w="0" w:type="dxa"/>
            </w:tcMar>
            <w:vAlign w:val="center"/>
          </w:tcPr>
          <w:p w:rsidR="00543DFB" w:rsidRPr="00F552F0" w:rsidRDefault="00543DFB" w:rsidP="00543DFB">
            <w:pPr>
              <w:jc w:val="center"/>
              <w:rPr>
                <w:b/>
                <w:sz w:val="18"/>
              </w:rPr>
            </w:pPr>
          </w:p>
        </w:tc>
        <w:tc>
          <w:tcPr>
            <w:tcW w:w="112" w:type="pct"/>
            <w:tcMar>
              <w:left w:w="0" w:type="dxa"/>
              <w:right w:w="0" w:type="dxa"/>
            </w:tcMar>
            <w:vAlign w:val="center"/>
          </w:tcPr>
          <w:p w:rsidR="00543DFB" w:rsidRPr="00F552F0" w:rsidRDefault="00543DFB" w:rsidP="00543DFB">
            <w:pPr>
              <w:jc w:val="center"/>
              <w:rPr>
                <w:b/>
                <w:sz w:val="18"/>
              </w:rPr>
            </w:pPr>
          </w:p>
          <w:p w:rsidR="00543DFB" w:rsidRPr="00F552F0" w:rsidRDefault="00543DFB" w:rsidP="00543DFB">
            <w:pPr>
              <w:jc w:val="center"/>
              <w:rPr>
                <w:b/>
                <w:sz w:val="18"/>
              </w:rPr>
            </w:pPr>
          </w:p>
        </w:tc>
        <w:tc>
          <w:tcPr>
            <w:tcW w:w="379" w:type="pct"/>
            <w:tcMar>
              <w:left w:w="0" w:type="dxa"/>
              <w:right w:w="0" w:type="dxa"/>
            </w:tcMar>
            <w:vAlign w:val="center"/>
          </w:tcPr>
          <w:p w:rsidR="00543DFB" w:rsidRPr="00F552F0" w:rsidRDefault="00543DFB" w:rsidP="00543DFB">
            <w:pPr>
              <w:jc w:val="center"/>
              <w:rPr>
                <w:b/>
                <w:sz w:val="18"/>
                <w:szCs w:val="18"/>
              </w:rPr>
            </w:pPr>
            <w:r w:rsidRPr="00F552F0">
              <w:rPr>
                <w:b/>
                <w:sz w:val="18"/>
                <w:szCs w:val="18"/>
              </w:rPr>
              <w:t>-189</w:t>
            </w:r>
          </w:p>
          <w:p w:rsidR="00543DFB" w:rsidRPr="00F552F0" w:rsidRDefault="00543DFB" w:rsidP="00543DFB">
            <w:pPr>
              <w:jc w:val="center"/>
              <w:rPr>
                <w:b/>
                <w:sz w:val="18"/>
                <w:szCs w:val="18"/>
              </w:rPr>
            </w:pPr>
            <w:r w:rsidRPr="00F552F0">
              <w:rPr>
                <w:b/>
                <w:sz w:val="18"/>
                <w:szCs w:val="18"/>
              </w:rPr>
              <w:t>(6.18)</w:t>
            </w:r>
          </w:p>
        </w:tc>
        <w:tc>
          <w:tcPr>
            <w:tcW w:w="380" w:type="pct"/>
            <w:tcMar>
              <w:left w:w="0" w:type="dxa"/>
              <w:right w:w="0" w:type="dxa"/>
            </w:tcMar>
            <w:vAlign w:val="center"/>
          </w:tcPr>
          <w:p w:rsidR="00543DFB" w:rsidRPr="00F552F0" w:rsidRDefault="00543DFB" w:rsidP="00543DFB">
            <w:pPr>
              <w:jc w:val="center"/>
              <w:rPr>
                <w:b/>
                <w:sz w:val="18"/>
                <w:szCs w:val="18"/>
              </w:rPr>
            </w:pP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1.028</w:t>
            </w:r>
          </w:p>
          <w:p w:rsidR="00543DFB" w:rsidRPr="00F552F0" w:rsidRDefault="001E4697" w:rsidP="00543DFB">
            <w:pPr>
              <w:jc w:val="center"/>
              <w:rPr>
                <w:b/>
                <w:sz w:val="18"/>
              </w:rPr>
            </w:pPr>
            <w:r w:rsidRPr="00F552F0">
              <w:rPr>
                <w:b/>
                <w:sz w:val="18"/>
              </w:rPr>
              <w:t>(3.90)</w:t>
            </w:r>
          </w:p>
        </w:tc>
        <w:tc>
          <w:tcPr>
            <w:tcW w:w="380" w:type="pct"/>
            <w:tcMar>
              <w:left w:w="0" w:type="dxa"/>
              <w:right w:w="0" w:type="dxa"/>
            </w:tcMar>
            <w:vAlign w:val="center"/>
          </w:tcPr>
          <w:p w:rsidR="00543DFB" w:rsidRPr="00F552F0" w:rsidRDefault="00543DFB" w:rsidP="00543DFB">
            <w:pPr>
              <w:jc w:val="center"/>
              <w:rPr>
                <w:b/>
                <w:sz w:val="18"/>
              </w:rPr>
            </w:pP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1.440</w:t>
            </w:r>
          </w:p>
          <w:p w:rsidR="00543DFB" w:rsidRPr="00F552F0" w:rsidRDefault="001E4697" w:rsidP="00543DFB">
            <w:pPr>
              <w:jc w:val="center"/>
              <w:rPr>
                <w:b/>
                <w:sz w:val="18"/>
              </w:rPr>
            </w:pPr>
            <w:r w:rsidRPr="00F552F0">
              <w:rPr>
                <w:b/>
                <w:sz w:val="18"/>
              </w:rPr>
              <w:t>(3.09)</w:t>
            </w:r>
          </w:p>
        </w:tc>
        <w:tc>
          <w:tcPr>
            <w:tcW w:w="380" w:type="pct"/>
            <w:tcMar>
              <w:left w:w="0" w:type="dxa"/>
              <w:right w:w="0" w:type="dxa"/>
            </w:tcMar>
            <w:vAlign w:val="center"/>
          </w:tcPr>
          <w:p w:rsidR="00543DFB" w:rsidRPr="00F552F0" w:rsidRDefault="00543DFB" w:rsidP="00543DFB">
            <w:pPr>
              <w:jc w:val="center"/>
              <w:rPr>
                <w:b/>
                <w:sz w:val="18"/>
              </w:rPr>
            </w:pP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1.277</w:t>
            </w:r>
          </w:p>
          <w:p w:rsidR="00543DFB" w:rsidRPr="00F552F0" w:rsidRDefault="001E4697" w:rsidP="00543DFB">
            <w:pPr>
              <w:jc w:val="center"/>
              <w:rPr>
                <w:b/>
                <w:sz w:val="18"/>
              </w:rPr>
            </w:pPr>
            <w:r w:rsidRPr="00F552F0">
              <w:rPr>
                <w:b/>
                <w:sz w:val="18"/>
              </w:rPr>
              <w:t>(2.46)</w:t>
            </w:r>
          </w:p>
        </w:tc>
        <w:tc>
          <w:tcPr>
            <w:tcW w:w="379" w:type="pct"/>
            <w:tcMar>
              <w:left w:w="0" w:type="dxa"/>
              <w:right w:w="0" w:type="dxa"/>
            </w:tcMar>
            <w:vAlign w:val="center"/>
          </w:tcPr>
          <w:p w:rsidR="00543DFB" w:rsidRPr="00F552F0" w:rsidRDefault="00543DFB" w:rsidP="00543DFB">
            <w:pPr>
              <w:jc w:val="center"/>
              <w:rPr>
                <w:b/>
                <w:sz w:val="18"/>
              </w:rPr>
            </w:pPr>
          </w:p>
        </w:tc>
      </w:tr>
      <w:tr w:rsidR="00543DFB" w:rsidRPr="00F552F0" w:rsidTr="00E87729">
        <w:trPr>
          <w:trHeight w:val="567"/>
        </w:trPr>
        <w:tc>
          <w:tcPr>
            <w:tcW w:w="1073" w:type="pct"/>
            <w:tcMar>
              <w:left w:w="0" w:type="dxa"/>
              <w:right w:w="0" w:type="dxa"/>
            </w:tcMar>
            <w:vAlign w:val="center"/>
          </w:tcPr>
          <w:p w:rsidR="00543DFB" w:rsidRPr="00F552F0" w:rsidRDefault="001E4697" w:rsidP="00543DFB">
            <w:pPr>
              <w:rPr>
                <w:sz w:val="18"/>
              </w:rPr>
            </w:pPr>
            <w:r w:rsidRPr="00F552F0">
              <w:rPr>
                <w:sz w:val="18"/>
              </w:rPr>
              <w:t>State</w:t>
            </w:r>
          </w:p>
        </w:tc>
        <w:tc>
          <w:tcPr>
            <w:tcW w:w="389" w:type="pct"/>
            <w:tcMar>
              <w:left w:w="0" w:type="dxa"/>
              <w:right w:w="0" w:type="dxa"/>
            </w:tcMar>
            <w:vAlign w:val="center"/>
          </w:tcPr>
          <w:p w:rsidR="00543DFB" w:rsidRPr="00F552F0" w:rsidRDefault="001E4697" w:rsidP="00543DFB">
            <w:pPr>
              <w:jc w:val="center"/>
              <w:rPr>
                <w:b/>
                <w:sz w:val="18"/>
              </w:rPr>
            </w:pPr>
            <w:r w:rsidRPr="00F552F0">
              <w:rPr>
                <w:b/>
                <w:sz w:val="18"/>
              </w:rPr>
              <w:t>-0.275</w:t>
            </w:r>
          </w:p>
          <w:p w:rsidR="00543DFB" w:rsidRPr="00F552F0" w:rsidRDefault="001E4697" w:rsidP="00543DFB">
            <w:pPr>
              <w:jc w:val="center"/>
              <w:rPr>
                <w:b/>
                <w:sz w:val="18"/>
              </w:rPr>
            </w:pPr>
            <w:r w:rsidRPr="00F552F0">
              <w:rPr>
                <w:b/>
                <w:sz w:val="18"/>
              </w:rPr>
              <w:t>(1.70)</w:t>
            </w:r>
          </w:p>
        </w:tc>
        <w:tc>
          <w:tcPr>
            <w:tcW w:w="391" w:type="pct"/>
            <w:tcMar>
              <w:left w:w="0" w:type="dxa"/>
              <w:right w:w="0" w:type="dxa"/>
            </w:tcMar>
            <w:vAlign w:val="center"/>
          </w:tcPr>
          <w:p w:rsidR="00543DFB" w:rsidRPr="00F552F0" w:rsidRDefault="00543DFB" w:rsidP="00543DFB">
            <w:pPr>
              <w:jc w:val="center"/>
              <w:rPr>
                <w:b/>
                <w:sz w:val="18"/>
              </w:rPr>
            </w:pPr>
          </w:p>
        </w:tc>
        <w:tc>
          <w:tcPr>
            <w:tcW w:w="112" w:type="pct"/>
            <w:tcMar>
              <w:left w:w="0" w:type="dxa"/>
              <w:right w:w="0" w:type="dxa"/>
            </w:tcMar>
            <w:vAlign w:val="center"/>
          </w:tcPr>
          <w:p w:rsidR="00543DFB" w:rsidRPr="00F552F0" w:rsidRDefault="00543DFB" w:rsidP="00543DFB">
            <w:pPr>
              <w:jc w:val="center"/>
              <w:rPr>
                <w:sz w:val="18"/>
              </w:rPr>
            </w:pPr>
          </w:p>
          <w:p w:rsidR="00543DFB" w:rsidRPr="00F552F0" w:rsidRDefault="00543DFB" w:rsidP="00543DFB">
            <w:pPr>
              <w:jc w:val="center"/>
              <w:rPr>
                <w:sz w:val="18"/>
              </w:rPr>
            </w:pPr>
          </w:p>
        </w:tc>
        <w:tc>
          <w:tcPr>
            <w:tcW w:w="379" w:type="pct"/>
            <w:tcMar>
              <w:left w:w="0" w:type="dxa"/>
              <w:right w:w="0" w:type="dxa"/>
            </w:tcMar>
            <w:vAlign w:val="center"/>
          </w:tcPr>
          <w:p w:rsidR="00543DFB" w:rsidRPr="00F552F0" w:rsidRDefault="00543DFB" w:rsidP="00543DFB">
            <w:pPr>
              <w:jc w:val="center"/>
              <w:rPr>
                <w:sz w:val="18"/>
                <w:szCs w:val="18"/>
              </w:rPr>
            </w:pPr>
            <w:r w:rsidRPr="00F552F0">
              <w:rPr>
                <w:sz w:val="18"/>
                <w:szCs w:val="18"/>
              </w:rPr>
              <w:t>-11.5</w:t>
            </w:r>
          </w:p>
          <w:p w:rsidR="00543DFB" w:rsidRPr="00F552F0" w:rsidRDefault="00543DFB" w:rsidP="00543DFB">
            <w:pPr>
              <w:jc w:val="center"/>
              <w:rPr>
                <w:sz w:val="18"/>
                <w:szCs w:val="18"/>
              </w:rPr>
            </w:pPr>
            <w:r w:rsidRPr="00F552F0">
              <w:rPr>
                <w:sz w:val="18"/>
                <w:szCs w:val="18"/>
              </w:rPr>
              <w:t>(0.23)</w:t>
            </w:r>
          </w:p>
        </w:tc>
        <w:tc>
          <w:tcPr>
            <w:tcW w:w="380" w:type="pct"/>
            <w:tcMar>
              <w:left w:w="0" w:type="dxa"/>
              <w:right w:w="0" w:type="dxa"/>
            </w:tcMar>
            <w:vAlign w:val="center"/>
          </w:tcPr>
          <w:p w:rsidR="00543DFB" w:rsidRPr="00F552F0" w:rsidRDefault="00543DFB" w:rsidP="00543DFB">
            <w:pPr>
              <w:jc w:val="center"/>
              <w:rPr>
                <w:sz w:val="18"/>
                <w:szCs w:val="18"/>
              </w:rPr>
            </w:pPr>
          </w:p>
        </w:tc>
        <w:tc>
          <w:tcPr>
            <w:tcW w:w="379" w:type="pct"/>
            <w:gridSpan w:val="2"/>
            <w:tcMar>
              <w:left w:w="0" w:type="dxa"/>
              <w:right w:w="0" w:type="dxa"/>
            </w:tcMar>
            <w:vAlign w:val="center"/>
          </w:tcPr>
          <w:p w:rsidR="00543DFB" w:rsidRPr="00F552F0" w:rsidRDefault="001E4697" w:rsidP="00543DFB">
            <w:pPr>
              <w:jc w:val="center"/>
              <w:rPr>
                <w:sz w:val="18"/>
              </w:rPr>
            </w:pPr>
            <w:r w:rsidRPr="00F552F0">
              <w:rPr>
                <w:sz w:val="18"/>
              </w:rPr>
              <w:t>0.415</w:t>
            </w:r>
          </w:p>
          <w:p w:rsidR="00543DFB" w:rsidRPr="00F552F0" w:rsidRDefault="001E4697" w:rsidP="00543DFB">
            <w:pPr>
              <w:jc w:val="center"/>
              <w:rPr>
                <w:sz w:val="18"/>
              </w:rPr>
            </w:pPr>
            <w:r w:rsidRPr="00F552F0">
              <w:rPr>
                <w:sz w:val="18"/>
              </w:rPr>
              <w:t>(1.41)</w:t>
            </w:r>
          </w:p>
        </w:tc>
        <w:tc>
          <w:tcPr>
            <w:tcW w:w="380" w:type="pct"/>
            <w:tcMar>
              <w:left w:w="0" w:type="dxa"/>
              <w:right w:w="0" w:type="dxa"/>
            </w:tcMar>
            <w:vAlign w:val="center"/>
          </w:tcPr>
          <w:p w:rsidR="00543DFB" w:rsidRPr="00F552F0" w:rsidRDefault="00543DFB" w:rsidP="00543DFB">
            <w:pPr>
              <w:jc w:val="center"/>
              <w:rPr>
                <w:sz w:val="18"/>
              </w:rPr>
            </w:pPr>
          </w:p>
        </w:tc>
        <w:tc>
          <w:tcPr>
            <w:tcW w:w="379" w:type="pct"/>
            <w:gridSpan w:val="2"/>
            <w:tcMar>
              <w:left w:w="0" w:type="dxa"/>
              <w:right w:w="0" w:type="dxa"/>
            </w:tcMar>
            <w:vAlign w:val="center"/>
          </w:tcPr>
          <w:p w:rsidR="00543DFB" w:rsidRPr="00F552F0" w:rsidRDefault="001E4697" w:rsidP="00543DFB">
            <w:pPr>
              <w:jc w:val="center"/>
              <w:rPr>
                <w:sz w:val="18"/>
              </w:rPr>
            </w:pPr>
            <w:r w:rsidRPr="00F552F0">
              <w:rPr>
                <w:sz w:val="18"/>
              </w:rPr>
              <w:t>0.674</w:t>
            </w:r>
          </w:p>
          <w:p w:rsidR="00543DFB" w:rsidRPr="00F552F0" w:rsidRDefault="001E4697" w:rsidP="00543DFB">
            <w:pPr>
              <w:jc w:val="center"/>
              <w:rPr>
                <w:sz w:val="18"/>
              </w:rPr>
            </w:pPr>
            <w:r w:rsidRPr="00F552F0">
              <w:rPr>
                <w:sz w:val="18"/>
              </w:rPr>
              <w:t>(1.48)</w:t>
            </w:r>
          </w:p>
        </w:tc>
        <w:tc>
          <w:tcPr>
            <w:tcW w:w="380" w:type="pct"/>
            <w:tcMar>
              <w:left w:w="0" w:type="dxa"/>
              <w:right w:w="0" w:type="dxa"/>
            </w:tcMar>
            <w:vAlign w:val="center"/>
          </w:tcPr>
          <w:p w:rsidR="00543DFB" w:rsidRPr="00F552F0" w:rsidRDefault="00543DFB" w:rsidP="00543DFB">
            <w:pPr>
              <w:jc w:val="center"/>
              <w:rPr>
                <w:sz w:val="18"/>
              </w:rPr>
            </w:pP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1.571</w:t>
            </w:r>
          </w:p>
          <w:p w:rsidR="00543DFB" w:rsidRPr="00F552F0" w:rsidRDefault="001E4697" w:rsidP="00543DFB">
            <w:pPr>
              <w:jc w:val="center"/>
              <w:rPr>
                <w:sz w:val="18"/>
              </w:rPr>
            </w:pPr>
            <w:r w:rsidRPr="00F552F0">
              <w:rPr>
                <w:b/>
                <w:sz w:val="18"/>
              </w:rPr>
              <w:t>(3.06)</w:t>
            </w:r>
          </w:p>
        </w:tc>
        <w:tc>
          <w:tcPr>
            <w:tcW w:w="379" w:type="pct"/>
            <w:tcMar>
              <w:left w:w="0" w:type="dxa"/>
              <w:right w:w="0" w:type="dxa"/>
            </w:tcMar>
            <w:vAlign w:val="center"/>
          </w:tcPr>
          <w:p w:rsidR="00543DFB" w:rsidRPr="00F552F0" w:rsidRDefault="00543DFB" w:rsidP="00543DFB">
            <w:pPr>
              <w:jc w:val="center"/>
              <w:rPr>
                <w:sz w:val="18"/>
              </w:rPr>
            </w:pPr>
          </w:p>
        </w:tc>
      </w:tr>
      <w:tr w:rsidR="00543DFB" w:rsidRPr="00F552F0" w:rsidTr="00E87729">
        <w:trPr>
          <w:trHeight w:val="567"/>
        </w:trPr>
        <w:tc>
          <w:tcPr>
            <w:tcW w:w="1073" w:type="pct"/>
            <w:tcMar>
              <w:left w:w="0" w:type="dxa"/>
              <w:right w:w="0" w:type="dxa"/>
            </w:tcMar>
            <w:vAlign w:val="center"/>
          </w:tcPr>
          <w:p w:rsidR="00543DFB" w:rsidRPr="00F552F0" w:rsidRDefault="001E4697" w:rsidP="00543DFB">
            <w:pPr>
              <w:rPr>
                <w:sz w:val="18"/>
              </w:rPr>
            </w:pPr>
            <w:r w:rsidRPr="00F552F0">
              <w:rPr>
                <w:sz w:val="18"/>
              </w:rPr>
              <w:t>Banking system size</w:t>
            </w:r>
          </w:p>
        </w:tc>
        <w:tc>
          <w:tcPr>
            <w:tcW w:w="389" w:type="pct"/>
            <w:tcMar>
              <w:left w:w="0" w:type="dxa"/>
              <w:right w:w="0" w:type="dxa"/>
            </w:tcMar>
            <w:vAlign w:val="center"/>
          </w:tcPr>
          <w:p w:rsidR="00543DFB" w:rsidRPr="00F552F0" w:rsidRDefault="001E4697" w:rsidP="00543DFB">
            <w:pPr>
              <w:jc w:val="center"/>
              <w:rPr>
                <w:b/>
                <w:sz w:val="18"/>
              </w:rPr>
            </w:pPr>
            <w:r w:rsidRPr="00F552F0">
              <w:rPr>
                <w:b/>
                <w:sz w:val="18"/>
              </w:rPr>
              <w:t>-0.174</w:t>
            </w:r>
          </w:p>
          <w:p w:rsidR="00543DFB" w:rsidRPr="00F552F0" w:rsidRDefault="001E4697" w:rsidP="00543DFB">
            <w:pPr>
              <w:jc w:val="center"/>
              <w:rPr>
                <w:b/>
                <w:sz w:val="18"/>
              </w:rPr>
            </w:pPr>
            <w:r w:rsidRPr="00F552F0">
              <w:rPr>
                <w:b/>
                <w:sz w:val="18"/>
              </w:rPr>
              <w:t>(1.68)</w:t>
            </w:r>
          </w:p>
        </w:tc>
        <w:tc>
          <w:tcPr>
            <w:tcW w:w="391" w:type="pct"/>
            <w:tcMar>
              <w:left w:w="0" w:type="dxa"/>
              <w:right w:w="0" w:type="dxa"/>
            </w:tcMar>
            <w:vAlign w:val="center"/>
          </w:tcPr>
          <w:p w:rsidR="00543DFB" w:rsidRPr="00F552F0" w:rsidRDefault="001E4697" w:rsidP="00543DFB">
            <w:pPr>
              <w:jc w:val="center"/>
              <w:rPr>
                <w:b/>
                <w:sz w:val="18"/>
              </w:rPr>
            </w:pPr>
            <w:r w:rsidRPr="00F552F0">
              <w:rPr>
                <w:b/>
                <w:sz w:val="18"/>
              </w:rPr>
              <w:t>-0.303</w:t>
            </w:r>
          </w:p>
          <w:p w:rsidR="00543DFB" w:rsidRPr="00F552F0" w:rsidRDefault="001E4697" w:rsidP="00543DFB">
            <w:pPr>
              <w:jc w:val="center"/>
              <w:rPr>
                <w:b/>
                <w:sz w:val="18"/>
              </w:rPr>
            </w:pPr>
            <w:r w:rsidRPr="00F552F0">
              <w:rPr>
                <w:b/>
                <w:sz w:val="18"/>
              </w:rPr>
              <w:t>(2.71)</w:t>
            </w:r>
          </w:p>
        </w:tc>
        <w:tc>
          <w:tcPr>
            <w:tcW w:w="112" w:type="pct"/>
            <w:tcMar>
              <w:left w:w="0" w:type="dxa"/>
              <w:right w:w="0" w:type="dxa"/>
            </w:tcMar>
            <w:vAlign w:val="center"/>
          </w:tcPr>
          <w:p w:rsidR="00543DFB" w:rsidRPr="00F552F0" w:rsidRDefault="00543DFB" w:rsidP="00543DFB">
            <w:pPr>
              <w:jc w:val="center"/>
              <w:rPr>
                <w:sz w:val="18"/>
              </w:rPr>
            </w:pPr>
          </w:p>
          <w:p w:rsidR="00543DFB" w:rsidRPr="00F552F0" w:rsidRDefault="00543DFB" w:rsidP="00543DFB">
            <w:pPr>
              <w:jc w:val="center"/>
              <w:rPr>
                <w:sz w:val="18"/>
              </w:rPr>
            </w:pPr>
          </w:p>
        </w:tc>
        <w:tc>
          <w:tcPr>
            <w:tcW w:w="379" w:type="pct"/>
            <w:tcMar>
              <w:left w:w="0" w:type="dxa"/>
              <w:right w:w="0" w:type="dxa"/>
            </w:tcMar>
            <w:vAlign w:val="center"/>
          </w:tcPr>
          <w:p w:rsidR="00543DFB" w:rsidRPr="00F552F0" w:rsidRDefault="00543DFB" w:rsidP="00543DFB">
            <w:pPr>
              <w:jc w:val="center"/>
              <w:rPr>
                <w:sz w:val="18"/>
                <w:szCs w:val="18"/>
              </w:rPr>
            </w:pPr>
            <w:r w:rsidRPr="00F552F0">
              <w:rPr>
                <w:sz w:val="18"/>
                <w:szCs w:val="18"/>
              </w:rPr>
              <w:t>-37.5</w:t>
            </w:r>
          </w:p>
          <w:p w:rsidR="00543DFB" w:rsidRPr="00F552F0" w:rsidRDefault="00543DFB" w:rsidP="00543DFB">
            <w:pPr>
              <w:jc w:val="center"/>
              <w:rPr>
                <w:sz w:val="18"/>
                <w:szCs w:val="18"/>
              </w:rPr>
            </w:pPr>
            <w:r w:rsidRPr="00F552F0">
              <w:rPr>
                <w:sz w:val="18"/>
                <w:szCs w:val="18"/>
              </w:rPr>
              <w:t>(1.42)</w:t>
            </w:r>
          </w:p>
        </w:tc>
        <w:tc>
          <w:tcPr>
            <w:tcW w:w="380" w:type="pct"/>
            <w:tcMar>
              <w:left w:w="0" w:type="dxa"/>
              <w:right w:w="0" w:type="dxa"/>
            </w:tcMar>
            <w:vAlign w:val="center"/>
          </w:tcPr>
          <w:p w:rsidR="00543DFB" w:rsidRPr="00F552F0" w:rsidRDefault="00543DFB" w:rsidP="00543DFB">
            <w:pPr>
              <w:jc w:val="center"/>
              <w:rPr>
                <w:sz w:val="18"/>
                <w:szCs w:val="18"/>
              </w:rPr>
            </w:pPr>
            <w:r w:rsidRPr="00F552F0">
              <w:rPr>
                <w:sz w:val="18"/>
                <w:szCs w:val="18"/>
              </w:rPr>
              <w:t>-12.1</w:t>
            </w:r>
          </w:p>
          <w:p w:rsidR="00543DFB" w:rsidRPr="00F552F0" w:rsidRDefault="00543DFB" w:rsidP="00543DFB">
            <w:pPr>
              <w:jc w:val="center"/>
              <w:rPr>
                <w:sz w:val="18"/>
                <w:szCs w:val="18"/>
              </w:rPr>
            </w:pPr>
            <w:r w:rsidRPr="00F552F0">
              <w:rPr>
                <w:sz w:val="18"/>
                <w:szCs w:val="18"/>
              </w:rPr>
              <w:t>(0.52)</w:t>
            </w: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0.242</w:t>
            </w:r>
          </w:p>
          <w:p w:rsidR="00543DFB" w:rsidRPr="00F552F0" w:rsidRDefault="001E4697" w:rsidP="00543DFB">
            <w:pPr>
              <w:jc w:val="center"/>
              <w:rPr>
                <w:sz w:val="18"/>
              </w:rPr>
            </w:pPr>
            <w:r w:rsidRPr="00F552F0">
              <w:rPr>
                <w:b/>
                <w:sz w:val="18"/>
              </w:rPr>
              <w:t>(1.79)</w:t>
            </w:r>
          </w:p>
        </w:tc>
        <w:tc>
          <w:tcPr>
            <w:tcW w:w="380" w:type="pct"/>
            <w:tcMar>
              <w:left w:w="0" w:type="dxa"/>
              <w:right w:w="0" w:type="dxa"/>
            </w:tcMar>
            <w:vAlign w:val="center"/>
          </w:tcPr>
          <w:p w:rsidR="00543DFB" w:rsidRPr="00F552F0" w:rsidRDefault="001E4697" w:rsidP="00543DFB">
            <w:pPr>
              <w:jc w:val="center"/>
              <w:rPr>
                <w:sz w:val="18"/>
              </w:rPr>
            </w:pPr>
            <w:r w:rsidRPr="00F552F0">
              <w:rPr>
                <w:sz w:val="18"/>
              </w:rPr>
              <w:t>0.154</w:t>
            </w:r>
          </w:p>
          <w:p w:rsidR="00543DFB" w:rsidRPr="00F552F0" w:rsidRDefault="001E4697" w:rsidP="00543DFB">
            <w:pPr>
              <w:jc w:val="center"/>
              <w:rPr>
                <w:sz w:val="18"/>
              </w:rPr>
            </w:pPr>
            <w:r w:rsidRPr="00F552F0">
              <w:rPr>
                <w:sz w:val="18"/>
              </w:rPr>
              <w:t>(1.32)</w:t>
            </w:r>
          </w:p>
        </w:tc>
        <w:tc>
          <w:tcPr>
            <w:tcW w:w="379" w:type="pct"/>
            <w:gridSpan w:val="2"/>
            <w:tcMar>
              <w:left w:w="0" w:type="dxa"/>
              <w:right w:w="0" w:type="dxa"/>
            </w:tcMar>
            <w:vAlign w:val="center"/>
          </w:tcPr>
          <w:p w:rsidR="00543DFB" w:rsidRPr="00F552F0" w:rsidRDefault="001E4697" w:rsidP="00543DFB">
            <w:pPr>
              <w:jc w:val="center"/>
              <w:rPr>
                <w:sz w:val="18"/>
              </w:rPr>
            </w:pPr>
            <w:r w:rsidRPr="00F552F0">
              <w:rPr>
                <w:sz w:val="18"/>
              </w:rPr>
              <w:t>0.130</w:t>
            </w:r>
          </w:p>
          <w:p w:rsidR="00543DFB" w:rsidRPr="00F552F0" w:rsidRDefault="001E4697" w:rsidP="00543DFB">
            <w:pPr>
              <w:jc w:val="center"/>
              <w:rPr>
                <w:sz w:val="18"/>
              </w:rPr>
            </w:pPr>
            <w:r w:rsidRPr="00F552F0">
              <w:rPr>
                <w:sz w:val="18"/>
              </w:rPr>
              <w:t>(0.55)</w:t>
            </w:r>
          </w:p>
        </w:tc>
        <w:tc>
          <w:tcPr>
            <w:tcW w:w="380" w:type="pct"/>
            <w:tcMar>
              <w:left w:w="0" w:type="dxa"/>
              <w:right w:w="0" w:type="dxa"/>
            </w:tcMar>
            <w:vAlign w:val="center"/>
          </w:tcPr>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0.020</w:t>
            </w:r>
          </w:p>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(0.09)</w:t>
            </w:r>
          </w:p>
        </w:tc>
        <w:tc>
          <w:tcPr>
            <w:tcW w:w="379" w:type="pct"/>
            <w:gridSpan w:val="2"/>
            <w:tcMar>
              <w:left w:w="0" w:type="dxa"/>
              <w:right w:w="0" w:type="dxa"/>
            </w:tcMar>
            <w:vAlign w:val="center"/>
          </w:tcPr>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0.506</w:t>
            </w:r>
          </w:p>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(1.40)</w:t>
            </w:r>
          </w:p>
        </w:tc>
        <w:tc>
          <w:tcPr>
            <w:tcW w:w="379" w:type="pct"/>
            <w:tcMar>
              <w:left w:w="0" w:type="dxa"/>
              <w:right w:w="0" w:type="dxa"/>
            </w:tcMar>
            <w:vAlign w:val="center"/>
          </w:tcPr>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0.548</w:t>
            </w:r>
          </w:p>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(1.55)</w:t>
            </w:r>
          </w:p>
        </w:tc>
      </w:tr>
      <w:tr w:rsidR="00543DFB" w:rsidRPr="00F552F0" w:rsidTr="00E87729">
        <w:trPr>
          <w:trHeight w:val="567"/>
        </w:trPr>
        <w:tc>
          <w:tcPr>
            <w:tcW w:w="1073" w:type="pct"/>
            <w:tcMar>
              <w:left w:w="0" w:type="dxa"/>
              <w:right w:w="0" w:type="dxa"/>
            </w:tcMar>
            <w:vAlign w:val="center"/>
          </w:tcPr>
          <w:p w:rsidR="00543DFB" w:rsidRPr="00F552F0" w:rsidRDefault="001E4697" w:rsidP="00543DFB">
            <w:pPr>
              <w:rPr>
                <w:sz w:val="18"/>
              </w:rPr>
            </w:pPr>
            <w:r w:rsidRPr="00F552F0">
              <w:rPr>
                <w:sz w:val="18"/>
              </w:rPr>
              <w:t>Stock market size</w:t>
            </w:r>
          </w:p>
        </w:tc>
        <w:tc>
          <w:tcPr>
            <w:tcW w:w="389" w:type="pct"/>
            <w:tcMar>
              <w:left w:w="0" w:type="dxa"/>
              <w:right w:w="0" w:type="dxa"/>
            </w:tcMar>
            <w:vAlign w:val="center"/>
          </w:tcPr>
          <w:p w:rsidR="00543DFB" w:rsidRPr="00F552F0" w:rsidRDefault="001E4697" w:rsidP="00543DFB">
            <w:pPr>
              <w:jc w:val="center"/>
              <w:rPr>
                <w:sz w:val="18"/>
              </w:rPr>
            </w:pPr>
            <w:r w:rsidRPr="00F552F0">
              <w:rPr>
                <w:sz w:val="18"/>
              </w:rPr>
              <w:t>0.103</w:t>
            </w:r>
          </w:p>
          <w:p w:rsidR="00543DFB" w:rsidRPr="00F552F0" w:rsidRDefault="001E4697" w:rsidP="00543DFB">
            <w:pPr>
              <w:jc w:val="center"/>
              <w:rPr>
                <w:b/>
                <w:sz w:val="18"/>
              </w:rPr>
            </w:pPr>
            <w:r w:rsidRPr="00F552F0">
              <w:rPr>
                <w:sz w:val="18"/>
              </w:rPr>
              <w:t>(1.54)</w:t>
            </w:r>
          </w:p>
        </w:tc>
        <w:tc>
          <w:tcPr>
            <w:tcW w:w="391" w:type="pct"/>
            <w:tcMar>
              <w:left w:w="0" w:type="dxa"/>
              <w:right w:w="0" w:type="dxa"/>
            </w:tcMar>
            <w:vAlign w:val="center"/>
          </w:tcPr>
          <w:p w:rsidR="00543DFB" w:rsidRPr="00F552F0" w:rsidRDefault="001E4697" w:rsidP="00543DFB">
            <w:pPr>
              <w:jc w:val="center"/>
              <w:rPr>
                <w:b/>
                <w:sz w:val="18"/>
              </w:rPr>
            </w:pPr>
            <w:r w:rsidRPr="00F552F0">
              <w:rPr>
                <w:b/>
                <w:sz w:val="18"/>
              </w:rPr>
              <w:t>0.229</w:t>
            </w:r>
          </w:p>
          <w:p w:rsidR="00543DFB" w:rsidRPr="00F552F0" w:rsidRDefault="001E4697" w:rsidP="00543DFB">
            <w:pPr>
              <w:jc w:val="center"/>
              <w:rPr>
                <w:b/>
                <w:sz w:val="18"/>
              </w:rPr>
            </w:pPr>
            <w:r w:rsidRPr="00F552F0">
              <w:rPr>
                <w:b/>
                <w:sz w:val="18"/>
              </w:rPr>
              <w:t>(2.69)</w:t>
            </w:r>
          </w:p>
        </w:tc>
        <w:tc>
          <w:tcPr>
            <w:tcW w:w="112" w:type="pct"/>
            <w:tcMar>
              <w:left w:w="0" w:type="dxa"/>
              <w:right w:w="0" w:type="dxa"/>
            </w:tcMar>
            <w:vAlign w:val="center"/>
          </w:tcPr>
          <w:p w:rsidR="00543DFB" w:rsidRPr="00F552F0" w:rsidRDefault="00543DFB" w:rsidP="00543DFB">
            <w:pPr>
              <w:jc w:val="center"/>
              <w:rPr>
                <w:b/>
                <w:sz w:val="18"/>
              </w:rPr>
            </w:pPr>
          </w:p>
          <w:p w:rsidR="00543DFB" w:rsidRPr="00F552F0" w:rsidRDefault="00543DFB" w:rsidP="00543DFB">
            <w:pPr>
              <w:jc w:val="center"/>
              <w:rPr>
                <w:b/>
                <w:sz w:val="18"/>
              </w:rPr>
            </w:pPr>
          </w:p>
        </w:tc>
        <w:tc>
          <w:tcPr>
            <w:tcW w:w="379" w:type="pct"/>
            <w:tcMar>
              <w:left w:w="0" w:type="dxa"/>
              <w:right w:w="0" w:type="dxa"/>
            </w:tcMar>
            <w:vAlign w:val="center"/>
          </w:tcPr>
          <w:p w:rsidR="00543DFB" w:rsidRPr="00F552F0" w:rsidRDefault="00543DFB" w:rsidP="00543DFB">
            <w:pPr>
              <w:jc w:val="center"/>
              <w:rPr>
                <w:b/>
                <w:sz w:val="18"/>
                <w:szCs w:val="18"/>
              </w:rPr>
            </w:pPr>
            <w:r w:rsidRPr="00F552F0">
              <w:rPr>
                <w:b/>
                <w:sz w:val="18"/>
                <w:szCs w:val="18"/>
              </w:rPr>
              <w:t>63.0</w:t>
            </w:r>
          </w:p>
          <w:p w:rsidR="00543DFB" w:rsidRPr="00F552F0" w:rsidRDefault="00543DFB" w:rsidP="00543DFB">
            <w:pPr>
              <w:jc w:val="center"/>
              <w:rPr>
                <w:b/>
                <w:sz w:val="18"/>
                <w:szCs w:val="18"/>
              </w:rPr>
            </w:pPr>
            <w:r w:rsidRPr="00F552F0">
              <w:rPr>
                <w:b/>
                <w:sz w:val="18"/>
                <w:szCs w:val="18"/>
              </w:rPr>
              <w:t>(3.42)</w:t>
            </w:r>
          </w:p>
        </w:tc>
        <w:tc>
          <w:tcPr>
            <w:tcW w:w="380" w:type="pct"/>
            <w:tcMar>
              <w:left w:w="0" w:type="dxa"/>
              <w:right w:w="0" w:type="dxa"/>
            </w:tcMar>
            <w:vAlign w:val="center"/>
          </w:tcPr>
          <w:p w:rsidR="00543DFB" w:rsidRPr="00F552F0" w:rsidRDefault="00543DFB" w:rsidP="00543DFB">
            <w:pPr>
              <w:jc w:val="center"/>
              <w:rPr>
                <w:b/>
                <w:sz w:val="18"/>
                <w:szCs w:val="18"/>
              </w:rPr>
            </w:pPr>
            <w:r w:rsidRPr="00F552F0">
              <w:rPr>
                <w:b/>
                <w:sz w:val="18"/>
                <w:szCs w:val="18"/>
              </w:rPr>
              <w:t>39.9</w:t>
            </w:r>
          </w:p>
          <w:p w:rsidR="00543DFB" w:rsidRPr="00F552F0" w:rsidRDefault="00543DFB" w:rsidP="00543DFB">
            <w:pPr>
              <w:jc w:val="center"/>
              <w:rPr>
                <w:b/>
                <w:sz w:val="18"/>
                <w:szCs w:val="18"/>
              </w:rPr>
            </w:pPr>
            <w:r w:rsidRPr="00F552F0">
              <w:rPr>
                <w:b/>
                <w:sz w:val="18"/>
                <w:szCs w:val="18"/>
              </w:rPr>
              <w:t>(2.19)</w:t>
            </w: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-0.382</w:t>
            </w:r>
          </w:p>
          <w:p w:rsidR="00543DFB" w:rsidRPr="00F552F0" w:rsidRDefault="001E4697" w:rsidP="00543DFB">
            <w:pPr>
              <w:jc w:val="center"/>
              <w:rPr>
                <w:b/>
                <w:sz w:val="18"/>
              </w:rPr>
            </w:pPr>
            <w:r w:rsidRPr="00F552F0">
              <w:rPr>
                <w:b/>
                <w:sz w:val="18"/>
              </w:rPr>
              <w:t>(4.61)</w:t>
            </w:r>
          </w:p>
        </w:tc>
        <w:tc>
          <w:tcPr>
            <w:tcW w:w="380" w:type="pct"/>
            <w:tcMar>
              <w:left w:w="0" w:type="dxa"/>
              <w:right w:w="0" w:type="dxa"/>
            </w:tcMar>
            <w:vAlign w:val="center"/>
          </w:tcPr>
          <w:p w:rsidR="00543DFB" w:rsidRPr="00F552F0" w:rsidRDefault="001E4697" w:rsidP="00543DFB">
            <w:pPr>
              <w:jc w:val="center"/>
              <w:rPr>
                <w:b/>
                <w:sz w:val="18"/>
              </w:rPr>
            </w:pPr>
            <w:r w:rsidRPr="00F552F0">
              <w:rPr>
                <w:b/>
                <w:sz w:val="18"/>
              </w:rPr>
              <w:t>-0.302</w:t>
            </w:r>
          </w:p>
          <w:p w:rsidR="00543DFB" w:rsidRPr="00F552F0" w:rsidRDefault="001E4697" w:rsidP="00543DFB">
            <w:pPr>
              <w:jc w:val="center"/>
              <w:rPr>
                <w:b/>
                <w:sz w:val="18"/>
              </w:rPr>
            </w:pPr>
            <w:r w:rsidRPr="00F552F0">
              <w:rPr>
                <w:b/>
                <w:sz w:val="18"/>
              </w:rPr>
              <w:t>(3.66)</w:t>
            </w: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-0.545</w:t>
            </w:r>
          </w:p>
          <w:p w:rsidR="00543DFB" w:rsidRPr="00F552F0" w:rsidRDefault="001E4697" w:rsidP="00543DFB">
            <w:pPr>
              <w:jc w:val="center"/>
              <w:rPr>
                <w:b/>
                <w:sz w:val="18"/>
              </w:rPr>
            </w:pPr>
            <w:r w:rsidRPr="00F552F0">
              <w:rPr>
                <w:b/>
                <w:sz w:val="18"/>
              </w:rPr>
              <w:t>(3.11)</w:t>
            </w:r>
          </w:p>
        </w:tc>
        <w:tc>
          <w:tcPr>
            <w:tcW w:w="380" w:type="pct"/>
            <w:tcMar>
              <w:left w:w="0" w:type="dxa"/>
              <w:right w:w="0" w:type="dxa"/>
            </w:tcMar>
            <w:vAlign w:val="center"/>
          </w:tcPr>
          <w:p w:rsidR="00543DFB" w:rsidRPr="00F552F0" w:rsidRDefault="001E4697" w:rsidP="00543DFB">
            <w:pPr>
              <w:jc w:val="center"/>
              <w:rPr>
                <w:b/>
                <w:sz w:val="18"/>
              </w:rPr>
            </w:pPr>
            <w:r w:rsidRPr="00F552F0">
              <w:rPr>
                <w:b/>
                <w:sz w:val="18"/>
              </w:rPr>
              <w:t>-0.446</w:t>
            </w:r>
          </w:p>
          <w:p w:rsidR="00543DFB" w:rsidRPr="00F552F0" w:rsidRDefault="001E4697" w:rsidP="00543DFB">
            <w:pPr>
              <w:jc w:val="center"/>
              <w:rPr>
                <w:b/>
                <w:sz w:val="18"/>
              </w:rPr>
            </w:pPr>
            <w:r w:rsidRPr="00F552F0">
              <w:rPr>
                <w:b/>
                <w:sz w:val="18"/>
              </w:rPr>
              <w:t>(2.72)</w:t>
            </w: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-0.583</w:t>
            </w:r>
          </w:p>
          <w:p w:rsidR="00543DFB" w:rsidRPr="00F552F0" w:rsidRDefault="001E4697" w:rsidP="00543DFB">
            <w:pPr>
              <w:jc w:val="center"/>
              <w:rPr>
                <w:b/>
                <w:sz w:val="18"/>
              </w:rPr>
            </w:pPr>
            <w:r w:rsidRPr="00F552F0">
              <w:rPr>
                <w:b/>
                <w:sz w:val="18"/>
              </w:rPr>
              <w:t>(2.47)</w:t>
            </w:r>
          </w:p>
        </w:tc>
        <w:tc>
          <w:tcPr>
            <w:tcW w:w="379" w:type="pct"/>
            <w:tcMar>
              <w:left w:w="0" w:type="dxa"/>
              <w:right w:w="0" w:type="dxa"/>
            </w:tcMar>
            <w:vAlign w:val="center"/>
          </w:tcPr>
          <w:p w:rsidR="00543DFB" w:rsidRPr="00F552F0" w:rsidRDefault="001E4697" w:rsidP="00543DFB">
            <w:pPr>
              <w:jc w:val="center"/>
              <w:rPr>
                <w:b/>
                <w:sz w:val="18"/>
              </w:rPr>
            </w:pPr>
            <w:r w:rsidRPr="00F552F0">
              <w:rPr>
                <w:b/>
                <w:sz w:val="18"/>
              </w:rPr>
              <w:t>-0.621</w:t>
            </w:r>
          </w:p>
          <w:p w:rsidR="00543DFB" w:rsidRPr="00F552F0" w:rsidRDefault="001E4697" w:rsidP="00543DFB">
            <w:pPr>
              <w:jc w:val="center"/>
              <w:rPr>
                <w:b/>
                <w:sz w:val="18"/>
              </w:rPr>
            </w:pPr>
            <w:r w:rsidRPr="00F552F0">
              <w:rPr>
                <w:b/>
                <w:sz w:val="18"/>
              </w:rPr>
              <w:t>(3.17)</w:t>
            </w:r>
          </w:p>
        </w:tc>
      </w:tr>
      <w:tr w:rsidR="00543DFB" w:rsidRPr="00F552F0" w:rsidTr="00E87729">
        <w:trPr>
          <w:trHeight w:val="472"/>
        </w:trPr>
        <w:tc>
          <w:tcPr>
            <w:tcW w:w="1073" w:type="pct"/>
            <w:tcMar>
              <w:left w:w="0" w:type="dxa"/>
              <w:right w:w="0" w:type="dxa"/>
            </w:tcMar>
            <w:vAlign w:val="center"/>
          </w:tcPr>
          <w:p w:rsidR="00543DFB" w:rsidRPr="00F552F0" w:rsidRDefault="001E4697" w:rsidP="00543DFB">
            <w:pPr>
              <w:rPr>
                <w:sz w:val="18"/>
              </w:rPr>
            </w:pPr>
            <w:r w:rsidRPr="00F552F0">
              <w:rPr>
                <w:sz w:val="18"/>
              </w:rPr>
              <w:t>Initial income</w:t>
            </w:r>
          </w:p>
        </w:tc>
        <w:tc>
          <w:tcPr>
            <w:tcW w:w="389" w:type="pct"/>
            <w:tcMar>
              <w:left w:w="0" w:type="dxa"/>
              <w:right w:w="0" w:type="dxa"/>
            </w:tcMar>
            <w:vAlign w:val="center"/>
          </w:tcPr>
          <w:p w:rsidR="00543DFB" w:rsidRPr="00F552F0" w:rsidRDefault="001E4697" w:rsidP="00543DFB">
            <w:pPr>
              <w:jc w:val="center"/>
              <w:rPr>
                <w:b/>
                <w:sz w:val="18"/>
              </w:rPr>
            </w:pPr>
            <w:r w:rsidRPr="00F552F0">
              <w:rPr>
                <w:b/>
                <w:sz w:val="18"/>
              </w:rPr>
              <w:t>-0.130</w:t>
            </w:r>
          </w:p>
          <w:p w:rsidR="00543DFB" w:rsidRPr="00F552F0" w:rsidRDefault="001E4697" w:rsidP="00543DFB">
            <w:pPr>
              <w:jc w:val="center"/>
              <w:rPr>
                <w:b/>
                <w:sz w:val="18"/>
              </w:rPr>
            </w:pPr>
            <w:r w:rsidRPr="00F552F0">
              <w:rPr>
                <w:b/>
                <w:sz w:val="18"/>
              </w:rPr>
              <w:t>(2.90)</w:t>
            </w:r>
          </w:p>
        </w:tc>
        <w:tc>
          <w:tcPr>
            <w:tcW w:w="391" w:type="pct"/>
            <w:tcMar>
              <w:left w:w="0" w:type="dxa"/>
              <w:right w:w="0" w:type="dxa"/>
            </w:tcMar>
            <w:vAlign w:val="center"/>
          </w:tcPr>
          <w:p w:rsidR="00543DFB" w:rsidRPr="00F552F0" w:rsidRDefault="001E4697" w:rsidP="00543DFB">
            <w:pPr>
              <w:jc w:val="center"/>
              <w:rPr>
                <w:b/>
                <w:sz w:val="18"/>
              </w:rPr>
            </w:pPr>
            <w:r w:rsidRPr="00F552F0">
              <w:rPr>
                <w:b/>
                <w:sz w:val="18"/>
              </w:rPr>
              <w:t>-0.098</w:t>
            </w:r>
          </w:p>
          <w:p w:rsidR="00543DFB" w:rsidRPr="00F552F0" w:rsidRDefault="001E4697" w:rsidP="00543DFB">
            <w:pPr>
              <w:jc w:val="center"/>
              <w:rPr>
                <w:b/>
                <w:sz w:val="18"/>
              </w:rPr>
            </w:pPr>
            <w:r w:rsidRPr="00F552F0">
              <w:rPr>
                <w:b/>
                <w:sz w:val="18"/>
              </w:rPr>
              <w:t>(1.84)</w:t>
            </w:r>
          </w:p>
        </w:tc>
        <w:tc>
          <w:tcPr>
            <w:tcW w:w="112" w:type="pct"/>
            <w:tcMar>
              <w:left w:w="0" w:type="dxa"/>
              <w:right w:w="0" w:type="dxa"/>
            </w:tcMar>
            <w:vAlign w:val="center"/>
          </w:tcPr>
          <w:p w:rsidR="00543DFB" w:rsidRPr="00F552F0" w:rsidRDefault="00543DFB" w:rsidP="00543DFB">
            <w:pPr>
              <w:jc w:val="center"/>
              <w:rPr>
                <w:b/>
                <w:sz w:val="18"/>
              </w:rPr>
            </w:pPr>
          </w:p>
          <w:p w:rsidR="00543DFB" w:rsidRPr="00F552F0" w:rsidRDefault="00543DFB" w:rsidP="00543DFB">
            <w:pPr>
              <w:jc w:val="center"/>
              <w:rPr>
                <w:b/>
                <w:sz w:val="18"/>
              </w:rPr>
            </w:pPr>
          </w:p>
        </w:tc>
        <w:tc>
          <w:tcPr>
            <w:tcW w:w="379" w:type="pct"/>
            <w:tcMar>
              <w:left w:w="0" w:type="dxa"/>
              <w:right w:w="0" w:type="dxa"/>
            </w:tcMar>
            <w:vAlign w:val="center"/>
          </w:tcPr>
          <w:p w:rsidR="00543DFB" w:rsidRPr="00F552F0" w:rsidRDefault="00543DFB" w:rsidP="00543DFB">
            <w:pPr>
              <w:jc w:val="center"/>
              <w:rPr>
                <w:b/>
                <w:sz w:val="18"/>
                <w:szCs w:val="18"/>
              </w:rPr>
            </w:pPr>
            <w:r w:rsidRPr="00F552F0">
              <w:rPr>
                <w:b/>
                <w:sz w:val="18"/>
                <w:szCs w:val="18"/>
              </w:rPr>
              <w:t>72.9</w:t>
            </w:r>
          </w:p>
          <w:p w:rsidR="00543DFB" w:rsidRPr="00F552F0" w:rsidRDefault="00543DFB" w:rsidP="00543DFB">
            <w:pPr>
              <w:jc w:val="center"/>
              <w:rPr>
                <w:b/>
                <w:sz w:val="18"/>
                <w:szCs w:val="18"/>
              </w:rPr>
            </w:pPr>
            <w:r w:rsidRPr="00F552F0">
              <w:rPr>
                <w:b/>
                <w:sz w:val="18"/>
                <w:szCs w:val="18"/>
              </w:rPr>
              <w:t>(6.54)</w:t>
            </w:r>
          </w:p>
        </w:tc>
        <w:tc>
          <w:tcPr>
            <w:tcW w:w="380" w:type="pct"/>
            <w:tcMar>
              <w:left w:w="0" w:type="dxa"/>
              <w:right w:w="0" w:type="dxa"/>
            </w:tcMar>
            <w:vAlign w:val="center"/>
          </w:tcPr>
          <w:p w:rsidR="00543DFB" w:rsidRPr="00F552F0" w:rsidRDefault="00543DFB" w:rsidP="00543DFB">
            <w:pPr>
              <w:jc w:val="center"/>
              <w:rPr>
                <w:b/>
                <w:sz w:val="18"/>
                <w:szCs w:val="18"/>
              </w:rPr>
            </w:pPr>
            <w:r w:rsidRPr="00F552F0">
              <w:rPr>
                <w:b/>
                <w:sz w:val="18"/>
                <w:szCs w:val="18"/>
              </w:rPr>
              <w:t>63.0</w:t>
            </w:r>
          </w:p>
          <w:p w:rsidR="00543DFB" w:rsidRPr="00F552F0" w:rsidRDefault="00543DFB" w:rsidP="00543DFB">
            <w:pPr>
              <w:jc w:val="center"/>
              <w:rPr>
                <w:b/>
                <w:sz w:val="18"/>
                <w:szCs w:val="18"/>
              </w:rPr>
            </w:pPr>
            <w:r w:rsidRPr="00F552F0">
              <w:rPr>
                <w:b/>
                <w:sz w:val="18"/>
                <w:szCs w:val="18"/>
              </w:rPr>
              <w:t>(4.87)</w:t>
            </w:r>
          </w:p>
        </w:tc>
        <w:tc>
          <w:tcPr>
            <w:tcW w:w="379" w:type="pct"/>
            <w:gridSpan w:val="2"/>
            <w:tcMar>
              <w:left w:w="0" w:type="dxa"/>
              <w:right w:w="0" w:type="dxa"/>
            </w:tcMar>
            <w:vAlign w:val="center"/>
          </w:tcPr>
          <w:p w:rsidR="00543DFB" w:rsidRPr="00F552F0" w:rsidRDefault="001E4697" w:rsidP="00543DFB">
            <w:pPr>
              <w:jc w:val="center"/>
              <w:rPr>
                <w:sz w:val="18"/>
              </w:rPr>
            </w:pPr>
            <w:r w:rsidRPr="00F552F0">
              <w:rPr>
                <w:sz w:val="18"/>
              </w:rPr>
              <w:t>0.001</w:t>
            </w:r>
          </w:p>
          <w:p w:rsidR="00543DFB" w:rsidRPr="00F552F0" w:rsidRDefault="001E4697" w:rsidP="00543DFB">
            <w:pPr>
              <w:jc w:val="center"/>
              <w:rPr>
                <w:sz w:val="18"/>
              </w:rPr>
            </w:pPr>
            <w:r w:rsidRPr="00F552F0">
              <w:rPr>
                <w:sz w:val="18"/>
              </w:rPr>
              <w:t>(0.02)</w:t>
            </w:r>
          </w:p>
        </w:tc>
        <w:tc>
          <w:tcPr>
            <w:tcW w:w="380" w:type="pct"/>
            <w:tcMar>
              <w:left w:w="0" w:type="dxa"/>
              <w:right w:w="0" w:type="dxa"/>
            </w:tcMar>
            <w:vAlign w:val="center"/>
          </w:tcPr>
          <w:p w:rsidR="00543DFB" w:rsidRPr="00F552F0" w:rsidRDefault="001E4697" w:rsidP="00543DFB">
            <w:pPr>
              <w:jc w:val="center"/>
              <w:rPr>
                <w:sz w:val="18"/>
              </w:rPr>
            </w:pPr>
            <w:r w:rsidRPr="00F552F0">
              <w:rPr>
                <w:sz w:val="18"/>
              </w:rPr>
              <w:t>0.036</w:t>
            </w:r>
          </w:p>
          <w:p w:rsidR="00543DFB" w:rsidRPr="00F552F0" w:rsidRDefault="001E4697" w:rsidP="00543DFB">
            <w:pPr>
              <w:jc w:val="center"/>
              <w:rPr>
                <w:sz w:val="18"/>
              </w:rPr>
            </w:pPr>
            <w:r w:rsidRPr="00F552F0">
              <w:rPr>
                <w:sz w:val="18"/>
              </w:rPr>
              <w:t>(0.56)</w:t>
            </w:r>
          </w:p>
        </w:tc>
        <w:tc>
          <w:tcPr>
            <w:tcW w:w="379" w:type="pct"/>
            <w:gridSpan w:val="2"/>
            <w:tcMar>
              <w:left w:w="0" w:type="dxa"/>
              <w:right w:w="0" w:type="dxa"/>
            </w:tcMar>
            <w:vAlign w:val="center"/>
          </w:tcPr>
          <w:p w:rsidR="00543DFB" w:rsidRPr="00F552F0" w:rsidRDefault="001E4697" w:rsidP="00543DFB">
            <w:pPr>
              <w:jc w:val="center"/>
              <w:rPr>
                <w:sz w:val="18"/>
              </w:rPr>
            </w:pPr>
            <w:r w:rsidRPr="00F552F0">
              <w:rPr>
                <w:sz w:val="18"/>
              </w:rPr>
              <w:t>-0.102</w:t>
            </w:r>
          </w:p>
          <w:p w:rsidR="00543DFB" w:rsidRPr="00F552F0" w:rsidRDefault="001E4697" w:rsidP="00543DFB">
            <w:pPr>
              <w:jc w:val="center"/>
              <w:rPr>
                <w:sz w:val="18"/>
              </w:rPr>
            </w:pPr>
            <w:r w:rsidRPr="00F552F0">
              <w:rPr>
                <w:sz w:val="18"/>
              </w:rPr>
              <w:t>(1.18)</w:t>
            </w:r>
          </w:p>
        </w:tc>
        <w:tc>
          <w:tcPr>
            <w:tcW w:w="380" w:type="pct"/>
            <w:tcMar>
              <w:left w:w="0" w:type="dxa"/>
              <w:right w:w="0" w:type="dxa"/>
            </w:tcMar>
            <w:vAlign w:val="center"/>
          </w:tcPr>
          <w:p w:rsidR="00543DFB" w:rsidRPr="00F552F0" w:rsidRDefault="001E4697" w:rsidP="00543DFB">
            <w:pPr>
              <w:jc w:val="center"/>
              <w:rPr>
                <w:sz w:val="18"/>
              </w:rPr>
            </w:pPr>
            <w:r w:rsidRPr="00F552F0">
              <w:rPr>
                <w:sz w:val="18"/>
              </w:rPr>
              <w:t>-0.059</w:t>
            </w:r>
          </w:p>
          <w:p w:rsidR="00543DFB" w:rsidRPr="00F552F0" w:rsidRDefault="001E4697" w:rsidP="00543DFB">
            <w:pPr>
              <w:jc w:val="center"/>
              <w:rPr>
                <w:sz w:val="18"/>
              </w:rPr>
            </w:pPr>
            <w:r w:rsidRPr="00F552F0">
              <w:rPr>
                <w:sz w:val="18"/>
              </w:rPr>
              <w:t>(0.61)</w:t>
            </w:r>
          </w:p>
        </w:tc>
        <w:tc>
          <w:tcPr>
            <w:tcW w:w="379" w:type="pct"/>
            <w:gridSpan w:val="2"/>
            <w:tcMar>
              <w:left w:w="0" w:type="dxa"/>
              <w:right w:w="0" w:type="dxa"/>
            </w:tcMar>
            <w:vAlign w:val="center"/>
          </w:tcPr>
          <w:p w:rsidR="00543DFB" w:rsidRPr="00F552F0" w:rsidRDefault="001E4697" w:rsidP="00543DFB">
            <w:pPr>
              <w:jc w:val="center"/>
              <w:rPr>
                <w:b/>
                <w:sz w:val="18"/>
              </w:rPr>
            </w:pPr>
            <w:r w:rsidRPr="00F552F0">
              <w:rPr>
                <w:b/>
                <w:sz w:val="18"/>
              </w:rPr>
              <w:t>0.880</w:t>
            </w:r>
          </w:p>
          <w:p w:rsidR="00543DFB" w:rsidRPr="00F552F0" w:rsidRDefault="001E4697" w:rsidP="00543DFB">
            <w:pPr>
              <w:jc w:val="center"/>
              <w:rPr>
                <w:b/>
                <w:sz w:val="18"/>
              </w:rPr>
            </w:pPr>
            <w:r w:rsidRPr="00F552F0">
              <w:rPr>
                <w:b/>
                <w:sz w:val="18"/>
              </w:rPr>
              <w:t>(7.37)</w:t>
            </w:r>
          </w:p>
        </w:tc>
        <w:tc>
          <w:tcPr>
            <w:tcW w:w="379" w:type="pct"/>
            <w:tcMar>
              <w:left w:w="0" w:type="dxa"/>
              <w:right w:w="0" w:type="dxa"/>
            </w:tcMar>
            <w:vAlign w:val="center"/>
          </w:tcPr>
          <w:p w:rsidR="00543DFB" w:rsidRPr="00F552F0" w:rsidRDefault="001E4697" w:rsidP="00543DFB">
            <w:pPr>
              <w:jc w:val="center"/>
              <w:rPr>
                <w:b/>
                <w:sz w:val="18"/>
              </w:rPr>
            </w:pPr>
            <w:r w:rsidRPr="00F552F0">
              <w:rPr>
                <w:b/>
                <w:sz w:val="18"/>
              </w:rPr>
              <w:t>0.863</w:t>
            </w:r>
          </w:p>
          <w:p w:rsidR="00543DFB" w:rsidRPr="00F552F0" w:rsidRDefault="001E4697" w:rsidP="00543DFB">
            <w:pPr>
              <w:jc w:val="center"/>
              <w:rPr>
                <w:b/>
                <w:sz w:val="18"/>
              </w:rPr>
            </w:pPr>
            <w:r w:rsidRPr="00F552F0">
              <w:rPr>
                <w:b/>
                <w:sz w:val="18"/>
              </w:rPr>
              <w:t>(7.21)</w:t>
            </w:r>
          </w:p>
        </w:tc>
      </w:tr>
      <w:tr w:rsidR="00543DFB" w:rsidRPr="00F552F0" w:rsidTr="00E87729">
        <w:trPr>
          <w:trHeight w:val="552"/>
        </w:trPr>
        <w:tc>
          <w:tcPr>
            <w:tcW w:w="1073" w:type="pct"/>
            <w:tcBorders>
              <w:bottom w:val="single" w:sz="4" w:space="0" w:color="auto"/>
            </w:tcBorders>
            <w:tcMar>
              <w:left w:w="0" w:type="dxa"/>
              <w:right w:w="0" w:type="dxa"/>
            </w:tcMar>
            <w:vAlign w:val="center"/>
          </w:tcPr>
          <w:p w:rsidR="00543DFB" w:rsidRPr="00F552F0" w:rsidRDefault="001E4697" w:rsidP="00543DFB">
            <w:pPr>
              <w:rPr>
                <w:sz w:val="18"/>
              </w:rPr>
            </w:pPr>
            <w:r w:rsidRPr="00F552F0">
              <w:rPr>
                <w:sz w:val="18"/>
              </w:rPr>
              <w:t>Constant</w:t>
            </w:r>
          </w:p>
        </w:tc>
        <w:tc>
          <w:tcPr>
            <w:tcW w:w="389" w:type="pct"/>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0.924</w:t>
            </w:r>
          </w:p>
          <w:p w:rsidR="00543DFB" w:rsidRPr="00F552F0" w:rsidRDefault="001E4697" w:rsidP="00543DFB">
            <w:pPr>
              <w:jc w:val="center"/>
              <w:rPr>
                <w:b/>
                <w:sz w:val="18"/>
              </w:rPr>
            </w:pPr>
            <w:r w:rsidRPr="00F552F0">
              <w:rPr>
                <w:b/>
                <w:sz w:val="18"/>
              </w:rPr>
              <w:t>(2.59)</w:t>
            </w:r>
          </w:p>
        </w:tc>
        <w:tc>
          <w:tcPr>
            <w:tcW w:w="391" w:type="pct"/>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0.947</w:t>
            </w:r>
          </w:p>
          <w:p w:rsidR="00543DFB" w:rsidRPr="00F552F0" w:rsidRDefault="001E4697" w:rsidP="00543DFB">
            <w:pPr>
              <w:jc w:val="center"/>
              <w:rPr>
                <w:b/>
                <w:sz w:val="18"/>
              </w:rPr>
            </w:pPr>
            <w:r w:rsidRPr="00F552F0">
              <w:rPr>
                <w:b/>
                <w:sz w:val="18"/>
              </w:rPr>
              <w:t>(2.23)</w:t>
            </w:r>
          </w:p>
        </w:tc>
        <w:tc>
          <w:tcPr>
            <w:tcW w:w="112" w:type="pct"/>
            <w:tcBorders>
              <w:bottom w:val="single" w:sz="4" w:space="0" w:color="auto"/>
            </w:tcBorders>
            <w:tcMar>
              <w:left w:w="0" w:type="dxa"/>
              <w:right w:w="0" w:type="dxa"/>
            </w:tcMar>
            <w:vAlign w:val="center"/>
          </w:tcPr>
          <w:p w:rsidR="00543DFB" w:rsidRPr="00F552F0" w:rsidRDefault="00543DFB" w:rsidP="00543DFB">
            <w:pPr>
              <w:jc w:val="center"/>
              <w:rPr>
                <w:b/>
                <w:sz w:val="18"/>
              </w:rPr>
            </w:pPr>
          </w:p>
          <w:p w:rsidR="00543DFB" w:rsidRPr="00F552F0" w:rsidRDefault="00543DFB" w:rsidP="00543DFB">
            <w:pPr>
              <w:jc w:val="center"/>
              <w:rPr>
                <w:b/>
                <w:sz w:val="18"/>
              </w:rPr>
            </w:pPr>
          </w:p>
        </w:tc>
        <w:tc>
          <w:tcPr>
            <w:tcW w:w="379" w:type="pct"/>
            <w:tcBorders>
              <w:bottom w:val="single" w:sz="4" w:space="0" w:color="auto"/>
            </w:tcBorders>
            <w:tcMar>
              <w:left w:w="0" w:type="dxa"/>
              <w:right w:w="0" w:type="dxa"/>
            </w:tcMar>
            <w:vAlign w:val="center"/>
          </w:tcPr>
          <w:p w:rsidR="00543DFB" w:rsidRPr="00F552F0" w:rsidRDefault="00543DFB" w:rsidP="00543DFB">
            <w:pPr>
              <w:jc w:val="center"/>
              <w:rPr>
                <w:b/>
                <w:sz w:val="18"/>
                <w:szCs w:val="18"/>
              </w:rPr>
            </w:pPr>
            <w:r w:rsidRPr="00F552F0">
              <w:rPr>
                <w:b/>
                <w:sz w:val="18"/>
                <w:szCs w:val="18"/>
              </w:rPr>
              <w:t>-493</w:t>
            </w:r>
          </w:p>
          <w:p w:rsidR="00543DFB" w:rsidRPr="00F552F0" w:rsidRDefault="00543DFB" w:rsidP="00543DFB">
            <w:pPr>
              <w:jc w:val="center"/>
              <w:rPr>
                <w:b/>
                <w:sz w:val="18"/>
                <w:szCs w:val="18"/>
              </w:rPr>
            </w:pPr>
            <w:r w:rsidRPr="00F552F0">
              <w:rPr>
                <w:b/>
                <w:sz w:val="18"/>
                <w:szCs w:val="18"/>
              </w:rPr>
              <w:t>(5.32)</w:t>
            </w:r>
          </w:p>
        </w:tc>
        <w:tc>
          <w:tcPr>
            <w:tcW w:w="380" w:type="pct"/>
            <w:tcBorders>
              <w:bottom w:val="single" w:sz="4" w:space="0" w:color="auto"/>
            </w:tcBorders>
            <w:tcMar>
              <w:left w:w="0" w:type="dxa"/>
              <w:right w:w="0" w:type="dxa"/>
            </w:tcMar>
            <w:vAlign w:val="center"/>
          </w:tcPr>
          <w:p w:rsidR="00543DFB" w:rsidRPr="00F552F0" w:rsidRDefault="00543DFB" w:rsidP="00543DFB">
            <w:pPr>
              <w:jc w:val="center"/>
              <w:rPr>
                <w:b/>
                <w:sz w:val="18"/>
                <w:szCs w:val="18"/>
              </w:rPr>
            </w:pPr>
            <w:r w:rsidRPr="00F552F0">
              <w:rPr>
                <w:b/>
                <w:sz w:val="18"/>
                <w:szCs w:val="18"/>
              </w:rPr>
              <w:t>-537</w:t>
            </w:r>
          </w:p>
          <w:p w:rsidR="00543DFB" w:rsidRPr="00F552F0" w:rsidRDefault="00543DFB" w:rsidP="00543DFB">
            <w:pPr>
              <w:jc w:val="center"/>
              <w:rPr>
                <w:b/>
                <w:sz w:val="18"/>
                <w:szCs w:val="18"/>
              </w:rPr>
            </w:pPr>
            <w:r w:rsidRPr="00F552F0">
              <w:rPr>
                <w:b/>
                <w:sz w:val="18"/>
                <w:szCs w:val="18"/>
              </w:rPr>
              <w:t>(6.08)</w:t>
            </w:r>
          </w:p>
        </w:tc>
        <w:tc>
          <w:tcPr>
            <w:tcW w:w="379" w:type="pct"/>
            <w:gridSpan w:val="2"/>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2.132</w:t>
            </w:r>
          </w:p>
          <w:p w:rsidR="00543DFB" w:rsidRPr="00F552F0" w:rsidRDefault="001E4697" w:rsidP="00543DFB">
            <w:pPr>
              <w:jc w:val="center"/>
              <w:rPr>
                <w:b/>
                <w:sz w:val="18"/>
              </w:rPr>
            </w:pPr>
            <w:r w:rsidRPr="00F552F0">
              <w:rPr>
                <w:b/>
                <w:sz w:val="18"/>
              </w:rPr>
              <w:t>(3.77)</w:t>
            </w:r>
          </w:p>
        </w:tc>
        <w:tc>
          <w:tcPr>
            <w:tcW w:w="380" w:type="pct"/>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2.662</w:t>
            </w:r>
          </w:p>
          <w:p w:rsidR="00543DFB" w:rsidRPr="00F552F0" w:rsidRDefault="001E4697" w:rsidP="00543DFB">
            <w:pPr>
              <w:jc w:val="center"/>
              <w:rPr>
                <w:b/>
                <w:sz w:val="18"/>
              </w:rPr>
            </w:pPr>
            <w:r w:rsidRPr="00F552F0">
              <w:rPr>
                <w:b/>
                <w:sz w:val="18"/>
              </w:rPr>
              <w:t>(6.33)</w:t>
            </w:r>
          </w:p>
        </w:tc>
        <w:tc>
          <w:tcPr>
            <w:tcW w:w="379" w:type="pct"/>
            <w:gridSpan w:val="2"/>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5.261</w:t>
            </w:r>
          </w:p>
          <w:p w:rsidR="00543DFB" w:rsidRPr="00F552F0" w:rsidRDefault="001E4697" w:rsidP="00543DFB">
            <w:pPr>
              <w:jc w:val="center"/>
              <w:rPr>
                <w:b/>
                <w:sz w:val="18"/>
              </w:rPr>
            </w:pPr>
            <w:r w:rsidRPr="00F552F0">
              <w:rPr>
                <w:b/>
                <w:sz w:val="18"/>
              </w:rPr>
              <w:t>(5.00)</w:t>
            </w:r>
          </w:p>
        </w:tc>
        <w:tc>
          <w:tcPr>
            <w:tcW w:w="380" w:type="pct"/>
            <w:tcBorders>
              <w:bottom w:val="single" w:sz="4" w:space="0" w:color="auto"/>
            </w:tcBorders>
            <w:tcMar>
              <w:left w:w="0" w:type="dxa"/>
              <w:right w:w="0" w:type="dxa"/>
            </w:tcMar>
            <w:vAlign w:val="center"/>
          </w:tcPr>
          <w:p w:rsidR="00543DFB" w:rsidRPr="00F552F0" w:rsidRDefault="001E4697" w:rsidP="00543DFB">
            <w:pPr>
              <w:jc w:val="center"/>
              <w:rPr>
                <w:b/>
                <w:sz w:val="18"/>
              </w:rPr>
            </w:pPr>
            <w:r w:rsidRPr="00F552F0">
              <w:rPr>
                <w:b/>
                <w:sz w:val="18"/>
              </w:rPr>
              <w:t>6.078</w:t>
            </w:r>
          </w:p>
          <w:p w:rsidR="00543DFB" w:rsidRPr="00F552F0" w:rsidRDefault="001E4697" w:rsidP="00543DFB">
            <w:pPr>
              <w:jc w:val="center"/>
              <w:rPr>
                <w:b/>
                <w:sz w:val="18"/>
              </w:rPr>
            </w:pPr>
            <w:r w:rsidRPr="00F552F0">
              <w:rPr>
                <w:b/>
                <w:sz w:val="18"/>
              </w:rPr>
              <w:t>(6.97)</w:t>
            </w:r>
          </w:p>
        </w:tc>
        <w:tc>
          <w:tcPr>
            <w:tcW w:w="379" w:type="pct"/>
            <w:gridSpan w:val="2"/>
            <w:tcBorders>
              <w:bottom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-1.570</w:t>
            </w:r>
          </w:p>
          <w:p w:rsidR="00543DFB" w:rsidRPr="00F552F0" w:rsidRDefault="001E4697" w:rsidP="00543DFB">
            <w:pPr>
              <w:jc w:val="center"/>
              <w:rPr>
                <w:sz w:val="18"/>
              </w:rPr>
            </w:pPr>
            <w:r w:rsidRPr="00F552F0">
              <w:rPr>
                <w:sz w:val="18"/>
              </w:rPr>
              <w:t>(1.40)</w:t>
            </w:r>
          </w:p>
        </w:tc>
        <w:tc>
          <w:tcPr>
            <w:tcW w:w="379" w:type="pct"/>
            <w:tcBorders>
              <w:bottom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-0.054</w:t>
            </w:r>
          </w:p>
          <w:p w:rsidR="00543DFB" w:rsidRPr="00F552F0" w:rsidRDefault="001E4697" w:rsidP="00543DFB">
            <w:pPr>
              <w:jc w:val="center"/>
              <w:rPr>
                <w:sz w:val="18"/>
              </w:rPr>
            </w:pPr>
            <w:r w:rsidRPr="00F552F0">
              <w:rPr>
                <w:sz w:val="18"/>
              </w:rPr>
              <w:t>(0.06)</w:t>
            </w:r>
          </w:p>
        </w:tc>
      </w:tr>
      <w:tr w:rsidR="00543DFB" w:rsidRPr="00F552F0" w:rsidTr="00E87729">
        <w:trPr>
          <w:trHeight w:val="250"/>
        </w:trPr>
        <w:tc>
          <w:tcPr>
            <w:tcW w:w="1073" w:type="pct"/>
            <w:tcBorders>
              <w:top w:val="single" w:sz="4" w:space="0" w:color="auto"/>
            </w:tcBorders>
            <w:tcMar>
              <w:left w:w="0" w:type="dxa"/>
              <w:right w:w="0" w:type="dxa"/>
            </w:tcMar>
            <w:vAlign w:val="center"/>
          </w:tcPr>
          <w:p w:rsidR="00543DFB" w:rsidRPr="00F552F0" w:rsidRDefault="00BF6193" w:rsidP="00543DFB">
            <w:pPr>
              <w:rPr>
                <w:sz w:val="18"/>
              </w:rPr>
            </w:pPr>
            <w:r w:rsidRPr="00F552F0">
              <w:rPr>
                <w:i/>
                <w:sz w:val="18"/>
              </w:rPr>
              <w:t>R</w:t>
            </w:r>
            <w:r w:rsidR="001E4697" w:rsidRPr="00F552F0">
              <w:rPr>
                <w:sz w:val="18"/>
                <w:vertAlign w:val="superscript"/>
              </w:rPr>
              <w:t>2</w:t>
            </w:r>
          </w:p>
          <w:p w:rsidR="00543DFB" w:rsidRPr="00F552F0" w:rsidRDefault="00543DFB" w:rsidP="00543DFB">
            <w:pPr>
              <w:rPr>
                <w:sz w:val="18"/>
              </w:rPr>
            </w:pPr>
          </w:p>
        </w:tc>
        <w:tc>
          <w:tcPr>
            <w:tcW w:w="389" w:type="pct"/>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0.60</w:t>
            </w:r>
          </w:p>
        </w:tc>
        <w:tc>
          <w:tcPr>
            <w:tcW w:w="391" w:type="pct"/>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0.40</w:t>
            </w:r>
          </w:p>
        </w:tc>
        <w:tc>
          <w:tcPr>
            <w:tcW w:w="112" w:type="pct"/>
            <w:tcBorders>
              <w:top w:val="single" w:sz="4" w:space="0" w:color="auto"/>
            </w:tcBorders>
            <w:tcMar>
              <w:left w:w="0" w:type="dxa"/>
              <w:right w:w="0" w:type="dxa"/>
            </w:tcMar>
            <w:vAlign w:val="center"/>
          </w:tcPr>
          <w:p w:rsidR="00543DFB" w:rsidRPr="00F552F0" w:rsidRDefault="00543DFB" w:rsidP="00543DFB">
            <w:pPr>
              <w:jc w:val="center"/>
              <w:rPr>
                <w:sz w:val="18"/>
              </w:rPr>
            </w:pPr>
          </w:p>
        </w:tc>
        <w:tc>
          <w:tcPr>
            <w:tcW w:w="379" w:type="pct"/>
            <w:tcBorders>
              <w:top w:val="single" w:sz="4" w:space="0" w:color="auto"/>
            </w:tcBorders>
            <w:tcMar>
              <w:left w:w="0" w:type="dxa"/>
              <w:right w:w="0" w:type="dxa"/>
            </w:tcMar>
            <w:vAlign w:val="center"/>
          </w:tcPr>
          <w:p w:rsidR="00543DFB" w:rsidRPr="00F552F0" w:rsidRDefault="00543DFB" w:rsidP="00543DFB">
            <w:pPr>
              <w:jc w:val="center"/>
              <w:rPr>
                <w:sz w:val="18"/>
                <w:szCs w:val="18"/>
              </w:rPr>
            </w:pPr>
            <w:r w:rsidRPr="00F552F0">
              <w:rPr>
                <w:sz w:val="18"/>
                <w:szCs w:val="18"/>
              </w:rPr>
              <w:t>0.8</w:t>
            </w:r>
            <w:r w:rsidRPr="00F552F0">
              <w:rPr>
                <w:sz w:val="18"/>
                <w:szCs w:val="18"/>
                <w:lang w:eastAsia="zh-TW"/>
              </w:rPr>
              <w:t>6</w:t>
            </w:r>
          </w:p>
        </w:tc>
        <w:tc>
          <w:tcPr>
            <w:tcW w:w="380" w:type="pct"/>
            <w:tcBorders>
              <w:top w:val="single" w:sz="4" w:space="0" w:color="auto"/>
            </w:tcBorders>
            <w:tcMar>
              <w:left w:w="0" w:type="dxa"/>
              <w:right w:w="0" w:type="dxa"/>
            </w:tcMar>
            <w:vAlign w:val="center"/>
          </w:tcPr>
          <w:p w:rsidR="00543DFB" w:rsidRPr="00F552F0" w:rsidRDefault="00543DFB" w:rsidP="00543DFB">
            <w:pPr>
              <w:jc w:val="center"/>
              <w:rPr>
                <w:sz w:val="18"/>
                <w:szCs w:val="18"/>
              </w:rPr>
            </w:pPr>
            <w:r w:rsidRPr="00F552F0">
              <w:rPr>
                <w:sz w:val="18"/>
                <w:szCs w:val="18"/>
              </w:rPr>
              <w:t>0.8</w:t>
            </w:r>
            <w:r w:rsidRPr="00F552F0">
              <w:rPr>
                <w:sz w:val="18"/>
                <w:szCs w:val="18"/>
                <w:lang w:eastAsia="zh-TW"/>
              </w:rPr>
              <w:t>0</w:t>
            </w:r>
          </w:p>
        </w:tc>
        <w:tc>
          <w:tcPr>
            <w:tcW w:w="379" w:type="pct"/>
            <w:gridSpan w:val="2"/>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0.44</w:t>
            </w:r>
          </w:p>
        </w:tc>
        <w:tc>
          <w:tcPr>
            <w:tcW w:w="380" w:type="pct"/>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0.39</w:t>
            </w:r>
          </w:p>
        </w:tc>
        <w:tc>
          <w:tcPr>
            <w:tcW w:w="379" w:type="pct"/>
            <w:gridSpan w:val="2"/>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0.49</w:t>
            </w:r>
          </w:p>
        </w:tc>
        <w:tc>
          <w:tcPr>
            <w:tcW w:w="380" w:type="pct"/>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0.46</w:t>
            </w:r>
          </w:p>
        </w:tc>
        <w:tc>
          <w:tcPr>
            <w:tcW w:w="379" w:type="pct"/>
            <w:gridSpan w:val="2"/>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0.57</w:t>
            </w:r>
          </w:p>
        </w:tc>
        <w:tc>
          <w:tcPr>
            <w:tcW w:w="379" w:type="pct"/>
            <w:tcBorders>
              <w:top w:val="single" w:sz="4" w:space="0" w:color="auto"/>
            </w:tcBorders>
            <w:tcMar>
              <w:left w:w="0" w:type="dxa"/>
              <w:right w:w="0" w:type="dxa"/>
            </w:tcMar>
            <w:vAlign w:val="center"/>
          </w:tcPr>
          <w:p w:rsidR="00543DFB" w:rsidRPr="00F552F0" w:rsidRDefault="001E4697" w:rsidP="00543DFB">
            <w:pPr>
              <w:jc w:val="center"/>
              <w:rPr>
                <w:sz w:val="18"/>
              </w:rPr>
            </w:pPr>
            <w:r w:rsidRPr="00F552F0">
              <w:rPr>
                <w:sz w:val="18"/>
              </w:rPr>
              <w:t>0.57</w:t>
            </w:r>
          </w:p>
        </w:tc>
      </w:tr>
      <w:tr w:rsidR="00543DFB" w:rsidRPr="00F552F0" w:rsidTr="00E87729">
        <w:trPr>
          <w:trHeight w:val="418"/>
        </w:trPr>
        <w:tc>
          <w:tcPr>
            <w:tcW w:w="1073" w:type="pct"/>
            <w:tcMar>
              <w:left w:w="0" w:type="dxa"/>
              <w:right w:w="0" w:type="dxa"/>
            </w:tcMar>
            <w:vAlign w:val="center"/>
          </w:tcPr>
          <w:p w:rsidR="00543DFB" w:rsidRPr="00F552F0" w:rsidRDefault="00BF6193"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r w:rsidRPr="00F552F0">
              <w:rPr>
                <w:i/>
                <w:sz w:val="18"/>
              </w:rPr>
              <w:t>N</w:t>
            </w:r>
          </w:p>
          <w:p w:rsidR="00543DFB" w:rsidRPr="00F552F0" w:rsidRDefault="00543DFB" w:rsidP="00543DFB">
            <w:pPr>
              <w:rPr>
                <w:sz w:val="18"/>
              </w:rPr>
            </w:pPr>
          </w:p>
        </w:tc>
        <w:tc>
          <w:tcPr>
            <w:tcW w:w="389" w:type="pct"/>
            <w:tcMar>
              <w:left w:w="0" w:type="dxa"/>
              <w:right w:w="0" w:type="dxa"/>
            </w:tcMar>
            <w:vAlign w:val="center"/>
          </w:tcPr>
          <w:p w:rsidR="00543DFB" w:rsidRPr="00F552F0" w:rsidRDefault="001E4697" w:rsidP="00543DFB">
            <w:pPr>
              <w:jc w:val="center"/>
              <w:rPr>
                <w:sz w:val="18"/>
              </w:rPr>
            </w:pPr>
            <w:r w:rsidRPr="00F552F0">
              <w:rPr>
                <w:sz w:val="18"/>
              </w:rPr>
              <w:t>42</w:t>
            </w:r>
          </w:p>
        </w:tc>
        <w:tc>
          <w:tcPr>
            <w:tcW w:w="391" w:type="pct"/>
            <w:tcMar>
              <w:left w:w="0" w:type="dxa"/>
              <w:right w:w="0" w:type="dxa"/>
            </w:tcMar>
            <w:vAlign w:val="center"/>
          </w:tcPr>
          <w:p w:rsidR="00543DFB" w:rsidRPr="00F552F0" w:rsidRDefault="001E4697" w:rsidP="00543DFB">
            <w:pPr>
              <w:jc w:val="center"/>
              <w:rPr>
                <w:sz w:val="18"/>
              </w:rPr>
            </w:pPr>
            <w:r w:rsidRPr="00F552F0">
              <w:rPr>
                <w:sz w:val="18"/>
              </w:rPr>
              <w:t>42</w:t>
            </w:r>
          </w:p>
        </w:tc>
        <w:tc>
          <w:tcPr>
            <w:tcW w:w="112" w:type="pct"/>
            <w:tcMar>
              <w:left w:w="0" w:type="dxa"/>
              <w:right w:w="0" w:type="dxa"/>
            </w:tcMar>
            <w:vAlign w:val="center"/>
          </w:tcPr>
          <w:p w:rsidR="00543DFB" w:rsidRPr="00F552F0" w:rsidRDefault="00543DFB" w:rsidP="00543DFB">
            <w:pPr>
              <w:jc w:val="center"/>
              <w:rPr>
                <w:sz w:val="18"/>
              </w:rPr>
            </w:pPr>
          </w:p>
        </w:tc>
        <w:tc>
          <w:tcPr>
            <w:tcW w:w="379" w:type="pct"/>
            <w:tcMar>
              <w:left w:w="0" w:type="dxa"/>
              <w:right w:w="0" w:type="dxa"/>
            </w:tcMar>
            <w:vAlign w:val="center"/>
          </w:tcPr>
          <w:p w:rsidR="00543DFB" w:rsidRPr="00F552F0" w:rsidRDefault="001E4697" w:rsidP="00543DFB">
            <w:pPr>
              <w:jc w:val="center"/>
              <w:rPr>
                <w:sz w:val="18"/>
              </w:rPr>
            </w:pPr>
            <w:r w:rsidRPr="00F552F0">
              <w:rPr>
                <w:sz w:val="18"/>
              </w:rPr>
              <w:t>43</w:t>
            </w:r>
          </w:p>
        </w:tc>
        <w:tc>
          <w:tcPr>
            <w:tcW w:w="380" w:type="pct"/>
            <w:tcMar>
              <w:left w:w="0" w:type="dxa"/>
              <w:right w:w="0" w:type="dxa"/>
            </w:tcMar>
            <w:vAlign w:val="center"/>
          </w:tcPr>
          <w:p w:rsidR="00543DFB" w:rsidRPr="00F552F0" w:rsidRDefault="001E4697" w:rsidP="00543DFB">
            <w:pPr>
              <w:jc w:val="center"/>
              <w:rPr>
                <w:sz w:val="18"/>
              </w:rPr>
            </w:pPr>
            <w:r w:rsidRPr="00F552F0">
              <w:rPr>
                <w:sz w:val="18"/>
              </w:rPr>
              <w:t>43</w:t>
            </w:r>
          </w:p>
        </w:tc>
        <w:tc>
          <w:tcPr>
            <w:tcW w:w="379" w:type="pct"/>
            <w:gridSpan w:val="2"/>
            <w:tcMar>
              <w:left w:w="0" w:type="dxa"/>
              <w:right w:w="0" w:type="dxa"/>
            </w:tcMar>
            <w:vAlign w:val="center"/>
          </w:tcPr>
          <w:p w:rsidR="001E4697" w:rsidRPr="00F552F0" w:rsidRDefault="001E4697" w:rsidP="001E4697">
            <w:pPr>
              <w:jc w:val="center"/>
              <w:rPr>
                <w:sz w:val="18"/>
              </w:rPr>
            </w:pPr>
            <w:r w:rsidRPr="00F552F0">
              <w:rPr>
                <w:sz w:val="18"/>
              </w:rPr>
              <w:t>43</w:t>
            </w:r>
          </w:p>
        </w:tc>
        <w:tc>
          <w:tcPr>
            <w:tcW w:w="380" w:type="pct"/>
            <w:tcMar>
              <w:left w:w="0" w:type="dxa"/>
              <w:right w:w="0" w:type="dxa"/>
            </w:tcMar>
            <w:vAlign w:val="center"/>
          </w:tcPr>
          <w:p w:rsidR="001E4697" w:rsidRPr="00F552F0" w:rsidRDefault="001E4697" w:rsidP="001E4697">
            <w:pPr>
              <w:jc w:val="center"/>
              <w:rPr>
                <w:sz w:val="18"/>
              </w:rPr>
            </w:pPr>
            <w:r w:rsidRPr="00F552F0">
              <w:rPr>
                <w:sz w:val="18"/>
              </w:rPr>
              <w:t>43</w:t>
            </w:r>
          </w:p>
        </w:tc>
        <w:tc>
          <w:tcPr>
            <w:tcW w:w="379" w:type="pct"/>
            <w:gridSpan w:val="2"/>
            <w:tcMar>
              <w:left w:w="0" w:type="dxa"/>
              <w:right w:w="0" w:type="dxa"/>
            </w:tcMar>
            <w:vAlign w:val="center"/>
          </w:tcPr>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43</w:t>
            </w:r>
          </w:p>
        </w:tc>
        <w:tc>
          <w:tcPr>
            <w:tcW w:w="380" w:type="pct"/>
            <w:tcMar>
              <w:left w:w="0" w:type="dxa"/>
              <w:right w:w="0" w:type="dxa"/>
            </w:tcMar>
            <w:vAlign w:val="center"/>
          </w:tcPr>
          <w:p w:rsidR="00543DFB" w:rsidRPr="00F552F0" w:rsidRDefault="001E4697"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F552F0">
              <w:rPr>
                <w:sz w:val="18"/>
              </w:rPr>
              <w:t>43</w:t>
            </w:r>
          </w:p>
        </w:tc>
        <w:tc>
          <w:tcPr>
            <w:tcW w:w="379" w:type="pct"/>
            <w:gridSpan w:val="2"/>
            <w:tcMar>
              <w:left w:w="0" w:type="dxa"/>
              <w:right w:w="0" w:type="dxa"/>
            </w:tcMar>
            <w:vAlign w:val="center"/>
          </w:tcPr>
          <w:p w:rsidR="00543DFB" w:rsidRPr="00F552F0" w:rsidRDefault="00543DFB"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552F0">
              <w:rPr>
                <w:sz w:val="18"/>
                <w:szCs w:val="18"/>
              </w:rPr>
              <w:t>43</w:t>
            </w:r>
          </w:p>
        </w:tc>
        <w:tc>
          <w:tcPr>
            <w:tcW w:w="379" w:type="pct"/>
            <w:tcMar>
              <w:left w:w="0" w:type="dxa"/>
              <w:right w:w="0" w:type="dxa"/>
            </w:tcMar>
            <w:vAlign w:val="center"/>
          </w:tcPr>
          <w:p w:rsidR="00543DFB" w:rsidRPr="00F552F0" w:rsidRDefault="00543DFB" w:rsidP="0054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552F0">
              <w:rPr>
                <w:sz w:val="18"/>
                <w:szCs w:val="18"/>
              </w:rPr>
              <w:t>43</w:t>
            </w:r>
          </w:p>
        </w:tc>
      </w:tr>
    </w:tbl>
    <w:p w:rsidR="002D71EE" w:rsidRPr="00F552F0" w:rsidRDefault="002D71EE"/>
    <w:p w:rsidR="002D71EE" w:rsidRPr="00F552F0" w:rsidRDefault="002D71EE">
      <w:r w:rsidRPr="00F552F0">
        <w:br w:type="page"/>
      </w:r>
    </w:p>
    <w:p w:rsidR="002D71EE" w:rsidRPr="00F552F0" w:rsidRDefault="002D71EE" w:rsidP="002D71EE">
      <w:pPr>
        <w:rPr>
          <w:b/>
          <w:sz w:val="22"/>
          <w:szCs w:val="20"/>
        </w:rPr>
      </w:pPr>
      <w:proofErr w:type="gramStart"/>
      <w:r w:rsidRPr="00F552F0">
        <w:rPr>
          <w:b/>
          <w:sz w:val="22"/>
          <w:szCs w:val="20"/>
        </w:rPr>
        <w:lastRenderedPageBreak/>
        <w:t>Fig. 1.</w:t>
      </w:r>
      <w:proofErr w:type="gramEnd"/>
      <w:r w:rsidRPr="00F552F0">
        <w:rPr>
          <w:b/>
          <w:sz w:val="22"/>
          <w:szCs w:val="20"/>
        </w:rPr>
        <w:t xml:space="preserve"> </w:t>
      </w:r>
    </w:p>
    <w:p w:rsidR="002D71EE" w:rsidRPr="00F552F0" w:rsidRDefault="002D71EE" w:rsidP="002D71EE">
      <w:pPr>
        <w:jc w:val="both"/>
        <w:rPr>
          <w:sz w:val="22"/>
          <w:szCs w:val="20"/>
        </w:rPr>
      </w:pPr>
      <w:r w:rsidRPr="00F552F0">
        <w:rPr>
          <w:sz w:val="22"/>
          <w:szCs w:val="20"/>
        </w:rPr>
        <w:t xml:space="preserve">Capital allocation efficiency and the control of banks. </w:t>
      </w:r>
    </w:p>
    <w:p w:rsidR="002D71EE" w:rsidRPr="00F552F0" w:rsidRDefault="002D71EE" w:rsidP="002D71EE">
      <w:pPr>
        <w:ind w:firstLine="720"/>
        <w:jc w:val="both"/>
        <w:rPr>
          <w:i/>
          <w:sz w:val="18"/>
          <w:szCs w:val="18"/>
        </w:rPr>
      </w:pPr>
      <w:r w:rsidRPr="00F552F0">
        <w:rPr>
          <w:sz w:val="18"/>
          <w:szCs w:val="20"/>
        </w:rPr>
        <w:t xml:space="preserve">Sample includes 39 countries for which the capital allocation efficiency (1963-2003) variable is available. Observations are labeled with country codes, as defined in Table 1. The vertical axis is the efficiency of capital allocation (1963–2003), in each country and the horizontal axes in Panels A, B, and C are, respectively, the fractions of the country’s banking systems that are widely held, state-controlled, and family controlled, as in Table 3. </w:t>
      </w:r>
      <w:r w:rsidRPr="00F552F0">
        <w:rPr>
          <w:i/>
          <w:sz w:val="18"/>
          <w:szCs w:val="18"/>
        </w:rPr>
        <w:t xml:space="preserve"> </w:t>
      </w:r>
    </w:p>
    <w:p w:rsidR="0092681B" w:rsidRPr="00F552F0" w:rsidRDefault="0092681B" w:rsidP="002D71EE">
      <w:pPr>
        <w:ind w:firstLine="720"/>
        <w:jc w:val="both"/>
        <w:rPr>
          <w:i/>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607"/>
        <w:gridCol w:w="4427"/>
      </w:tblGrid>
      <w:tr w:rsidR="002D71EE" w:rsidRPr="00F552F0" w:rsidTr="00227D48">
        <w:tc>
          <w:tcPr>
            <w:tcW w:w="3437" w:type="dxa"/>
          </w:tcPr>
          <w:p w:rsidR="002D71EE" w:rsidRPr="00F552F0" w:rsidRDefault="0092681B">
            <w:pPr>
              <w:rPr>
                <w:i/>
                <w:sz w:val="18"/>
              </w:rPr>
            </w:pPr>
            <w:r w:rsidRPr="00F552F0">
              <w:rPr>
                <w:i/>
                <w:sz w:val="18"/>
              </w:rPr>
              <w:t>PANEL</w:t>
            </w:r>
            <w:r w:rsidR="002D71EE" w:rsidRPr="00F552F0">
              <w:rPr>
                <w:i/>
                <w:sz w:val="18"/>
              </w:rPr>
              <w:t xml:space="preserve"> A</w:t>
            </w:r>
            <w:r w:rsidRPr="00F552F0">
              <w:rPr>
                <w:i/>
                <w:sz w:val="18"/>
              </w:rPr>
              <w:t>.  Widely held banks</w:t>
            </w:r>
          </w:p>
        </w:tc>
        <w:tc>
          <w:tcPr>
            <w:tcW w:w="3718" w:type="dxa"/>
          </w:tcPr>
          <w:p w:rsidR="002D71EE" w:rsidRPr="00F552F0" w:rsidRDefault="0092681B">
            <w:pPr>
              <w:rPr>
                <w:i/>
                <w:sz w:val="18"/>
              </w:rPr>
            </w:pPr>
            <w:r w:rsidRPr="00F552F0">
              <w:rPr>
                <w:i/>
                <w:sz w:val="18"/>
              </w:rPr>
              <w:t>PANEL</w:t>
            </w:r>
            <w:r w:rsidR="002D71EE" w:rsidRPr="00F552F0">
              <w:rPr>
                <w:i/>
                <w:sz w:val="18"/>
              </w:rPr>
              <w:t xml:space="preserve"> B</w:t>
            </w:r>
            <w:r w:rsidRPr="00F552F0">
              <w:rPr>
                <w:i/>
                <w:sz w:val="18"/>
              </w:rPr>
              <w:t>.  Family controlled banks</w:t>
            </w:r>
          </w:p>
        </w:tc>
        <w:tc>
          <w:tcPr>
            <w:tcW w:w="6395" w:type="dxa"/>
          </w:tcPr>
          <w:p w:rsidR="002D71EE" w:rsidRPr="00F552F0" w:rsidRDefault="0092681B">
            <w:pPr>
              <w:rPr>
                <w:i/>
                <w:sz w:val="18"/>
              </w:rPr>
            </w:pPr>
            <w:r w:rsidRPr="00F552F0">
              <w:rPr>
                <w:i/>
                <w:sz w:val="18"/>
              </w:rPr>
              <w:t>PANEL</w:t>
            </w:r>
            <w:r w:rsidR="002D71EE" w:rsidRPr="00F552F0">
              <w:rPr>
                <w:i/>
                <w:sz w:val="18"/>
              </w:rPr>
              <w:t xml:space="preserve"> C</w:t>
            </w:r>
            <w:r w:rsidRPr="00F552F0">
              <w:rPr>
                <w:i/>
                <w:sz w:val="18"/>
              </w:rPr>
              <w:t>. State controlled banks</w:t>
            </w:r>
          </w:p>
        </w:tc>
      </w:tr>
      <w:tr w:rsidR="002D71EE" w:rsidRPr="00F552F0" w:rsidTr="00227D48">
        <w:tc>
          <w:tcPr>
            <w:tcW w:w="3437" w:type="dxa"/>
          </w:tcPr>
          <w:p w:rsidR="002D71EE" w:rsidRPr="00F552F0" w:rsidRDefault="004D37C9">
            <w:r w:rsidRPr="00F552F0">
              <w:rPr>
                <w:noProof/>
                <w:lang w:eastAsia="zh-CN"/>
              </w:rPr>
              <w:drawing>
                <wp:inline distT="0" distB="0" distL="0" distR="0" wp14:anchorId="7B035127" wp14:editId="494D478B">
                  <wp:extent cx="2919046" cy="416755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718" w:type="dxa"/>
          </w:tcPr>
          <w:p w:rsidR="002D71EE" w:rsidRPr="00F552F0" w:rsidRDefault="004D37C9">
            <w:r w:rsidRPr="00F552F0">
              <w:rPr>
                <w:noProof/>
                <w:lang w:eastAsia="zh-CN"/>
              </w:rPr>
              <w:drawing>
                <wp:inline distT="0" distB="0" distL="0" distR="0" wp14:anchorId="34BE7B6F" wp14:editId="0A92264C">
                  <wp:extent cx="2980592" cy="416755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6395" w:type="dxa"/>
          </w:tcPr>
          <w:p w:rsidR="002D71EE" w:rsidRPr="00F552F0" w:rsidRDefault="00227D48">
            <w:r w:rsidRPr="00F552F0">
              <w:rPr>
                <w:noProof/>
                <w:lang w:eastAsia="zh-CN"/>
              </w:rPr>
              <w:drawing>
                <wp:inline distT="0" distB="0" distL="0" distR="0" wp14:anchorId="23D3E456" wp14:editId="12EB8FF6">
                  <wp:extent cx="2857500" cy="4167554"/>
                  <wp:effectExtent l="0" t="0" r="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953EC2" w:rsidRPr="00F552F0" w:rsidRDefault="00953EC2">
      <w:pPr>
        <w:sectPr w:rsidR="00953EC2" w:rsidRPr="00F552F0" w:rsidSect="00953EC2">
          <w:type w:val="continuous"/>
          <w:pgSz w:w="15840" w:h="12240" w:orient="landscape"/>
          <w:pgMar w:top="1800" w:right="1440" w:bottom="1800" w:left="1066" w:header="720" w:footer="720" w:gutter="0"/>
          <w:cols w:space="720"/>
          <w:docGrid w:linePitch="360"/>
        </w:sectPr>
      </w:pPr>
    </w:p>
    <w:p w:rsidR="00B86D95" w:rsidRPr="00F552F0" w:rsidRDefault="001565E0" w:rsidP="00B86D95">
      <w:pPr>
        <w:rPr>
          <w:b/>
          <w:sz w:val="28"/>
          <w:szCs w:val="28"/>
        </w:rPr>
      </w:pPr>
      <w:r w:rsidRPr="00F552F0">
        <w:rPr>
          <w:b/>
          <w:sz w:val="28"/>
          <w:szCs w:val="28"/>
        </w:rPr>
        <w:lastRenderedPageBreak/>
        <w:t>References</w:t>
      </w:r>
    </w:p>
    <w:p w:rsidR="00B86D95" w:rsidRPr="00F552F0" w:rsidRDefault="00B86D95" w:rsidP="00B86D95">
      <w:pPr>
        <w:ind w:left="720" w:hanging="720"/>
        <w:jc w:val="both"/>
        <w:rPr>
          <w:sz w:val="22"/>
          <w:szCs w:val="22"/>
        </w:rPr>
      </w:pPr>
      <w:proofErr w:type="spellStart"/>
      <w:r w:rsidRPr="00F552F0">
        <w:rPr>
          <w:sz w:val="22"/>
          <w:szCs w:val="22"/>
          <w:lang w:val="en-CA"/>
        </w:rPr>
        <w:t>Acemoglu</w:t>
      </w:r>
      <w:proofErr w:type="spellEnd"/>
      <w:r w:rsidRPr="00F552F0">
        <w:rPr>
          <w:sz w:val="22"/>
          <w:szCs w:val="22"/>
          <w:lang w:val="en-CA"/>
        </w:rPr>
        <w:t xml:space="preserve">, D., Johnson, S., Robinson, J., 2001. </w:t>
      </w:r>
      <w:r w:rsidRPr="00F552F0">
        <w:rPr>
          <w:sz w:val="22"/>
          <w:szCs w:val="22"/>
        </w:rPr>
        <w:t xml:space="preserve">The colonial origins of comparative development: an empirical investigation. The American Economic Review 91, 1369-1401. </w:t>
      </w:r>
    </w:p>
    <w:p w:rsidR="00B86D95" w:rsidRPr="00F552F0" w:rsidRDefault="00B86D95" w:rsidP="00B86D95">
      <w:pPr>
        <w:autoSpaceDE w:val="0"/>
        <w:autoSpaceDN w:val="0"/>
        <w:adjustRightInd w:val="0"/>
        <w:ind w:left="720" w:hanging="720"/>
        <w:jc w:val="both"/>
        <w:rPr>
          <w:color w:val="000000"/>
          <w:sz w:val="22"/>
          <w:szCs w:val="22"/>
        </w:rPr>
      </w:pPr>
      <w:proofErr w:type="spellStart"/>
      <w:r w:rsidRPr="00F552F0">
        <w:rPr>
          <w:sz w:val="22"/>
          <w:szCs w:val="22"/>
          <w:lang w:val="en-CA"/>
        </w:rPr>
        <w:t>Acemoglu</w:t>
      </w:r>
      <w:proofErr w:type="spellEnd"/>
      <w:r w:rsidRPr="00F552F0">
        <w:rPr>
          <w:sz w:val="22"/>
          <w:szCs w:val="22"/>
          <w:lang w:val="en-CA"/>
        </w:rPr>
        <w:t xml:space="preserve">, D., Johnson, S., Robinson, J., 2005. </w:t>
      </w:r>
      <w:proofErr w:type="gramStart"/>
      <w:r w:rsidRPr="00F552F0">
        <w:rPr>
          <w:color w:val="000000"/>
          <w:sz w:val="22"/>
          <w:szCs w:val="22"/>
        </w:rPr>
        <w:t>Institutions as the fundamental cause of long-run economic growth.</w:t>
      </w:r>
      <w:proofErr w:type="gramEnd"/>
      <w:r w:rsidRPr="00F552F0">
        <w:rPr>
          <w:color w:val="000000"/>
          <w:sz w:val="22"/>
          <w:szCs w:val="22"/>
        </w:rPr>
        <w:t xml:space="preserve"> In: </w:t>
      </w:r>
      <w:proofErr w:type="spellStart"/>
      <w:r w:rsidRPr="00F552F0">
        <w:rPr>
          <w:color w:val="000000"/>
          <w:sz w:val="22"/>
          <w:szCs w:val="22"/>
        </w:rPr>
        <w:t>Aghion</w:t>
      </w:r>
      <w:proofErr w:type="spellEnd"/>
      <w:r w:rsidRPr="00F552F0">
        <w:rPr>
          <w:color w:val="000000"/>
          <w:sz w:val="22"/>
          <w:szCs w:val="22"/>
        </w:rPr>
        <w:t xml:space="preserve">, P., </w:t>
      </w:r>
      <w:proofErr w:type="spellStart"/>
      <w:r w:rsidRPr="00F552F0">
        <w:rPr>
          <w:color w:val="000000"/>
          <w:sz w:val="22"/>
          <w:szCs w:val="22"/>
        </w:rPr>
        <w:t>Durlauf</w:t>
      </w:r>
      <w:proofErr w:type="spellEnd"/>
      <w:r w:rsidRPr="00F552F0">
        <w:rPr>
          <w:color w:val="000000"/>
          <w:sz w:val="22"/>
          <w:szCs w:val="22"/>
        </w:rPr>
        <w:t>, S. (</w:t>
      </w:r>
      <w:proofErr w:type="spellStart"/>
      <w:r w:rsidRPr="00F552F0">
        <w:rPr>
          <w:color w:val="000000"/>
          <w:sz w:val="22"/>
          <w:szCs w:val="22"/>
        </w:rPr>
        <w:t>Ed.s</w:t>
      </w:r>
      <w:proofErr w:type="spellEnd"/>
      <w:r w:rsidRPr="00F552F0">
        <w:rPr>
          <w:color w:val="000000"/>
          <w:sz w:val="22"/>
          <w:szCs w:val="22"/>
        </w:rPr>
        <w:t xml:space="preserve">), Handbook of Economic Growth, </w:t>
      </w:r>
      <w:smartTag w:uri="urn:schemas-microsoft-com:office:smarttags" w:element="place">
        <w:r w:rsidRPr="00F552F0">
          <w:rPr>
            <w:color w:val="000000"/>
            <w:sz w:val="22"/>
            <w:szCs w:val="22"/>
          </w:rPr>
          <w:t>North Holland</w:t>
        </w:r>
      </w:smartTag>
      <w:r w:rsidRPr="00F552F0">
        <w:rPr>
          <w:color w:val="000000"/>
          <w:sz w:val="22"/>
          <w:szCs w:val="22"/>
        </w:rPr>
        <w:t>, pp.</w:t>
      </w:r>
      <w:r w:rsidRPr="00F552F0">
        <w:rPr>
          <w:sz w:val="22"/>
          <w:szCs w:val="22"/>
        </w:rPr>
        <w:t xml:space="preserve"> 385-472.</w:t>
      </w:r>
    </w:p>
    <w:p w:rsidR="00B86D95" w:rsidRPr="00F552F0" w:rsidRDefault="00B86D95" w:rsidP="00B86D95">
      <w:pPr>
        <w:ind w:left="720" w:hanging="720"/>
        <w:jc w:val="both"/>
        <w:rPr>
          <w:rFonts w:eastAsia="Times New Roman"/>
          <w:sz w:val="22"/>
          <w:szCs w:val="22"/>
        </w:rPr>
      </w:pPr>
      <w:proofErr w:type="spellStart"/>
      <w:r w:rsidRPr="00F552F0">
        <w:rPr>
          <w:rFonts w:eastAsia="Times New Roman"/>
          <w:sz w:val="22"/>
          <w:szCs w:val="22"/>
        </w:rPr>
        <w:t>Aghion</w:t>
      </w:r>
      <w:proofErr w:type="spellEnd"/>
      <w:r w:rsidRPr="00F552F0">
        <w:rPr>
          <w:rFonts w:eastAsia="Times New Roman"/>
          <w:sz w:val="22"/>
          <w:szCs w:val="22"/>
        </w:rPr>
        <w:t xml:space="preserve">, P., </w:t>
      </w:r>
      <w:proofErr w:type="spellStart"/>
      <w:r w:rsidRPr="00F552F0">
        <w:rPr>
          <w:rFonts w:eastAsia="Times New Roman"/>
          <w:sz w:val="22"/>
          <w:szCs w:val="22"/>
        </w:rPr>
        <w:t>Howitt</w:t>
      </w:r>
      <w:proofErr w:type="spellEnd"/>
      <w:r w:rsidRPr="00F552F0">
        <w:rPr>
          <w:rFonts w:eastAsia="Times New Roman"/>
          <w:sz w:val="22"/>
          <w:szCs w:val="22"/>
        </w:rPr>
        <w:t xml:space="preserve">, P., 1997. </w:t>
      </w:r>
      <w:proofErr w:type="gramStart"/>
      <w:r w:rsidRPr="00F552F0">
        <w:rPr>
          <w:rFonts w:eastAsia="Times New Roman"/>
          <w:sz w:val="22"/>
          <w:szCs w:val="22"/>
        </w:rPr>
        <w:t>Endogenous Growth Theory.</w:t>
      </w:r>
      <w:proofErr w:type="gramEnd"/>
      <w:r w:rsidRPr="00F552F0">
        <w:rPr>
          <w:rFonts w:eastAsia="Times New Roman"/>
          <w:sz w:val="22"/>
          <w:szCs w:val="22"/>
        </w:rPr>
        <w:t xml:space="preserve"> </w:t>
      </w:r>
      <w:proofErr w:type="gramStart"/>
      <w:r w:rsidRPr="00F552F0">
        <w:rPr>
          <w:rFonts w:eastAsia="Times New Roman"/>
          <w:sz w:val="22"/>
          <w:szCs w:val="22"/>
        </w:rPr>
        <w:t>MIT Press.</w:t>
      </w:r>
      <w:proofErr w:type="gramEnd"/>
      <w:r w:rsidRPr="00F552F0">
        <w:rPr>
          <w:rFonts w:eastAsia="Times New Roman"/>
          <w:sz w:val="22"/>
          <w:szCs w:val="22"/>
        </w:rPr>
        <w:t xml:space="preserve"> </w:t>
      </w:r>
    </w:p>
    <w:p w:rsidR="00B86D95" w:rsidRPr="00F552F0" w:rsidRDefault="00B86D95" w:rsidP="00B86D95">
      <w:pPr>
        <w:ind w:left="720" w:hanging="720"/>
        <w:jc w:val="both"/>
        <w:rPr>
          <w:rFonts w:eastAsia="Times New Roman"/>
          <w:sz w:val="22"/>
          <w:szCs w:val="22"/>
        </w:rPr>
      </w:pPr>
      <w:proofErr w:type="spellStart"/>
      <w:proofErr w:type="gramStart"/>
      <w:r w:rsidRPr="00F552F0">
        <w:rPr>
          <w:rFonts w:eastAsia="Times New Roman"/>
          <w:sz w:val="22"/>
          <w:szCs w:val="22"/>
        </w:rPr>
        <w:t>Aghion</w:t>
      </w:r>
      <w:proofErr w:type="spellEnd"/>
      <w:r w:rsidRPr="00F552F0">
        <w:rPr>
          <w:rFonts w:eastAsia="Times New Roman"/>
          <w:sz w:val="22"/>
          <w:szCs w:val="22"/>
        </w:rPr>
        <w:t xml:space="preserve">, P., </w:t>
      </w:r>
      <w:proofErr w:type="spellStart"/>
      <w:r w:rsidRPr="00F552F0">
        <w:rPr>
          <w:rFonts w:eastAsia="Times New Roman"/>
          <w:sz w:val="22"/>
          <w:szCs w:val="22"/>
        </w:rPr>
        <w:t>Howitt</w:t>
      </w:r>
      <w:proofErr w:type="spellEnd"/>
      <w:r w:rsidRPr="00F552F0">
        <w:rPr>
          <w:rFonts w:eastAsia="Times New Roman"/>
          <w:sz w:val="22"/>
          <w:szCs w:val="22"/>
        </w:rPr>
        <w:t>, P., Mayer-</w:t>
      </w:r>
      <w:proofErr w:type="spellStart"/>
      <w:r w:rsidRPr="00F552F0">
        <w:rPr>
          <w:rFonts w:eastAsia="Times New Roman"/>
          <w:sz w:val="22"/>
          <w:szCs w:val="22"/>
        </w:rPr>
        <w:t>Foulkes</w:t>
      </w:r>
      <w:proofErr w:type="spellEnd"/>
      <w:r w:rsidRPr="00F552F0">
        <w:rPr>
          <w:rFonts w:eastAsia="Times New Roman"/>
          <w:sz w:val="22"/>
          <w:szCs w:val="22"/>
        </w:rPr>
        <w:t>, D., 2005.</w:t>
      </w:r>
      <w:proofErr w:type="gramEnd"/>
      <w:r w:rsidRPr="00F552F0">
        <w:rPr>
          <w:rFonts w:eastAsia="Times New Roman"/>
          <w:sz w:val="22"/>
          <w:szCs w:val="22"/>
        </w:rPr>
        <w:t xml:space="preserve"> The effect of financial development on convergence: theory and evidence. Quarterly Journal of Economics 120, 173-222. </w:t>
      </w:r>
    </w:p>
    <w:p w:rsidR="00B86D95" w:rsidRPr="00F552F0" w:rsidRDefault="00B86D95" w:rsidP="00B86D95">
      <w:pPr>
        <w:autoSpaceDE w:val="0"/>
        <w:autoSpaceDN w:val="0"/>
        <w:adjustRightInd w:val="0"/>
        <w:ind w:left="720" w:hanging="720"/>
        <w:jc w:val="both"/>
        <w:rPr>
          <w:color w:val="000000"/>
          <w:sz w:val="22"/>
          <w:szCs w:val="22"/>
        </w:rPr>
      </w:pPr>
      <w:proofErr w:type="gramStart"/>
      <w:r w:rsidRPr="00F552F0">
        <w:rPr>
          <w:color w:val="000000"/>
          <w:sz w:val="22"/>
          <w:szCs w:val="22"/>
        </w:rPr>
        <w:t>Allen, F., Gale, D., 2007.</w:t>
      </w:r>
      <w:proofErr w:type="gramEnd"/>
      <w:r w:rsidRPr="00F552F0">
        <w:rPr>
          <w:color w:val="000000"/>
          <w:sz w:val="22"/>
          <w:szCs w:val="22"/>
        </w:rPr>
        <w:t xml:space="preserve"> </w:t>
      </w:r>
      <w:proofErr w:type="gramStart"/>
      <w:r w:rsidRPr="00F552F0">
        <w:rPr>
          <w:color w:val="000000"/>
          <w:sz w:val="22"/>
          <w:szCs w:val="22"/>
        </w:rPr>
        <w:t>Understanding Financial Crises, Oxford University Press.</w:t>
      </w:r>
      <w:proofErr w:type="gramEnd"/>
      <w:r w:rsidRPr="00F552F0">
        <w:rPr>
          <w:color w:val="000000"/>
          <w:sz w:val="22"/>
          <w:szCs w:val="22"/>
        </w:rPr>
        <w:t xml:space="preserve"> </w:t>
      </w:r>
      <w:smartTag w:uri="urn:schemas-microsoft-com:office:smarttags" w:element="State">
        <w:smartTag w:uri="urn:schemas-microsoft-com:office:smarttags" w:element="place">
          <w:r w:rsidRPr="00F552F0">
            <w:rPr>
              <w:color w:val="000000"/>
              <w:sz w:val="22"/>
              <w:szCs w:val="22"/>
            </w:rPr>
            <w:t>New York</w:t>
          </w:r>
        </w:smartTag>
      </w:smartTag>
      <w:r w:rsidRPr="00F552F0">
        <w:rPr>
          <w:color w:val="000000"/>
          <w:sz w:val="22"/>
          <w:szCs w:val="22"/>
        </w:rPr>
        <w:t>.</w:t>
      </w:r>
    </w:p>
    <w:p w:rsidR="00BE7518" w:rsidRPr="00F552F0" w:rsidRDefault="00A43F7C" w:rsidP="00BE7518">
      <w:pPr>
        <w:ind w:left="720" w:hanging="720"/>
        <w:jc w:val="both"/>
        <w:rPr>
          <w:sz w:val="22"/>
          <w:szCs w:val="22"/>
        </w:rPr>
      </w:pPr>
      <w:r w:rsidRPr="00F552F0">
        <w:rPr>
          <w:sz w:val="22"/>
          <w:szCs w:val="22"/>
          <w:lang w:val="de-DE"/>
        </w:rPr>
        <w:t>Almeida, H. and Wolfenzon, D</w:t>
      </w:r>
      <w:r w:rsidR="00BE7518" w:rsidRPr="00F552F0">
        <w:rPr>
          <w:sz w:val="22"/>
          <w:szCs w:val="22"/>
          <w:lang w:val="de-DE"/>
        </w:rPr>
        <w:t xml:space="preserve">. </w:t>
      </w:r>
      <w:r w:rsidR="00BE7518" w:rsidRPr="00F552F0">
        <w:rPr>
          <w:sz w:val="22"/>
          <w:szCs w:val="22"/>
        </w:rPr>
        <w:t xml:space="preserve">2006a. </w:t>
      </w:r>
      <w:proofErr w:type="gramStart"/>
      <w:r w:rsidR="00BE7518" w:rsidRPr="00F552F0">
        <w:rPr>
          <w:sz w:val="22"/>
          <w:szCs w:val="22"/>
        </w:rPr>
        <w:t>A</w:t>
      </w:r>
      <w:proofErr w:type="gramEnd"/>
      <w:r w:rsidR="00BE7518" w:rsidRPr="00F552F0">
        <w:rPr>
          <w:sz w:val="22"/>
          <w:szCs w:val="22"/>
        </w:rPr>
        <w:t xml:space="preserve"> theory of pyramidal ownership and family business groups. </w:t>
      </w:r>
      <w:r w:rsidR="00BE7518" w:rsidRPr="00F552F0">
        <w:rPr>
          <w:i/>
          <w:sz w:val="22"/>
          <w:szCs w:val="22"/>
        </w:rPr>
        <w:t>Journal of Finance</w:t>
      </w:r>
      <w:r w:rsidR="00BE7518" w:rsidRPr="00F552F0">
        <w:rPr>
          <w:sz w:val="22"/>
          <w:szCs w:val="22"/>
        </w:rPr>
        <w:t xml:space="preserve"> 61 6, 2637-2680. </w:t>
      </w:r>
    </w:p>
    <w:p w:rsidR="00B86D95" w:rsidRPr="00F552F0" w:rsidRDefault="00B86D95" w:rsidP="00B86D95">
      <w:pPr>
        <w:ind w:left="720" w:hanging="720"/>
        <w:jc w:val="both"/>
        <w:rPr>
          <w:sz w:val="22"/>
          <w:szCs w:val="22"/>
        </w:rPr>
      </w:pPr>
      <w:r w:rsidRPr="00F552F0">
        <w:rPr>
          <w:sz w:val="22"/>
          <w:szCs w:val="22"/>
          <w:lang w:val="de-DE"/>
        </w:rPr>
        <w:t xml:space="preserve">Almeida, H., Wolfenzon, D., </w:t>
      </w:r>
      <w:r w:rsidRPr="00F552F0">
        <w:rPr>
          <w:sz w:val="22"/>
          <w:szCs w:val="22"/>
        </w:rPr>
        <w:t>2006</w:t>
      </w:r>
      <w:r w:rsidR="00BE7518" w:rsidRPr="00F552F0">
        <w:rPr>
          <w:sz w:val="22"/>
          <w:szCs w:val="22"/>
        </w:rPr>
        <w:t>b</w:t>
      </w:r>
      <w:r w:rsidRPr="00F552F0">
        <w:rPr>
          <w:sz w:val="22"/>
          <w:szCs w:val="22"/>
        </w:rPr>
        <w:t xml:space="preserve">. </w:t>
      </w:r>
      <w:proofErr w:type="gramStart"/>
      <w:r w:rsidRPr="00F552F0">
        <w:rPr>
          <w:sz w:val="22"/>
          <w:szCs w:val="22"/>
        </w:rPr>
        <w:t>Should</w:t>
      </w:r>
      <w:proofErr w:type="gramEnd"/>
      <w:r w:rsidRPr="00F552F0">
        <w:rPr>
          <w:sz w:val="22"/>
          <w:szCs w:val="22"/>
        </w:rPr>
        <w:t xml:space="preserve"> business groups be dismantled? </w:t>
      </w:r>
      <w:proofErr w:type="gramStart"/>
      <w:r w:rsidRPr="00F552F0">
        <w:rPr>
          <w:sz w:val="22"/>
          <w:szCs w:val="22"/>
        </w:rPr>
        <w:t>the</w:t>
      </w:r>
      <w:proofErr w:type="gramEnd"/>
      <w:r w:rsidRPr="00F552F0">
        <w:rPr>
          <w:sz w:val="22"/>
          <w:szCs w:val="22"/>
        </w:rPr>
        <w:t xml:space="preserve"> equilibrium costs of efficient internal capital markets. Journal of Financial Economics 79, 99-144. </w:t>
      </w:r>
    </w:p>
    <w:p w:rsidR="00B86D95" w:rsidRPr="00F552F0" w:rsidRDefault="00B86D95" w:rsidP="00B86D95">
      <w:pPr>
        <w:ind w:left="720" w:hanging="720"/>
        <w:jc w:val="both"/>
        <w:rPr>
          <w:sz w:val="22"/>
          <w:szCs w:val="22"/>
        </w:rPr>
      </w:pPr>
      <w:proofErr w:type="spellStart"/>
      <w:r w:rsidRPr="00F552F0">
        <w:rPr>
          <w:sz w:val="22"/>
          <w:szCs w:val="22"/>
        </w:rPr>
        <w:t>Aronoff</w:t>
      </w:r>
      <w:proofErr w:type="spellEnd"/>
      <w:r w:rsidRPr="00F552F0">
        <w:rPr>
          <w:sz w:val="22"/>
          <w:szCs w:val="22"/>
        </w:rPr>
        <w:t xml:space="preserve">, C., Ward, J., 2000. More </w:t>
      </w:r>
      <w:proofErr w:type="gramStart"/>
      <w:r w:rsidR="00BE7518" w:rsidRPr="00F552F0">
        <w:rPr>
          <w:sz w:val="22"/>
          <w:szCs w:val="22"/>
        </w:rPr>
        <w:t>T</w:t>
      </w:r>
      <w:r w:rsidRPr="00F552F0">
        <w:rPr>
          <w:sz w:val="22"/>
          <w:szCs w:val="22"/>
        </w:rPr>
        <w:t>han</w:t>
      </w:r>
      <w:proofErr w:type="gramEnd"/>
      <w:r w:rsidRPr="00F552F0">
        <w:rPr>
          <w:sz w:val="22"/>
          <w:szCs w:val="22"/>
        </w:rPr>
        <w:t xml:space="preserve"> </w:t>
      </w:r>
      <w:r w:rsidR="00BE7518" w:rsidRPr="00F552F0">
        <w:rPr>
          <w:sz w:val="22"/>
          <w:szCs w:val="22"/>
        </w:rPr>
        <w:t>F</w:t>
      </w:r>
      <w:r w:rsidRPr="00F552F0">
        <w:rPr>
          <w:sz w:val="22"/>
          <w:szCs w:val="22"/>
        </w:rPr>
        <w:t xml:space="preserve">amily: </w:t>
      </w:r>
      <w:r w:rsidR="00BE7518" w:rsidRPr="00F552F0">
        <w:rPr>
          <w:sz w:val="22"/>
          <w:szCs w:val="22"/>
        </w:rPr>
        <w:t>N</w:t>
      </w:r>
      <w:r w:rsidRPr="00F552F0">
        <w:rPr>
          <w:sz w:val="22"/>
          <w:szCs w:val="22"/>
        </w:rPr>
        <w:t>on-</w:t>
      </w:r>
      <w:r w:rsidR="00BE7518" w:rsidRPr="00F552F0">
        <w:rPr>
          <w:sz w:val="22"/>
          <w:szCs w:val="22"/>
        </w:rPr>
        <w:t>F</w:t>
      </w:r>
      <w:r w:rsidRPr="00F552F0">
        <w:rPr>
          <w:sz w:val="22"/>
          <w:szCs w:val="22"/>
        </w:rPr>
        <w:t xml:space="preserve">amily </w:t>
      </w:r>
      <w:r w:rsidR="00BE7518" w:rsidRPr="00F552F0">
        <w:rPr>
          <w:sz w:val="22"/>
          <w:szCs w:val="22"/>
        </w:rPr>
        <w:t>E</w:t>
      </w:r>
      <w:r w:rsidRPr="00F552F0">
        <w:rPr>
          <w:sz w:val="22"/>
          <w:szCs w:val="22"/>
        </w:rPr>
        <w:t xml:space="preserve">xecutives in the </w:t>
      </w:r>
      <w:r w:rsidR="00BE7518" w:rsidRPr="00F552F0">
        <w:rPr>
          <w:sz w:val="22"/>
          <w:szCs w:val="22"/>
        </w:rPr>
        <w:t>F</w:t>
      </w:r>
      <w:r w:rsidRPr="00F552F0">
        <w:rPr>
          <w:sz w:val="22"/>
          <w:szCs w:val="22"/>
        </w:rPr>
        <w:t xml:space="preserve">amily </w:t>
      </w:r>
      <w:r w:rsidR="00BE7518" w:rsidRPr="00F552F0">
        <w:rPr>
          <w:sz w:val="22"/>
          <w:szCs w:val="22"/>
        </w:rPr>
        <w:t>B</w:t>
      </w:r>
      <w:r w:rsidRPr="00F552F0">
        <w:rPr>
          <w:sz w:val="22"/>
          <w:szCs w:val="22"/>
        </w:rPr>
        <w:t>usiness.</w:t>
      </w:r>
      <w:r w:rsidR="00BE7518" w:rsidRPr="00F552F0">
        <w:rPr>
          <w:sz w:val="22"/>
          <w:szCs w:val="22"/>
        </w:rPr>
        <w:t xml:space="preserve"> </w:t>
      </w:r>
      <w:proofErr w:type="gramStart"/>
      <w:r w:rsidR="00BE7518" w:rsidRPr="00F552F0">
        <w:rPr>
          <w:sz w:val="22"/>
          <w:szCs w:val="22"/>
        </w:rPr>
        <w:t>Family Enterprise Publishers, Marietta, GA.</w:t>
      </w:r>
      <w:proofErr w:type="gramEnd"/>
      <w:r w:rsidRPr="00F552F0">
        <w:rPr>
          <w:sz w:val="22"/>
          <w:szCs w:val="22"/>
        </w:rPr>
        <w:t xml:space="preserve"> </w:t>
      </w:r>
    </w:p>
    <w:p w:rsidR="00B86D95" w:rsidRPr="00F552F0" w:rsidRDefault="00B86D95" w:rsidP="00B86D95">
      <w:pPr>
        <w:ind w:left="720" w:hanging="720"/>
        <w:jc w:val="both"/>
        <w:rPr>
          <w:sz w:val="22"/>
          <w:szCs w:val="22"/>
        </w:rPr>
      </w:pPr>
      <w:proofErr w:type="spellStart"/>
      <w:proofErr w:type="gramStart"/>
      <w:r w:rsidRPr="00F552F0">
        <w:rPr>
          <w:sz w:val="22"/>
          <w:szCs w:val="22"/>
        </w:rPr>
        <w:t>Bank</w:t>
      </w:r>
      <w:r w:rsidR="00A43F7C" w:rsidRPr="00F552F0">
        <w:rPr>
          <w:sz w:val="22"/>
          <w:szCs w:val="22"/>
        </w:rPr>
        <w:t>s</w:t>
      </w:r>
      <w:r w:rsidRPr="00F552F0">
        <w:rPr>
          <w:sz w:val="22"/>
          <w:szCs w:val="22"/>
        </w:rPr>
        <w:t>cope</w:t>
      </w:r>
      <w:proofErr w:type="spellEnd"/>
      <w:r w:rsidRPr="00F552F0">
        <w:rPr>
          <w:sz w:val="22"/>
          <w:szCs w:val="22"/>
        </w:rPr>
        <w:t>.</w:t>
      </w:r>
      <w:proofErr w:type="gramEnd"/>
      <w:r w:rsidRPr="00F552F0">
        <w:rPr>
          <w:sz w:val="22"/>
          <w:szCs w:val="22"/>
        </w:rPr>
        <w:t xml:space="preserve"> Bureau Van </w:t>
      </w:r>
      <w:proofErr w:type="spellStart"/>
      <w:r w:rsidRPr="00F552F0">
        <w:rPr>
          <w:sz w:val="22"/>
          <w:szCs w:val="22"/>
        </w:rPr>
        <w:t>Dijk</w:t>
      </w:r>
      <w:proofErr w:type="spellEnd"/>
      <w:r w:rsidRPr="00F552F0">
        <w:rPr>
          <w:sz w:val="22"/>
          <w:szCs w:val="22"/>
        </w:rPr>
        <w:t xml:space="preserve"> Electronic Publishing, www.bankscope.com.</w:t>
      </w:r>
    </w:p>
    <w:p w:rsidR="00B86D95" w:rsidRPr="00F552F0" w:rsidRDefault="00B86D95" w:rsidP="00B86D95">
      <w:pPr>
        <w:ind w:left="720" w:hanging="720"/>
        <w:jc w:val="both"/>
        <w:rPr>
          <w:sz w:val="22"/>
          <w:szCs w:val="22"/>
        </w:rPr>
      </w:pPr>
      <w:proofErr w:type="spellStart"/>
      <w:r w:rsidRPr="00F552F0">
        <w:rPr>
          <w:sz w:val="22"/>
          <w:szCs w:val="22"/>
        </w:rPr>
        <w:t>Barro</w:t>
      </w:r>
      <w:proofErr w:type="spellEnd"/>
      <w:r w:rsidRPr="00F552F0">
        <w:rPr>
          <w:sz w:val="22"/>
          <w:szCs w:val="22"/>
        </w:rPr>
        <w:t xml:space="preserve">, R., 1997. Determinants of Economic Growth: A Cross-Country Empirical Study. </w:t>
      </w:r>
      <w:proofErr w:type="gramStart"/>
      <w:r w:rsidRPr="00F552F0">
        <w:rPr>
          <w:sz w:val="22"/>
          <w:szCs w:val="22"/>
        </w:rPr>
        <w:t>MIT Press.</w:t>
      </w:r>
      <w:proofErr w:type="gramEnd"/>
      <w:r w:rsidRPr="00F552F0">
        <w:rPr>
          <w:sz w:val="22"/>
          <w:szCs w:val="22"/>
        </w:rPr>
        <w:t xml:space="preserve"> </w:t>
      </w:r>
      <w:smartTag w:uri="urn:schemas-microsoft-com:office:smarttags" w:element="place">
        <w:smartTag w:uri="urn:schemas-microsoft-com:office:smarttags" w:element="City">
          <w:r w:rsidRPr="00F552F0">
            <w:rPr>
              <w:sz w:val="22"/>
              <w:szCs w:val="22"/>
            </w:rPr>
            <w:t>Cambridge</w:t>
          </w:r>
        </w:smartTag>
        <w:r w:rsidRPr="00F552F0">
          <w:rPr>
            <w:sz w:val="22"/>
            <w:szCs w:val="22"/>
          </w:rPr>
          <w:t xml:space="preserve">, </w:t>
        </w:r>
        <w:smartTag w:uri="urn:schemas-microsoft-com:office:smarttags" w:element="State">
          <w:r w:rsidRPr="00F552F0">
            <w:rPr>
              <w:sz w:val="22"/>
              <w:szCs w:val="22"/>
            </w:rPr>
            <w:t>Mass.</w:t>
          </w:r>
        </w:smartTag>
      </w:smartTag>
    </w:p>
    <w:p w:rsidR="00B86D95" w:rsidRPr="00F552F0" w:rsidRDefault="00B86D95" w:rsidP="00B86D95">
      <w:pPr>
        <w:ind w:left="720" w:hanging="720"/>
        <w:jc w:val="both"/>
        <w:rPr>
          <w:sz w:val="22"/>
          <w:szCs w:val="22"/>
        </w:rPr>
      </w:pPr>
      <w:proofErr w:type="spellStart"/>
      <w:r w:rsidRPr="00F552F0">
        <w:rPr>
          <w:sz w:val="22"/>
          <w:szCs w:val="22"/>
        </w:rPr>
        <w:t>Barro</w:t>
      </w:r>
      <w:proofErr w:type="spellEnd"/>
      <w:r w:rsidRPr="00F552F0">
        <w:rPr>
          <w:sz w:val="22"/>
          <w:szCs w:val="22"/>
        </w:rPr>
        <w:t xml:space="preserve">, R., 1991. </w:t>
      </w:r>
      <w:proofErr w:type="gramStart"/>
      <w:r w:rsidRPr="00F552F0">
        <w:rPr>
          <w:sz w:val="22"/>
          <w:szCs w:val="22"/>
        </w:rPr>
        <w:t>Economic growth in a cross section of countries.</w:t>
      </w:r>
      <w:proofErr w:type="gramEnd"/>
      <w:r w:rsidRPr="00F552F0">
        <w:rPr>
          <w:sz w:val="22"/>
          <w:szCs w:val="22"/>
        </w:rPr>
        <w:t xml:space="preserve"> The Quarterly Journal of Economics 106, 407-443.</w:t>
      </w:r>
    </w:p>
    <w:p w:rsidR="00B86D95" w:rsidRPr="00F552F0" w:rsidRDefault="00B86D95" w:rsidP="00B86D95">
      <w:pPr>
        <w:ind w:left="720" w:hanging="720"/>
        <w:jc w:val="both"/>
        <w:rPr>
          <w:sz w:val="22"/>
          <w:szCs w:val="22"/>
        </w:rPr>
      </w:pPr>
      <w:proofErr w:type="spellStart"/>
      <w:r w:rsidRPr="00F552F0">
        <w:rPr>
          <w:sz w:val="22"/>
          <w:szCs w:val="22"/>
        </w:rPr>
        <w:t>Barro</w:t>
      </w:r>
      <w:proofErr w:type="spellEnd"/>
      <w:r w:rsidRPr="00F552F0">
        <w:rPr>
          <w:sz w:val="22"/>
          <w:szCs w:val="22"/>
        </w:rPr>
        <w:t xml:space="preserve">, R., 2001. </w:t>
      </w:r>
      <w:proofErr w:type="gramStart"/>
      <w:r w:rsidRPr="00F552F0">
        <w:rPr>
          <w:sz w:val="22"/>
          <w:szCs w:val="22"/>
        </w:rPr>
        <w:t>Human capital and growth.</w:t>
      </w:r>
      <w:proofErr w:type="gramEnd"/>
      <w:r w:rsidRPr="00F552F0">
        <w:rPr>
          <w:sz w:val="22"/>
          <w:szCs w:val="22"/>
        </w:rPr>
        <w:t xml:space="preserve"> The American Economic Review 91, 12-17.</w:t>
      </w:r>
    </w:p>
    <w:p w:rsidR="00A43F7C" w:rsidRPr="00F552F0" w:rsidRDefault="00A43F7C" w:rsidP="00A43F7C">
      <w:pPr>
        <w:ind w:left="720" w:hanging="720"/>
        <w:jc w:val="both"/>
        <w:rPr>
          <w:sz w:val="22"/>
          <w:szCs w:val="22"/>
        </w:rPr>
      </w:pPr>
      <w:proofErr w:type="spellStart"/>
      <w:r w:rsidRPr="00F552F0">
        <w:rPr>
          <w:sz w:val="22"/>
          <w:szCs w:val="22"/>
        </w:rPr>
        <w:t>Barro</w:t>
      </w:r>
      <w:proofErr w:type="spellEnd"/>
      <w:r w:rsidRPr="00F552F0">
        <w:rPr>
          <w:sz w:val="22"/>
          <w:szCs w:val="22"/>
        </w:rPr>
        <w:t>, R., Lee, J., 1996. International measures of schooling years and schooling quality. American Economic Review 86, 218-223.</w:t>
      </w:r>
    </w:p>
    <w:p w:rsidR="00B86D95" w:rsidRPr="00F552F0" w:rsidRDefault="00B86D95" w:rsidP="00B86D95">
      <w:pPr>
        <w:ind w:left="720" w:hanging="720"/>
        <w:jc w:val="both"/>
        <w:rPr>
          <w:sz w:val="22"/>
          <w:szCs w:val="22"/>
        </w:rPr>
      </w:pPr>
      <w:proofErr w:type="spellStart"/>
      <w:r w:rsidRPr="00F552F0">
        <w:rPr>
          <w:sz w:val="22"/>
          <w:szCs w:val="22"/>
        </w:rPr>
        <w:t>Bebchuk</w:t>
      </w:r>
      <w:proofErr w:type="spellEnd"/>
      <w:r w:rsidRPr="00F552F0">
        <w:rPr>
          <w:sz w:val="22"/>
          <w:szCs w:val="22"/>
        </w:rPr>
        <w:t xml:space="preserve">, L., </w:t>
      </w:r>
      <w:proofErr w:type="spellStart"/>
      <w:r w:rsidRPr="00F552F0">
        <w:rPr>
          <w:sz w:val="22"/>
          <w:szCs w:val="22"/>
        </w:rPr>
        <w:t>Kraakman</w:t>
      </w:r>
      <w:proofErr w:type="spellEnd"/>
      <w:r w:rsidRPr="00F552F0">
        <w:rPr>
          <w:sz w:val="22"/>
          <w:szCs w:val="22"/>
        </w:rPr>
        <w:t xml:space="preserve">, R., Triantis, G., 2000. Stock pyramids, cross-ownership, and dual class equity: the mechanisms and agency costs of separating control from cash-flow rights. In: Morck, R. (Ed.), Concentrated Corporate Ownership. </w:t>
      </w:r>
      <w:smartTag w:uri="urn:schemas-microsoft-com:office:smarttags" w:element="PlaceType">
        <w:r w:rsidRPr="00F552F0">
          <w:rPr>
            <w:sz w:val="22"/>
            <w:szCs w:val="22"/>
          </w:rPr>
          <w:t>University</w:t>
        </w:r>
      </w:smartTag>
      <w:r w:rsidRPr="00F552F0">
        <w:rPr>
          <w:sz w:val="22"/>
          <w:szCs w:val="22"/>
        </w:rPr>
        <w:t xml:space="preserve"> of </w:t>
      </w:r>
      <w:smartTag w:uri="urn:schemas-microsoft-com:office:smarttags" w:element="PlaceName">
        <w:r w:rsidRPr="00F552F0">
          <w:rPr>
            <w:sz w:val="22"/>
            <w:szCs w:val="22"/>
          </w:rPr>
          <w:t>Chicago</w:t>
        </w:r>
      </w:smartTag>
      <w:r w:rsidRPr="00F552F0">
        <w:rPr>
          <w:sz w:val="22"/>
          <w:szCs w:val="22"/>
        </w:rPr>
        <w:t xml:space="preserve"> Press, </w:t>
      </w:r>
      <w:smartTag w:uri="urn:schemas-microsoft-com:office:smarttags" w:element="City">
        <w:r w:rsidRPr="00F552F0">
          <w:rPr>
            <w:sz w:val="22"/>
            <w:szCs w:val="22"/>
          </w:rPr>
          <w:t>Chicago</w:t>
        </w:r>
      </w:smartTag>
      <w:r w:rsidRPr="00F552F0">
        <w:rPr>
          <w:sz w:val="22"/>
          <w:szCs w:val="22"/>
        </w:rPr>
        <w:t xml:space="preserve"> and </w:t>
      </w:r>
      <w:smartTag w:uri="urn:schemas-microsoft-com:office:smarttags" w:element="City">
        <w:smartTag w:uri="urn:schemas-microsoft-com:office:smarttags" w:element="place">
          <w:r w:rsidRPr="00F552F0">
            <w:rPr>
              <w:sz w:val="22"/>
              <w:szCs w:val="22"/>
            </w:rPr>
            <w:t>London</w:t>
          </w:r>
        </w:smartTag>
      </w:smartTag>
      <w:r w:rsidRPr="00F552F0">
        <w:rPr>
          <w:sz w:val="22"/>
          <w:szCs w:val="22"/>
        </w:rPr>
        <w:t>, 295-315.</w:t>
      </w:r>
    </w:p>
    <w:p w:rsidR="00B86D95" w:rsidRPr="00F552F0" w:rsidRDefault="00B86D95" w:rsidP="00B86D95">
      <w:pPr>
        <w:ind w:left="720" w:hanging="720"/>
        <w:jc w:val="both"/>
        <w:rPr>
          <w:sz w:val="22"/>
          <w:szCs w:val="22"/>
        </w:rPr>
      </w:pPr>
      <w:proofErr w:type="gramStart"/>
      <w:r w:rsidRPr="00F552F0">
        <w:rPr>
          <w:sz w:val="22"/>
          <w:szCs w:val="22"/>
        </w:rPr>
        <w:t>Beck, T., 2003.</w:t>
      </w:r>
      <w:proofErr w:type="gramEnd"/>
      <w:r w:rsidRPr="00F552F0">
        <w:rPr>
          <w:sz w:val="22"/>
          <w:szCs w:val="22"/>
        </w:rPr>
        <w:t xml:space="preserve"> </w:t>
      </w:r>
      <w:proofErr w:type="gramStart"/>
      <w:r w:rsidRPr="00F552F0">
        <w:rPr>
          <w:sz w:val="22"/>
          <w:szCs w:val="22"/>
        </w:rPr>
        <w:t>Financial dependence and international trade.</w:t>
      </w:r>
      <w:proofErr w:type="gramEnd"/>
      <w:r w:rsidRPr="00F552F0">
        <w:rPr>
          <w:sz w:val="22"/>
          <w:szCs w:val="22"/>
        </w:rPr>
        <w:t xml:space="preserve"> Review of International Economics 11, 296 – 316.</w:t>
      </w:r>
    </w:p>
    <w:p w:rsidR="00B86D95" w:rsidRPr="00F552F0" w:rsidRDefault="00B86D95" w:rsidP="00B86D95">
      <w:pPr>
        <w:ind w:left="720" w:hanging="720"/>
        <w:jc w:val="both"/>
        <w:rPr>
          <w:sz w:val="22"/>
          <w:szCs w:val="22"/>
        </w:rPr>
      </w:pPr>
      <w:proofErr w:type="gramStart"/>
      <w:r w:rsidRPr="00F552F0">
        <w:rPr>
          <w:sz w:val="22"/>
          <w:szCs w:val="22"/>
        </w:rPr>
        <w:t>Beck, T., Levine, R., 2002.</w:t>
      </w:r>
      <w:proofErr w:type="gramEnd"/>
      <w:r w:rsidRPr="00F552F0">
        <w:rPr>
          <w:sz w:val="22"/>
          <w:szCs w:val="22"/>
        </w:rPr>
        <w:t xml:space="preserve"> Industry growth and capital allocation: does having a market- or bank-based system matter? Journal of Financial Economics 64, 147-180.</w:t>
      </w:r>
    </w:p>
    <w:p w:rsidR="00A43F7C" w:rsidRPr="00F552F0" w:rsidRDefault="00A43F7C" w:rsidP="00A43F7C">
      <w:pPr>
        <w:ind w:left="720" w:hanging="720"/>
        <w:jc w:val="both"/>
        <w:rPr>
          <w:sz w:val="22"/>
          <w:szCs w:val="22"/>
        </w:rPr>
      </w:pPr>
      <w:proofErr w:type="gramStart"/>
      <w:r w:rsidRPr="00F552F0">
        <w:rPr>
          <w:sz w:val="22"/>
          <w:szCs w:val="22"/>
        </w:rPr>
        <w:t>Beck, T., Levine, R., 2004.</w:t>
      </w:r>
      <w:proofErr w:type="gramEnd"/>
      <w:r w:rsidRPr="00F552F0">
        <w:rPr>
          <w:sz w:val="22"/>
          <w:szCs w:val="22"/>
        </w:rPr>
        <w:t xml:space="preserve"> Stock markets, banks, and growth: panel evidence. Journal of Banking &amp; Finance 28, 423-442. </w:t>
      </w:r>
    </w:p>
    <w:p w:rsidR="00B86D95" w:rsidRPr="00F552F0" w:rsidRDefault="00B86D95" w:rsidP="00B86D95">
      <w:pPr>
        <w:ind w:left="720" w:hanging="720"/>
        <w:jc w:val="both"/>
        <w:rPr>
          <w:sz w:val="22"/>
          <w:szCs w:val="22"/>
        </w:rPr>
      </w:pPr>
      <w:proofErr w:type="gramStart"/>
      <w:r w:rsidRPr="00F552F0">
        <w:rPr>
          <w:sz w:val="22"/>
          <w:szCs w:val="22"/>
        </w:rPr>
        <w:t xml:space="preserve">Beck, T., Levine, R., </w:t>
      </w:r>
      <w:proofErr w:type="spellStart"/>
      <w:r w:rsidRPr="00F552F0">
        <w:rPr>
          <w:sz w:val="22"/>
          <w:szCs w:val="22"/>
        </w:rPr>
        <w:t>Loayza</w:t>
      </w:r>
      <w:proofErr w:type="spellEnd"/>
      <w:r w:rsidRPr="00F552F0">
        <w:rPr>
          <w:sz w:val="22"/>
          <w:szCs w:val="22"/>
        </w:rPr>
        <w:t>, N., 2000.</w:t>
      </w:r>
      <w:proofErr w:type="gramEnd"/>
      <w:r w:rsidRPr="00F552F0">
        <w:rPr>
          <w:sz w:val="22"/>
          <w:szCs w:val="22"/>
        </w:rPr>
        <w:t xml:space="preserve"> </w:t>
      </w:r>
      <w:proofErr w:type="gramStart"/>
      <w:r w:rsidRPr="00F552F0">
        <w:rPr>
          <w:sz w:val="22"/>
          <w:szCs w:val="22"/>
        </w:rPr>
        <w:t>Finance and the sources of growth.</w:t>
      </w:r>
      <w:proofErr w:type="gramEnd"/>
      <w:r w:rsidRPr="00F552F0">
        <w:rPr>
          <w:sz w:val="22"/>
          <w:szCs w:val="22"/>
        </w:rPr>
        <w:t xml:space="preserve"> Journal of Financial Economics 58, 261–300.</w:t>
      </w:r>
    </w:p>
    <w:p w:rsidR="00B86D95" w:rsidRPr="00F552F0" w:rsidRDefault="00B86D95" w:rsidP="00B86D95">
      <w:pPr>
        <w:ind w:left="720" w:hanging="720"/>
        <w:jc w:val="both"/>
        <w:rPr>
          <w:sz w:val="22"/>
          <w:szCs w:val="22"/>
        </w:rPr>
      </w:pPr>
      <w:proofErr w:type="gramStart"/>
      <w:r w:rsidRPr="00F552F0">
        <w:rPr>
          <w:sz w:val="22"/>
          <w:szCs w:val="22"/>
        </w:rPr>
        <w:t xml:space="preserve">Beck, T., </w:t>
      </w:r>
      <w:proofErr w:type="spellStart"/>
      <w:r w:rsidRPr="00F552F0">
        <w:rPr>
          <w:sz w:val="22"/>
          <w:szCs w:val="22"/>
        </w:rPr>
        <w:t>Demirgüç-Kunt</w:t>
      </w:r>
      <w:proofErr w:type="spellEnd"/>
      <w:r w:rsidRPr="00F552F0">
        <w:rPr>
          <w:sz w:val="22"/>
          <w:szCs w:val="22"/>
        </w:rPr>
        <w:t xml:space="preserve">, A., </w:t>
      </w:r>
      <w:proofErr w:type="spellStart"/>
      <w:r w:rsidRPr="00F552F0">
        <w:rPr>
          <w:sz w:val="22"/>
          <w:szCs w:val="22"/>
        </w:rPr>
        <w:t>Maksimovic</w:t>
      </w:r>
      <w:proofErr w:type="spellEnd"/>
      <w:r w:rsidRPr="00F552F0">
        <w:rPr>
          <w:sz w:val="22"/>
          <w:szCs w:val="22"/>
        </w:rPr>
        <w:t>, V., 2008.</w:t>
      </w:r>
      <w:proofErr w:type="gramEnd"/>
      <w:r w:rsidRPr="00F552F0">
        <w:rPr>
          <w:sz w:val="22"/>
          <w:szCs w:val="22"/>
        </w:rPr>
        <w:t xml:space="preserve"> Financing patterns around the world: are small firms different? Journal of Financial Economics 89, 467-487.</w:t>
      </w:r>
    </w:p>
    <w:p w:rsidR="00B86D95" w:rsidRPr="00F552F0" w:rsidRDefault="00B86D95" w:rsidP="00B86D95">
      <w:pPr>
        <w:ind w:left="720" w:hanging="720"/>
        <w:jc w:val="both"/>
        <w:rPr>
          <w:sz w:val="22"/>
          <w:szCs w:val="22"/>
        </w:rPr>
      </w:pPr>
      <w:proofErr w:type="gramStart"/>
      <w:r w:rsidRPr="00F552F0">
        <w:rPr>
          <w:sz w:val="22"/>
          <w:szCs w:val="22"/>
        </w:rPr>
        <w:t xml:space="preserve">Bennedsen, M., Nielsen, K., Pérez-González, F., </w:t>
      </w:r>
      <w:proofErr w:type="spellStart"/>
      <w:r w:rsidRPr="00F552F0">
        <w:rPr>
          <w:sz w:val="22"/>
          <w:szCs w:val="22"/>
        </w:rPr>
        <w:t>Wolfenzon</w:t>
      </w:r>
      <w:proofErr w:type="spellEnd"/>
      <w:r w:rsidRPr="00F552F0">
        <w:rPr>
          <w:sz w:val="22"/>
          <w:szCs w:val="22"/>
        </w:rPr>
        <w:t>, D., 2007.</w:t>
      </w:r>
      <w:proofErr w:type="gramEnd"/>
      <w:r w:rsidRPr="00F552F0">
        <w:rPr>
          <w:sz w:val="22"/>
          <w:szCs w:val="22"/>
        </w:rPr>
        <w:t xml:space="preserve"> Inside the family firm: the role of families in succession decisions and performance. Quarterly Journal of Economics 122, 647-691.</w:t>
      </w:r>
    </w:p>
    <w:p w:rsidR="00B86D95" w:rsidRPr="00F552F0" w:rsidRDefault="00B86D95" w:rsidP="00B86D95">
      <w:pPr>
        <w:ind w:left="720" w:hanging="720"/>
        <w:jc w:val="both"/>
        <w:rPr>
          <w:sz w:val="22"/>
          <w:szCs w:val="22"/>
        </w:rPr>
      </w:pPr>
      <w:proofErr w:type="spellStart"/>
      <w:proofErr w:type="gramStart"/>
      <w:r w:rsidRPr="00F552F0">
        <w:rPr>
          <w:sz w:val="22"/>
          <w:szCs w:val="22"/>
        </w:rPr>
        <w:t>Burkart</w:t>
      </w:r>
      <w:proofErr w:type="spellEnd"/>
      <w:r w:rsidRPr="00F552F0">
        <w:rPr>
          <w:sz w:val="22"/>
          <w:szCs w:val="22"/>
        </w:rPr>
        <w:t xml:space="preserve">, M., </w:t>
      </w:r>
      <w:proofErr w:type="spellStart"/>
      <w:r w:rsidRPr="00F552F0">
        <w:rPr>
          <w:sz w:val="22"/>
          <w:szCs w:val="22"/>
        </w:rPr>
        <w:t>Panunzi</w:t>
      </w:r>
      <w:proofErr w:type="spellEnd"/>
      <w:r w:rsidRPr="00F552F0">
        <w:rPr>
          <w:sz w:val="22"/>
          <w:szCs w:val="22"/>
        </w:rPr>
        <w:t>, F., Shleifer, A., 2003.</w:t>
      </w:r>
      <w:proofErr w:type="gramEnd"/>
      <w:r w:rsidRPr="00F552F0">
        <w:rPr>
          <w:sz w:val="22"/>
          <w:szCs w:val="22"/>
        </w:rPr>
        <w:t xml:space="preserve"> </w:t>
      </w:r>
      <w:proofErr w:type="gramStart"/>
      <w:r w:rsidRPr="00F552F0">
        <w:rPr>
          <w:sz w:val="22"/>
          <w:szCs w:val="22"/>
        </w:rPr>
        <w:t>Family firms.</w:t>
      </w:r>
      <w:proofErr w:type="gramEnd"/>
      <w:r w:rsidRPr="00F552F0">
        <w:rPr>
          <w:sz w:val="22"/>
          <w:szCs w:val="22"/>
        </w:rPr>
        <w:t xml:space="preserve"> </w:t>
      </w:r>
      <w:proofErr w:type="gramStart"/>
      <w:r w:rsidRPr="00F552F0">
        <w:rPr>
          <w:sz w:val="22"/>
          <w:szCs w:val="22"/>
        </w:rPr>
        <w:t>Journal of Finance 58, 2167-2201.</w:t>
      </w:r>
      <w:proofErr w:type="gramEnd"/>
    </w:p>
    <w:p w:rsidR="00B86D95" w:rsidRPr="00F552F0" w:rsidRDefault="00B86D95" w:rsidP="00B86D95">
      <w:pPr>
        <w:ind w:left="720" w:hanging="720"/>
        <w:jc w:val="both"/>
        <w:rPr>
          <w:sz w:val="22"/>
          <w:szCs w:val="22"/>
        </w:rPr>
      </w:pPr>
      <w:proofErr w:type="spellStart"/>
      <w:r w:rsidRPr="00F552F0">
        <w:rPr>
          <w:sz w:val="22"/>
          <w:szCs w:val="22"/>
        </w:rPr>
        <w:t>Caprio</w:t>
      </w:r>
      <w:proofErr w:type="spellEnd"/>
      <w:r w:rsidRPr="00F552F0">
        <w:rPr>
          <w:sz w:val="22"/>
          <w:szCs w:val="22"/>
        </w:rPr>
        <w:t xml:space="preserve">, G., </w:t>
      </w:r>
      <w:proofErr w:type="spellStart"/>
      <w:r w:rsidRPr="00F552F0">
        <w:rPr>
          <w:sz w:val="22"/>
          <w:szCs w:val="22"/>
        </w:rPr>
        <w:t>Laeven</w:t>
      </w:r>
      <w:proofErr w:type="spellEnd"/>
      <w:r w:rsidRPr="00F552F0">
        <w:rPr>
          <w:sz w:val="22"/>
          <w:szCs w:val="22"/>
        </w:rPr>
        <w:t xml:space="preserve">, L., Levine, R., 2007. </w:t>
      </w:r>
      <w:proofErr w:type="gramStart"/>
      <w:r w:rsidRPr="00F552F0">
        <w:rPr>
          <w:sz w:val="22"/>
          <w:szCs w:val="22"/>
        </w:rPr>
        <w:t>Governance and bank valuation.</w:t>
      </w:r>
      <w:proofErr w:type="gramEnd"/>
      <w:r w:rsidRPr="00F552F0">
        <w:rPr>
          <w:sz w:val="22"/>
          <w:szCs w:val="22"/>
        </w:rPr>
        <w:t xml:space="preserve"> Journal of Financial Intermediation 16, 584-617.</w:t>
      </w:r>
    </w:p>
    <w:p w:rsidR="00B86D95" w:rsidRPr="00F552F0" w:rsidRDefault="00B86D95" w:rsidP="00B86D95">
      <w:pPr>
        <w:ind w:left="720" w:hanging="720"/>
        <w:jc w:val="both"/>
        <w:rPr>
          <w:sz w:val="22"/>
          <w:szCs w:val="22"/>
        </w:rPr>
      </w:pPr>
      <w:proofErr w:type="gramStart"/>
      <w:r w:rsidRPr="00F552F0">
        <w:rPr>
          <w:sz w:val="22"/>
          <w:szCs w:val="22"/>
        </w:rPr>
        <w:t xml:space="preserve">Daniels, R., </w:t>
      </w:r>
      <w:proofErr w:type="spellStart"/>
      <w:r w:rsidRPr="00F552F0">
        <w:rPr>
          <w:sz w:val="22"/>
          <w:szCs w:val="22"/>
        </w:rPr>
        <w:t>Trebilcock</w:t>
      </w:r>
      <w:proofErr w:type="spellEnd"/>
      <w:r w:rsidRPr="00F552F0">
        <w:rPr>
          <w:sz w:val="22"/>
          <w:szCs w:val="22"/>
        </w:rPr>
        <w:t>, M., 2008.</w:t>
      </w:r>
      <w:proofErr w:type="gramEnd"/>
      <w:r w:rsidRPr="00F552F0">
        <w:rPr>
          <w:sz w:val="22"/>
          <w:szCs w:val="22"/>
        </w:rPr>
        <w:t xml:space="preserve"> Rule of Law Reform and Development: Charting the Fragile Path of Progress. Edward Elgar Publishing, </w:t>
      </w:r>
      <w:smartTag w:uri="urn:schemas-microsoft-com:office:smarttags" w:element="City">
        <w:smartTag w:uri="urn:schemas-microsoft-com:office:smarttags" w:element="place">
          <w:r w:rsidRPr="00F552F0">
            <w:rPr>
              <w:sz w:val="22"/>
              <w:szCs w:val="22"/>
            </w:rPr>
            <w:t>Northampton</w:t>
          </w:r>
        </w:smartTag>
      </w:smartTag>
      <w:r w:rsidRPr="00F552F0">
        <w:rPr>
          <w:sz w:val="22"/>
          <w:szCs w:val="22"/>
        </w:rPr>
        <w:t>.</w:t>
      </w:r>
    </w:p>
    <w:p w:rsidR="00B86D95" w:rsidRPr="00F552F0" w:rsidRDefault="00B86D95" w:rsidP="00B86D95">
      <w:pPr>
        <w:ind w:left="720" w:hanging="720"/>
        <w:jc w:val="both"/>
        <w:rPr>
          <w:sz w:val="22"/>
          <w:szCs w:val="22"/>
        </w:rPr>
      </w:pPr>
      <w:proofErr w:type="spellStart"/>
      <w:r w:rsidRPr="00F552F0">
        <w:rPr>
          <w:sz w:val="22"/>
          <w:szCs w:val="22"/>
        </w:rPr>
        <w:t>Dell'Ariccia</w:t>
      </w:r>
      <w:proofErr w:type="spellEnd"/>
      <w:r w:rsidRPr="00F552F0">
        <w:rPr>
          <w:sz w:val="22"/>
          <w:szCs w:val="22"/>
        </w:rPr>
        <w:t xml:space="preserve">, G., </w:t>
      </w:r>
      <w:proofErr w:type="spellStart"/>
      <w:r w:rsidRPr="00F552F0">
        <w:rPr>
          <w:sz w:val="22"/>
          <w:szCs w:val="22"/>
        </w:rPr>
        <w:t>Detragiache</w:t>
      </w:r>
      <w:proofErr w:type="spellEnd"/>
      <w:r w:rsidRPr="00F552F0">
        <w:rPr>
          <w:sz w:val="22"/>
          <w:szCs w:val="22"/>
        </w:rPr>
        <w:t xml:space="preserve">, E., and </w:t>
      </w:r>
      <w:proofErr w:type="spellStart"/>
      <w:r w:rsidRPr="00F552F0">
        <w:rPr>
          <w:sz w:val="22"/>
          <w:szCs w:val="22"/>
        </w:rPr>
        <w:t>Rajan</w:t>
      </w:r>
      <w:proofErr w:type="spellEnd"/>
      <w:r w:rsidRPr="00F552F0">
        <w:rPr>
          <w:sz w:val="22"/>
          <w:szCs w:val="22"/>
        </w:rPr>
        <w:t xml:space="preserve">, R., 2008. </w:t>
      </w:r>
      <w:proofErr w:type="gramStart"/>
      <w:r w:rsidRPr="00F552F0">
        <w:rPr>
          <w:sz w:val="22"/>
          <w:szCs w:val="22"/>
        </w:rPr>
        <w:t>The real effect of banking crises.</w:t>
      </w:r>
      <w:proofErr w:type="gramEnd"/>
      <w:r w:rsidRPr="00F552F0">
        <w:rPr>
          <w:sz w:val="22"/>
          <w:szCs w:val="22"/>
        </w:rPr>
        <w:t xml:space="preserve"> Journal of Financial Intermediation 17, 89-112.</w:t>
      </w:r>
    </w:p>
    <w:p w:rsidR="00A43F7C" w:rsidRPr="00F552F0" w:rsidRDefault="00A43F7C" w:rsidP="00A43F7C">
      <w:pPr>
        <w:ind w:left="720" w:hanging="720"/>
        <w:jc w:val="both"/>
        <w:rPr>
          <w:sz w:val="22"/>
          <w:szCs w:val="22"/>
        </w:rPr>
      </w:pPr>
      <w:proofErr w:type="spellStart"/>
      <w:proofErr w:type="gramStart"/>
      <w:r w:rsidRPr="00F552F0">
        <w:rPr>
          <w:sz w:val="22"/>
          <w:szCs w:val="22"/>
        </w:rPr>
        <w:t>Demirguc-Kunt</w:t>
      </w:r>
      <w:proofErr w:type="spellEnd"/>
      <w:r w:rsidRPr="00F552F0">
        <w:rPr>
          <w:sz w:val="22"/>
          <w:szCs w:val="22"/>
        </w:rPr>
        <w:t xml:space="preserve">, A., </w:t>
      </w:r>
      <w:proofErr w:type="spellStart"/>
      <w:r w:rsidRPr="00F552F0">
        <w:rPr>
          <w:sz w:val="22"/>
          <w:szCs w:val="22"/>
        </w:rPr>
        <w:t>Detragiache</w:t>
      </w:r>
      <w:proofErr w:type="spellEnd"/>
      <w:r w:rsidRPr="00F552F0">
        <w:rPr>
          <w:sz w:val="22"/>
          <w:szCs w:val="22"/>
        </w:rPr>
        <w:t>, E., Gupta, P., 2006.</w:t>
      </w:r>
      <w:proofErr w:type="gramEnd"/>
      <w:r w:rsidRPr="00F552F0">
        <w:rPr>
          <w:sz w:val="22"/>
          <w:szCs w:val="22"/>
        </w:rPr>
        <w:t xml:space="preserve"> Inside the crisis: an empirical analysis of banking systems in distress. Journal of International Money and Finance 25, 702-718. </w:t>
      </w:r>
    </w:p>
    <w:p w:rsidR="00A43F7C" w:rsidRPr="00F552F0" w:rsidRDefault="00A43F7C" w:rsidP="00B86D95">
      <w:pPr>
        <w:ind w:left="720" w:hanging="720"/>
        <w:jc w:val="both"/>
        <w:rPr>
          <w:sz w:val="22"/>
          <w:szCs w:val="22"/>
        </w:rPr>
      </w:pPr>
    </w:p>
    <w:p w:rsidR="00B86D95" w:rsidRPr="00F552F0" w:rsidRDefault="00B86D95" w:rsidP="00B86D95">
      <w:pPr>
        <w:ind w:left="720" w:hanging="720"/>
        <w:jc w:val="both"/>
        <w:rPr>
          <w:sz w:val="22"/>
          <w:szCs w:val="22"/>
        </w:rPr>
      </w:pPr>
      <w:proofErr w:type="spellStart"/>
      <w:proofErr w:type="gramStart"/>
      <w:r w:rsidRPr="00F552F0">
        <w:rPr>
          <w:sz w:val="22"/>
          <w:szCs w:val="22"/>
        </w:rPr>
        <w:lastRenderedPageBreak/>
        <w:t>Demirguc-Kunt</w:t>
      </w:r>
      <w:proofErr w:type="spellEnd"/>
      <w:r w:rsidRPr="00F552F0">
        <w:rPr>
          <w:sz w:val="22"/>
          <w:szCs w:val="22"/>
        </w:rPr>
        <w:t>, A., Levine, R., 1996.</w:t>
      </w:r>
      <w:proofErr w:type="gramEnd"/>
      <w:r w:rsidRPr="00F552F0">
        <w:rPr>
          <w:sz w:val="22"/>
          <w:szCs w:val="22"/>
        </w:rPr>
        <w:t xml:space="preserve"> Stock markets, corporate finance, and economic growth: an overview. World Bank Economic Review 10, 223-239.</w:t>
      </w:r>
    </w:p>
    <w:p w:rsidR="00B86D95" w:rsidRPr="00F552F0" w:rsidRDefault="00B86D95" w:rsidP="00B86D95">
      <w:pPr>
        <w:ind w:left="720" w:hanging="720"/>
        <w:jc w:val="both"/>
        <w:rPr>
          <w:sz w:val="22"/>
          <w:szCs w:val="22"/>
        </w:rPr>
      </w:pPr>
      <w:proofErr w:type="spellStart"/>
      <w:proofErr w:type="gramStart"/>
      <w:r w:rsidRPr="00F552F0">
        <w:rPr>
          <w:sz w:val="22"/>
          <w:szCs w:val="22"/>
        </w:rPr>
        <w:t>Demirguc-Kunt</w:t>
      </w:r>
      <w:proofErr w:type="spellEnd"/>
      <w:r w:rsidRPr="00F552F0">
        <w:rPr>
          <w:sz w:val="22"/>
          <w:szCs w:val="22"/>
        </w:rPr>
        <w:t xml:space="preserve">, A., </w:t>
      </w:r>
      <w:proofErr w:type="spellStart"/>
      <w:r w:rsidRPr="00F552F0">
        <w:rPr>
          <w:sz w:val="22"/>
          <w:szCs w:val="22"/>
        </w:rPr>
        <w:t>Maksimovic</w:t>
      </w:r>
      <w:proofErr w:type="spellEnd"/>
      <w:r w:rsidRPr="00F552F0">
        <w:rPr>
          <w:sz w:val="22"/>
          <w:szCs w:val="22"/>
        </w:rPr>
        <w:t>, V., 1998.</w:t>
      </w:r>
      <w:proofErr w:type="gramEnd"/>
      <w:r w:rsidRPr="00F552F0">
        <w:rPr>
          <w:sz w:val="22"/>
          <w:szCs w:val="22"/>
        </w:rPr>
        <w:t xml:space="preserve"> </w:t>
      </w:r>
      <w:proofErr w:type="gramStart"/>
      <w:r w:rsidRPr="00F552F0">
        <w:rPr>
          <w:sz w:val="22"/>
          <w:szCs w:val="22"/>
        </w:rPr>
        <w:t>Law, finance and firm growth.</w:t>
      </w:r>
      <w:proofErr w:type="gramEnd"/>
      <w:r w:rsidRPr="00F552F0">
        <w:rPr>
          <w:sz w:val="22"/>
          <w:szCs w:val="22"/>
        </w:rPr>
        <w:t xml:space="preserve"> </w:t>
      </w:r>
      <w:proofErr w:type="gramStart"/>
      <w:r w:rsidRPr="00F552F0">
        <w:rPr>
          <w:sz w:val="22"/>
          <w:szCs w:val="22"/>
        </w:rPr>
        <w:t>Journal of Finance 53, 2107-2137.</w:t>
      </w:r>
      <w:proofErr w:type="gramEnd"/>
      <w:r w:rsidRPr="00F552F0">
        <w:rPr>
          <w:sz w:val="22"/>
          <w:szCs w:val="22"/>
        </w:rPr>
        <w:t xml:space="preserve"> </w:t>
      </w:r>
    </w:p>
    <w:p w:rsidR="00B86D95" w:rsidRPr="00F552F0" w:rsidRDefault="00B86D95" w:rsidP="00B86D95">
      <w:pPr>
        <w:ind w:left="720" w:hanging="720"/>
        <w:jc w:val="both"/>
        <w:rPr>
          <w:sz w:val="22"/>
          <w:szCs w:val="22"/>
        </w:rPr>
      </w:pPr>
      <w:proofErr w:type="gramStart"/>
      <w:r w:rsidRPr="00F552F0">
        <w:rPr>
          <w:sz w:val="22"/>
          <w:szCs w:val="22"/>
        </w:rPr>
        <w:t>Diamond, D., 1984.</w:t>
      </w:r>
      <w:proofErr w:type="gramEnd"/>
      <w:r w:rsidRPr="00F552F0">
        <w:rPr>
          <w:sz w:val="22"/>
          <w:szCs w:val="22"/>
        </w:rPr>
        <w:t xml:space="preserve"> </w:t>
      </w:r>
      <w:proofErr w:type="gramStart"/>
      <w:r w:rsidRPr="00F552F0">
        <w:rPr>
          <w:sz w:val="22"/>
          <w:szCs w:val="22"/>
        </w:rPr>
        <w:t>Financial intermediation and delegated monitoring.</w:t>
      </w:r>
      <w:proofErr w:type="gramEnd"/>
      <w:r w:rsidRPr="00F552F0">
        <w:rPr>
          <w:sz w:val="22"/>
          <w:szCs w:val="22"/>
        </w:rPr>
        <w:t xml:space="preserve"> Review of Economic Studies 51, 393-414.</w:t>
      </w:r>
    </w:p>
    <w:p w:rsidR="00B86D95" w:rsidRPr="00F552F0" w:rsidRDefault="00B86D95" w:rsidP="00B86D95">
      <w:pPr>
        <w:ind w:left="720" w:hanging="720"/>
        <w:jc w:val="both"/>
        <w:rPr>
          <w:rFonts w:eastAsia="Times New Roman"/>
          <w:sz w:val="22"/>
          <w:szCs w:val="22"/>
        </w:rPr>
      </w:pPr>
      <w:proofErr w:type="spellStart"/>
      <w:proofErr w:type="gramStart"/>
      <w:r w:rsidRPr="00F552F0">
        <w:rPr>
          <w:rFonts w:eastAsia="Times New Roman"/>
          <w:sz w:val="22"/>
          <w:szCs w:val="22"/>
        </w:rPr>
        <w:t>Dinc</w:t>
      </w:r>
      <w:proofErr w:type="spellEnd"/>
      <w:r w:rsidRPr="00F552F0">
        <w:rPr>
          <w:rFonts w:eastAsia="Times New Roman"/>
          <w:sz w:val="22"/>
          <w:szCs w:val="22"/>
        </w:rPr>
        <w:t>, S., 2005.</w:t>
      </w:r>
      <w:proofErr w:type="gramEnd"/>
      <w:r w:rsidRPr="00F552F0">
        <w:rPr>
          <w:rFonts w:eastAsia="Times New Roman"/>
          <w:sz w:val="22"/>
          <w:szCs w:val="22"/>
        </w:rPr>
        <w:t xml:space="preserve"> Politicians and banks: Political influences on government-owned banks in emerging markets. Journal of Financial Economics 77, 453-479.</w:t>
      </w:r>
    </w:p>
    <w:p w:rsidR="00A43F7C" w:rsidRPr="00F552F0" w:rsidRDefault="00A43F7C" w:rsidP="00A43F7C">
      <w:pPr>
        <w:ind w:left="720" w:hanging="720"/>
        <w:jc w:val="both"/>
        <w:rPr>
          <w:rFonts w:eastAsia="Times New Roman"/>
          <w:sz w:val="22"/>
          <w:szCs w:val="22"/>
        </w:rPr>
      </w:pPr>
      <w:proofErr w:type="spellStart"/>
      <w:proofErr w:type="gramStart"/>
      <w:r w:rsidRPr="00F552F0">
        <w:rPr>
          <w:rFonts w:eastAsia="Times New Roman"/>
          <w:sz w:val="22"/>
          <w:szCs w:val="22"/>
        </w:rPr>
        <w:t>Djankov</w:t>
      </w:r>
      <w:proofErr w:type="spellEnd"/>
      <w:r w:rsidRPr="00F552F0">
        <w:rPr>
          <w:rFonts w:eastAsia="Times New Roman"/>
          <w:sz w:val="22"/>
          <w:szCs w:val="22"/>
        </w:rPr>
        <w:t xml:space="preserve">, S., Hart, O., </w:t>
      </w:r>
      <w:proofErr w:type="spellStart"/>
      <w:r w:rsidRPr="00F552F0">
        <w:rPr>
          <w:rFonts w:eastAsia="Times New Roman"/>
          <w:sz w:val="22"/>
          <w:szCs w:val="22"/>
        </w:rPr>
        <w:t>McLiesh</w:t>
      </w:r>
      <w:proofErr w:type="spellEnd"/>
      <w:r w:rsidRPr="00F552F0">
        <w:rPr>
          <w:rFonts w:eastAsia="Times New Roman"/>
          <w:sz w:val="22"/>
          <w:szCs w:val="22"/>
        </w:rPr>
        <w:t>, C., Shleifer, A., 2008.</w:t>
      </w:r>
      <w:proofErr w:type="gramEnd"/>
      <w:r w:rsidRPr="00F552F0">
        <w:rPr>
          <w:rFonts w:eastAsia="Times New Roman"/>
          <w:sz w:val="22"/>
          <w:szCs w:val="22"/>
        </w:rPr>
        <w:t xml:space="preserve"> </w:t>
      </w:r>
      <w:proofErr w:type="gramStart"/>
      <w:r w:rsidRPr="00F552F0">
        <w:rPr>
          <w:rFonts w:eastAsia="Times New Roman"/>
          <w:sz w:val="22"/>
          <w:szCs w:val="22"/>
        </w:rPr>
        <w:t>Debt enforcement around the World.</w:t>
      </w:r>
      <w:proofErr w:type="gramEnd"/>
      <w:r w:rsidRPr="00F552F0">
        <w:rPr>
          <w:rFonts w:eastAsia="Times New Roman"/>
          <w:sz w:val="22"/>
          <w:szCs w:val="22"/>
        </w:rPr>
        <w:t xml:space="preserve"> </w:t>
      </w:r>
      <w:proofErr w:type="gramStart"/>
      <w:r w:rsidRPr="00F552F0">
        <w:rPr>
          <w:rFonts w:eastAsia="Times New Roman"/>
          <w:sz w:val="22"/>
          <w:szCs w:val="22"/>
        </w:rPr>
        <w:t>Journal of Political Economy 116, 1105.</w:t>
      </w:r>
      <w:proofErr w:type="gramEnd"/>
    </w:p>
    <w:p w:rsidR="00B86D95" w:rsidRPr="00F552F0" w:rsidRDefault="00B86D95" w:rsidP="00B86D95">
      <w:pPr>
        <w:ind w:left="720" w:hanging="720"/>
        <w:jc w:val="both"/>
        <w:rPr>
          <w:sz w:val="22"/>
          <w:szCs w:val="22"/>
        </w:rPr>
      </w:pPr>
      <w:proofErr w:type="spellStart"/>
      <w:proofErr w:type="gramStart"/>
      <w:r w:rsidRPr="00F552F0">
        <w:rPr>
          <w:sz w:val="22"/>
          <w:szCs w:val="22"/>
        </w:rPr>
        <w:t>Djankov</w:t>
      </w:r>
      <w:proofErr w:type="spellEnd"/>
      <w:r w:rsidRPr="00F552F0">
        <w:rPr>
          <w:sz w:val="22"/>
          <w:szCs w:val="22"/>
        </w:rPr>
        <w:t xml:space="preserve">, S., </w:t>
      </w:r>
      <w:proofErr w:type="spellStart"/>
      <w:r w:rsidRPr="00F552F0">
        <w:rPr>
          <w:sz w:val="22"/>
          <w:szCs w:val="22"/>
        </w:rPr>
        <w:t>Jindra</w:t>
      </w:r>
      <w:proofErr w:type="spellEnd"/>
      <w:r w:rsidRPr="00F552F0">
        <w:rPr>
          <w:sz w:val="22"/>
          <w:szCs w:val="22"/>
        </w:rPr>
        <w:t xml:space="preserve">, J., </w:t>
      </w:r>
      <w:proofErr w:type="spellStart"/>
      <w:r w:rsidRPr="00F552F0">
        <w:rPr>
          <w:sz w:val="22"/>
          <w:szCs w:val="22"/>
        </w:rPr>
        <w:t>Klapper</w:t>
      </w:r>
      <w:proofErr w:type="spellEnd"/>
      <w:r w:rsidRPr="00F552F0">
        <w:rPr>
          <w:sz w:val="22"/>
          <w:szCs w:val="22"/>
        </w:rPr>
        <w:t>, L., 2005.</w:t>
      </w:r>
      <w:proofErr w:type="gramEnd"/>
      <w:r w:rsidRPr="00F552F0">
        <w:rPr>
          <w:sz w:val="22"/>
          <w:szCs w:val="22"/>
        </w:rPr>
        <w:t xml:space="preserve"> </w:t>
      </w:r>
      <w:proofErr w:type="gramStart"/>
      <w:r w:rsidRPr="00F552F0">
        <w:rPr>
          <w:sz w:val="22"/>
          <w:szCs w:val="22"/>
        </w:rPr>
        <w:t>Corporate valuation and the resolution of bank insolvency in East Asia.</w:t>
      </w:r>
      <w:proofErr w:type="gramEnd"/>
      <w:r w:rsidRPr="00F552F0">
        <w:rPr>
          <w:sz w:val="22"/>
          <w:szCs w:val="22"/>
        </w:rPr>
        <w:t xml:space="preserve"> </w:t>
      </w:r>
      <w:proofErr w:type="gramStart"/>
      <w:r w:rsidRPr="00F552F0">
        <w:rPr>
          <w:sz w:val="22"/>
          <w:szCs w:val="22"/>
        </w:rPr>
        <w:t>Journal of Banking &amp; Finance 29, 2095-2118.</w:t>
      </w:r>
      <w:proofErr w:type="gramEnd"/>
      <w:r w:rsidRPr="00F552F0">
        <w:rPr>
          <w:sz w:val="22"/>
          <w:szCs w:val="22"/>
        </w:rPr>
        <w:t xml:space="preserve"> </w:t>
      </w:r>
    </w:p>
    <w:p w:rsidR="00B86D95" w:rsidRPr="00F552F0" w:rsidRDefault="00B86D95" w:rsidP="00B86D95">
      <w:pPr>
        <w:ind w:left="720" w:hanging="720"/>
        <w:jc w:val="both"/>
        <w:rPr>
          <w:sz w:val="22"/>
          <w:szCs w:val="22"/>
        </w:rPr>
      </w:pPr>
      <w:proofErr w:type="spellStart"/>
      <w:proofErr w:type="gramStart"/>
      <w:r w:rsidRPr="00F552F0">
        <w:rPr>
          <w:sz w:val="22"/>
          <w:szCs w:val="22"/>
        </w:rPr>
        <w:t>Djankov</w:t>
      </w:r>
      <w:proofErr w:type="spellEnd"/>
      <w:r w:rsidRPr="00F552F0">
        <w:rPr>
          <w:sz w:val="22"/>
          <w:szCs w:val="22"/>
        </w:rPr>
        <w:t xml:space="preserve">, S., La </w:t>
      </w:r>
      <w:proofErr w:type="spellStart"/>
      <w:r w:rsidRPr="00F552F0">
        <w:rPr>
          <w:sz w:val="22"/>
          <w:szCs w:val="22"/>
        </w:rPr>
        <w:t>Porta</w:t>
      </w:r>
      <w:proofErr w:type="spellEnd"/>
      <w:r w:rsidRPr="00F552F0">
        <w:rPr>
          <w:sz w:val="22"/>
          <w:szCs w:val="22"/>
        </w:rPr>
        <w:t>, R., Lopez-de-</w:t>
      </w:r>
      <w:proofErr w:type="spellStart"/>
      <w:r w:rsidRPr="00F552F0">
        <w:rPr>
          <w:sz w:val="22"/>
          <w:szCs w:val="22"/>
        </w:rPr>
        <w:t>Silanes</w:t>
      </w:r>
      <w:proofErr w:type="spellEnd"/>
      <w:r w:rsidRPr="00F552F0">
        <w:rPr>
          <w:sz w:val="22"/>
          <w:szCs w:val="22"/>
        </w:rPr>
        <w:t xml:space="preserve">, F., Shleifer, A., </w:t>
      </w:r>
      <w:r w:rsidRPr="00F552F0">
        <w:rPr>
          <w:sz w:val="22"/>
          <w:szCs w:val="22"/>
          <w:lang w:val="en-CA"/>
        </w:rPr>
        <w:t>2002.</w:t>
      </w:r>
      <w:proofErr w:type="gramEnd"/>
      <w:r w:rsidRPr="00F552F0">
        <w:rPr>
          <w:sz w:val="22"/>
          <w:szCs w:val="22"/>
          <w:lang w:val="en-CA"/>
        </w:rPr>
        <w:t xml:space="preserve"> </w:t>
      </w:r>
      <w:proofErr w:type="gramStart"/>
      <w:r w:rsidRPr="00F552F0">
        <w:rPr>
          <w:sz w:val="22"/>
          <w:szCs w:val="22"/>
        </w:rPr>
        <w:t>The regulation of entry.</w:t>
      </w:r>
      <w:proofErr w:type="gramEnd"/>
      <w:r w:rsidRPr="00F552F0">
        <w:rPr>
          <w:sz w:val="22"/>
          <w:szCs w:val="22"/>
        </w:rPr>
        <w:t xml:space="preserve"> Quarterly Journal of Economics 117, 1-37.</w:t>
      </w:r>
    </w:p>
    <w:p w:rsidR="00B86D95" w:rsidRPr="00F552F0" w:rsidRDefault="00B86D95" w:rsidP="00B86D95">
      <w:pPr>
        <w:ind w:left="720" w:hanging="720"/>
        <w:jc w:val="both"/>
        <w:rPr>
          <w:sz w:val="22"/>
          <w:szCs w:val="22"/>
        </w:rPr>
      </w:pPr>
      <w:proofErr w:type="spellStart"/>
      <w:proofErr w:type="gramStart"/>
      <w:r w:rsidRPr="00F552F0">
        <w:rPr>
          <w:sz w:val="22"/>
          <w:szCs w:val="22"/>
          <w:lang w:val="en-CA"/>
        </w:rPr>
        <w:t>Djankov</w:t>
      </w:r>
      <w:proofErr w:type="spellEnd"/>
      <w:r w:rsidRPr="00F552F0">
        <w:rPr>
          <w:sz w:val="22"/>
          <w:szCs w:val="22"/>
          <w:lang w:val="en-CA"/>
        </w:rPr>
        <w:t xml:space="preserve">, S., La </w:t>
      </w:r>
      <w:proofErr w:type="spellStart"/>
      <w:r w:rsidRPr="00F552F0">
        <w:rPr>
          <w:sz w:val="22"/>
          <w:szCs w:val="22"/>
          <w:lang w:val="en-CA"/>
        </w:rPr>
        <w:t>Porta</w:t>
      </w:r>
      <w:proofErr w:type="spellEnd"/>
      <w:r w:rsidRPr="00F552F0">
        <w:rPr>
          <w:sz w:val="22"/>
          <w:szCs w:val="22"/>
          <w:lang w:val="en-CA"/>
        </w:rPr>
        <w:t>, R., Lopez-de-</w:t>
      </w:r>
      <w:proofErr w:type="spellStart"/>
      <w:r w:rsidRPr="00F552F0">
        <w:rPr>
          <w:sz w:val="22"/>
          <w:szCs w:val="22"/>
          <w:lang w:val="en-CA"/>
        </w:rPr>
        <w:t>Silanes</w:t>
      </w:r>
      <w:proofErr w:type="spellEnd"/>
      <w:r w:rsidRPr="00F552F0">
        <w:rPr>
          <w:sz w:val="22"/>
          <w:szCs w:val="22"/>
          <w:lang w:val="en-CA"/>
        </w:rPr>
        <w:t>, F., Shleifer, A., 2006.</w:t>
      </w:r>
      <w:proofErr w:type="gramEnd"/>
      <w:r w:rsidRPr="00F552F0">
        <w:rPr>
          <w:sz w:val="22"/>
          <w:szCs w:val="22"/>
          <w:lang w:val="en-CA"/>
        </w:rPr>
        <w:t xml:space="preserve"> </w:t>
      </w:r>
      <w:proofErr w:type="gramStart"/>
      <w:r w:rsidRPr="00F552F0">
        <w:rPr>
          <w:sz w:val="22"/>
          <w:szCs w:val="22"/>
        </w:rPr>
        <w:t>The Law and Economics of Self-Dealing.</w:t>
      </w:r>
      <w:proofErr w:type="gramEnd"/>
      <w:r w:rsidRPr="00F552F0">
        <w:rPr>
          <w:sz w:val="22"/>
          <w:szCs w:val="22"/>
        </w:rPr>
        <w:t xml:space="preserve"> Journal of Financial Economics 88 430-465. </w:t>
      </w:r>
    </w:p>
    <w:p w:rsidR="00B86D95" w:rsidRPr="00F552F0" w:rsidRDefault="00B86D95" w:rsidP="00B86D95">
      <w:pPr>
        <w:ind w:left="720" w:hanging="720"/>
        <w:jc w:val="both"/>
        <w:rPr>
          <w:sz w:val="22"/>
          <w:szCs w:val="22"/>
        </w:rPr>
      </w:pPr>
      <w:proofErr w:type="spellStart"/>
      <w:r w:rsidRPr="00F552F0">
        <w:rPr>
          <w:sz w:val="22"/>
          <w:szCs w:val="22"/>
        </w:rPr>
        <w:t>Dornbusch</w:t>
      </w:r>
      <w:proofErr w:type="spellEnd"/>
      <w:r w:rsidRPr="00F552F0">
        <w:rPr>
          <w:sz w:val="22"/>
          <w:szCs w:val="22"/>
        </w:rPr>
        <w:t xml:space="preserve">, R., Edwards, S., 1992. </w:t>
      </w:r>
      <w:proofErr w:type="gramStart"/>
      <w:r w:rsidRPr="00F552F0">
        <w:rPr>
          <w:sz w:val="22"/>
          <w:szCs w:val="22"/>
        </w:rPr>
        <w:t>The Macroeconomics of Populism in Latin America.</w:t>
      </w:r>
      <w:proofErr w:type="gramEnd"/>
      <w:r w:rsidRPr="00F552F0">
        <w:rPr>
          <w:sz w:val="22"/>
          <w:szCs w:val="22"/>
        </w:rPr>
        <w:t xml:space="preserve"> </w:t>
      </w:r>
      <w:smartTag w:uri="urn:schemas-microsoft-com:office:smarttags" w:element="place">
        <w:smartTag w:uri="urn:schemas-microsoft-com:office:smarttags" w:element="PlaceType">
          <w:r w:rsidRPr="00F552F0">
            <w:rPr>
              <w:sz w:val="22"/>
              <w:szCs w:val="22"/>
            </w:rPr>
            <w:t>University</w:t>
          </w:r>
        </w:smartTag>
        <w:r w:rsidRPr="00F552F0">
          <w:rPr>
            <w:sz w:val="22"/>
            <w:szCs w:val="22"/>
          </w:rPr>
          <w:t xml:space="preserve"> of </w:t>
        </w:r>
        <w:smartTag w:uri="urn:schemas-microsoft-com:office:smarttags" w:element="PlaceName">
          <w:r w:rsidRPr="00F552F0">
            <w:rPr>
              <w:sz w:val="22"/>
              <w:szCs w:val="22"/>
            </w:rPr>
            <w:t>Chicago</w:t>
          </w:r>
        </w:smartTag>
      </w:smartTag>
      <w:r w:rsidRPr="00F552F0">
        <w:rPr>
          <w:sz w:val="22"/>
          <w:szCs w:val="22"/>
        </w:rPr>
        <w:t xml:space="preserve"> Press, Chicago.</w:t>
      </w:r>
    </w:p>
    <w:p w:rsidR="00B86D95" w:rsidRPr="00F552F0" w:rsidRDefault="00B86D95" w:rsidP="00B86D95">
      <w:pPr>
        <w:ind w:left="720" w:hanging="720"/>
        <w:jc w:val="both"/>
        <w:rPr>
          <w:rFonts w:eastAsia="Times New Roman"/>
          <w:sz w:val="22"/>
          <w:szCs w:val="22"/>
        </w:rPr>
      </w:pPr>
      <w:r w:rsidRPr="00F552F0">
        <w:rPr>
          <w:sz w:val="22"/>
          <w:szCs w:val="22"/>
        </w:rPr>
        <w:t xml:space="preserve">Durnev, A., Li, K., Morck, R., Yeung, B., </w:t>
      </w:r>
      <w:r w:rsidRPr="00F552F0">
        <w:rPr>
          <w:iCs/>
          <w:color w:val="231F20"/>
          <w:sz w:val="22"/>
          <w:szCs w:val="22"/>
        </w:rPr>
        <w:t>2004.</w:t>
      </w:r>
      <w:r w:rsidRPr="00F552F0">
        <w:rPr>
          <w:sz w:val="22"/>
          <w:szCs w:val="22"/>
        </w:rPr>
        <w:t xml:space="preserve"> Capital markets and capital allocation:  implications for economies in transition, </w:t>
      </w:r>
      <w:r w:rsidRPr="00F552F0">
        <w:rPr>
          <w:iCs/>
          <w:sz w:val="22"/>
          <w:szCs w:val="22"/>
        </w:rPr>
        <w:t>Economics of Transition 1</w:t>
      </w:r>
      <w:r w:rsidRPr="00F552F0">
        <w:rPr>
          <w:iCs/>
          <w:color w:val="231F20"/>
          <w:sz w:val="22"/>
          <w:szCs w:val="22"/>
        </w:rPr>
        <w:t>2, 593–634</w:t>
      </w:r>
      <w:r w:rsidRPr="00F552F0">
        <w:rPr>
          <w:sz w:val="22"/>
          <w:szCs w:val="22"/>
        </w:rPr>
        <w:t>.</w:t>
      </w:r>
      <w:r w:rsidRPr="00F552F0">
        <w:rPr>
          <w:rFonts w:eastAsia="Times New Roman"/>
          <w:sz w:val="22"/>
          <w:szCs w:val="22"/>
        </w:rPr>
        <w:t xml:space="preserve"> </w:t>
      </w:r>
    </w:p>
    <w:p w:rsidR="00B86D95" w:rsidRPr="00F552F0" w:rsidRDefault="00B86D95" w:rsidP="00B86D95">
      <w:pPr>
        <w:ind w:left="720" w:hanging="720"/>
        <w:jc w:val="both"/>
        <w:rPr>
          <w:rFonts w:eastAsia="Times New Roman"/>
          <w:sz w:val="22"/>
          <w:szCs w:val="22"/>
        </w:rPr>
      </w:pPr>
      <w:proofErr w:type="spellStart"/>
      <w:r w:rsidRPr="00F552F0">
        <w:rPr>
          <w:rFonts w:eastAsia="Times New Roman"/>
          <w:sz w:val="22"/>
          <w:szCs w:val="22"/>
        </w:rPr>
        <w:t>Dyck</w:t>
      </w:r>
      <w:proofErr w:type="spellEnd"/>
      <w:r w:rsidRPr="00F552F0">
        <w:rPr>
          <w:rFonts w:eastAsia="Times New Roman"/>
          <w:sz w:val="22"/>
          <w:szCs w:val="22"/>
        </w:rPr>
        <w:t xml:space="preserve">, A., </w:t>
      </w:r>
      <w:proofErr w:type="spellStart"/>
      <w:r w:rsidRPr="00F552F0">
        <w:rPr>
          <w:rFonts w:eastAsia="Times New Roman"/>
          <w:sz w:val="22"/>
          <w:szCs w:val="22"/>
        </w:rPr>
        <w:t>Zingales</w:t>
      </w:r>
      <w:proofErr w:type="spellEnd"/>
      <w:r w:rsidRPr="00F552F0">
        <w:rPr>
          <w:rFonts w:eastAsia="Times New Roman"/>
          <w:sz w:val="22"/>
          <w:szCs w:val="22"/>
        </w:rPr>
        <w:t xml:space="preserve">, L., 2004. Private benefits of control: an international comparison. Journal of Finance 59, 537-600. </w:t>
      </w:r>
    </w:p>
    <w:p w:rsidR="00A43F7C" w:rsidRPr="00F552F0" w:rsidRDefault="00A43F7C" w:rsidP="00A43F7C">
      <w:pPr>
        <w:ind w:left="720" w:hanging="720"/>
        <w:jc w:val="both"/>
        <w:rPr>
          <w:sz w:val="22"/>
          <w:szCs w:val="22"/>
        </w:rPr>
      </w:pPr>
      <w:proofErr w:type="gramStart"/>
      <w:r w:rsidRPr="00F552F0">
        <w:rPr>
          <w:sz w:val="22"/>
          <w:szCs w:val="22"/>
        </w:rPr>
        <w:t>Faccio, M., 2006.</w:t>
      </w:r>
      <w:proofErr w:type="gramEnd"/>
      <w:r w:rsidRPr="00F552F0">
        <w:rPr>
          <w:sz w:val="22"/>
          <w:szCs w:val="22"/>
        </w:rPr>
        <w:t xml:space="preserve"> </w:t>
      </w:r>
      <w:proofErr w:type="gramStart"/>
      <w:r w:rsidRPr="00F552F0">
        <w:rPr>
          <w:sz w:val="22"/>
          <w:szCs w:val="22"/>
        </w:rPr>
        <w:t>Politically connected firms.</w:t>
      </w:r>
      <w:proofErr w:type="gramEnd"/>
      <w:r w:rsidRPr="00F552F0">
        <w:rPr>
          <w:sz w:val="22"/>
          <w:szCs w:val="22"/>
        </w:rPr>
        <w:t xml:space="preserve"> American Economic Review 96, 369-386.</w:t>
      </w:r>
    </w:p>
    <w:p w:rsidR="00B86D95" w:rsidRPr="00F552F0" w:rsidRDefault="00B86D95" w:rsidP="00B86D95">
      <w:pPr>
        <w:ind w:left="720" w:hanging="720"/>
        <w:jc w:val="both"/>
        <w:rPr>
          <w:sz w:val="22"/>
          <w:szCs w:val="22"/>
        </w:rPr>
      </w:pPr>
      <w:proofErr w:type="gramStart"/>
      <w:r w:rsidRPr="00F552F0">
        <w:rPr>
          <w:sz w:val="22"/>
          <w:szCs w:val="22"/>
        </w:rPr>
        <w:t xml:space="preserve">Faccio, M., </w:t>
      </w:r>
      <w:proofErr w:type="spellStart"/>
      <w:r w:rsidRPr="00F552F0">
        <w:rPr>
          <w:sz w:val="22"/>
          <w:szCs w:val="22"/>
        </w:rPr>
        <w:t>Masulis</w:t>
      </w:r>
      <w:proofErr w:type="spellEnd"/>
      <w:r w:rsidRPr="00F552F0">
        <w:rPr>
          <w:sz w:val="22"/>
          <w:szCs w:val="22"/>
        </w:rPr>
        <w:t>, R., McConnell, J., 2006.</w:t>
      </w:r>
      <w:proofErr w:type="gramEnd"/>
      <w:r w:rsidRPr="00F552F0">
        <w:rPr>
          <w:sz w:val="22"/>
          <w:szCs w:val="22"/>
        </w:rPr>
        <w:t xml:space="preserve"> </w:t>
      </w:r>
      <w:proofErr w:type="gramStart"/>
      <w:r w:rsidRPr="00F552F0">
        <w:rPr>
          <w:sz w:val="22"/>
          <w:szCs w:val="22"/>
        </w:rPr>
        <w:t>Political connections and corporate bailouts.</w:t>
      </w:r>
      <w:proofErr w:type="gramEnd"/>
      <w:r w:rsidRPr="00F552F0">
        <w:rPr>
          <w:sz w:val="22"/>
          <w:szCs w:val="22"/>
        </w:rPr>
        <w:t xml:space="preserve"> </w:t>
      </w:r>
      <w:proofErr w:type="gramStart"/>
      <w:r w:rsidRPr="00F552F0">
        <w:rPr>
          <w:sz w:val="22"/>
          <w:szCs w:val="22"/>
        </w:rPr>
        <w:t>Journal of Finance 61, 2597-2635.</w:t>
      </w:r>
      <w:proofErr w:type="gramEnd"/>
    </w:p>
    <w:p w:rsidR="00A43F7C" w:rsidRPr="00F552F0" w:rsidRDefault="00A43F7C" w:rsidP="00A43F7C">
      <w:pPr>
        <w:ind w:left="720" w:hanging="720"/>
        <w:jc w:val="both"/>
        <w:rPr>
          <w:sz w:val="22"/>
          <w:szCs w:val="22"/>
        </w:rPr>
      </w:pPr>
      <w:proofErr w:type="spellStart"/>
      <w:proofErr w:type="gramStart"/>
      <w:r w:rsidRPr="00F552F0">
        <w:rPr>
          <w:sz w:val="22"/>
          <w:szCs w:val="22"/>
        </w:rPr>
        <w:t>Fisman</w:t>
      </w:r>
      <w:proofErr w:type="spellEnd"/>
      <w:r w:rsidRPr="00F552F0">
        <w:rPr>
          <w:sz w:val="22"/>
          <w:szCs w:val="22"/>
        </w:rPr>
        <w:t>, R., Khanna, T., 2004.</w:t>
      </w:r>
      <w:proofErr w:type="gramEnd"/>
      <w:r w:rsidRPr="00F552F0">
        <w:rPr>
          <w:sz w:val="22"/>
          <w:szCs w:val="22"/>
        </w:rPr>
        <w:t xml:space="preserve"> </w:t>
      </w:r>
      <w:proofErr w:type="gramStart"/>
      <w:r w:rsidRPr="00F552F0">
        <w:rPr>
          <w:sz w:val="22"/>
          <w:szCs w:val="22"/>
        </w:rPr>
        <w:t>Facilitating development: the role of business groups.</w:t>
      </w:r>
      <w:proofErr w:type="gramEnd"/>
      <w:r w:rsidRPr="00F552F0">
        <w:rPr>
          <w:sz w:val="22"/>
          <w:szCs w:val="22"/>
        </w:rPr>
        <w:t xml:space="preserve"> World Development 32, 609-628.</w:t>
      </w:r>
    </w:p>
    <w:p w:rsidR="00B86D95" w:rsidRPr="00F552F0" w:rsidRDefault="00B86D95" w:rsidP="00B86D95">
      <w:pPr>
        <w:ind w:left="720" w:hanging="720"/>
        <w:jc w:val="both"/>
        <w:rPr>
          <w:rFonts w:eastAsia="Times New Roman"/>
          <w:sz w:val="22"/>
          <w:szCs w:val="22"/>
        </w:rPr>
      </w:pPr>
      <w:proofErr w:type="spellStart"/>
      <w:r w:rsidRPr="00F552F0">
        <w:rPr>
          <w:rFonts w:eastAsia="Times New Roman"/>
          <w:sz w:val="22"/>
          <w:szCs w:val="22"/>
        </w:rPr>
        <w:t>Fisman</w:t>
      </w:r>
      <w:proofErr w:type="spellEnd"/>
      <w:r w:rsidRPr="00F552F0">
        <w:rPr>
          <w:rFonts w:eastAsia="Times New Roman"/>
          <w:sz w:val="22"/>
          <w:szCs w:val="22"/>
        </w:rPr>
        <w:t xml:space="preserve">, R., Miguel, E., 2008. Economic Gangsters: Corruption, Violence, and the Poverty of Nations. </w:t>
      </w:r>
      <w:smartTag w:uri="urn:schemas-microsoft-com:office:smarttags" w:element="PlaceName">
        <w:r w:rsidRPr="00F552F0">
          <w:rPr>
            <w:rFonts w:eastAsia="Times New Roman"/>
            <w:sz w:val="22"/>
            <w:szCs w:val="22"/>
          </w:rPr>
          <w:t>Princeton</w:t>
        </w:r>
      </w:smartTag>
      <w:r w:rsidRPr="00F552F0">
        <w:rPr>
          <w:rFonts w:eastAsia="Times New Roman"/>
          <w:sz w:val="22"/>
          <w:szCs w:val="22"/>
        </w:rPr>
        <w:t xml:space="preserve"> </w:t>
      </w:r>
      <w:smartTag w:uri="urn:schemas-microsoft-com:office:smarttags" w:element="PlaceType">
        <w:r w:rsidRPr="00F552F0">
          <w:rPr>
            <w:rFonts w:eastAsia="Times New Roman"/>
            <w:sz w:val="22"/>
            <w:szCs w:val="22"/>
          </w:rPr>
          <w:t>University</w:t>
        </w:r>
      </w:smartTag>
      <w:r w:rsidRPr="00F552F0">
        <w:rPr>
          <w:rFonts w:eastAsia="Times New Roman"/>
          <w:sz w:val="22"/>
          <w:szCs w:val="22"/>
        </w:rPr>
        <w:t xml:space="preserve"> Press, </w:t>
      </w:r>
      <w:smartTag w:uri="urn:schemas-microsoft-com:office:smarttags" w:element="place">
        <w:r w:rsidRPr="00F552F0">
          <w:rPr>
            <w:rFonts w:eastAsia="Times New Roman"/>
            <w:sz w:val="22"/>
            <w:szCs w:val="22"/>
          </w:rPr>
          <w:t>Princeton</w:t>
        </w:r>
      </w:smartTag>
      <w:r w:rsidRPr="00F552F0">
        <w:rPr>
          <w:rFonts w:eastAsia="Times New Roman"/>
          <w:sz w:val="22"/>
          <w:szCs w:val="22"/>
        </w:rPr>
        <w:t>.</w:t>
      </w:r>
    </w:p>
    <w:p w:rsidR="00A43F7C" w:rsidRPr="00F552F0" w:rsidRDefault="00A43F7C" w:rsidP="00A43F7C">
      <w:pPr>
        <w:ind w:left="720" w:hanging="720"/>
        <w:jc w:val="both"/>
        <w:rPr>
          <w:sz w:val="22"/>
          <w:szCs w:val="22"/>
        </w:rPr>
      </w:pPr>
      <w:proofErr w:type="spellStart"/>
      <w:r w:rsidRPr="00F552F0">
        <w:rPr>
          <w:sz w:val="22"/>
          <w:szCs w:val="22"/>
        </w:rPr>
        <w:t>Fogel</w:t>
      </w:r>
      <w:proofErr w:type="spellEnd"/>
      <w:r w:rsidRPr="00F552F0">
        <w:rPr>
          <w:sz w:val="22"/>
          <w:szCs w:val="22"/>
        </w:rPr>
        <w:t xml:space="preserve">, K., 2006. </w:t>
      </w:r>
      <w:proofErr w:type="gramStart"/>
      <w:r w:rsidRPr="00F552F0">
        <w:rPr>
          <w:sz w:val="22"/>
          <w:szCs w:val="22"/>
        </w:rPr>
        <w:t>Oligarchic family control, social economic outcomes, and the quality of government.</w:t>
      </w:r>
      <w:proofErr w:type="gramEnd"/>
      <w:r w:rsidRPr="00F552F0">
        <w:rPr>
          <w:sz w:val="22"/>
          <w:szCs w:val="22"/>
        </w:rPr>
        <w:t xml:space="preserve"> Journal of International Business Studies 37, 603-622.</w:t>
      </w:r>
    </w:p>
    <w:p w:rsidR="00B86D95" w:rsidRPr="00F552F0" w:rsidRDefault="00B86D95" w:rsidP="00B86D95">
      <w:pPr>
        <w:ind w:left="720" w:hanging="720"/>
        <w:jc w:val="both"/>
        <w:rPr>
          <w:sz w:val="22"/>
          <w:szCs w:val="22"/>
        </w:rPr>
      </w:pPr>
      <w:proofErr w:type="spellStart"/>
      <w:r w:rsidRPr="00F552F0">
        <w:rPr>
          <w:sz w:val="22"/>
          <w:szCs w:val="22"/>
        </w:rPr>
        <w:t>Fogel</w:t>
      </w:r>
      <w:proofErr w:type="spellEnd"/>
      <w:r w:rsidRPr="00F552F0">
        <w:rPr>
          <w:sz w:val="22"/>
          <w:szCs w:val="22"/>
        </w:rPr>
        <w:t xml:space="preserve">, K., Morck, R., Yeung, B., 2008. Big business stability and economic growth: is what's good for General Motors good for </w:t>
      </w:r>
      <w:smartTag w:uri="urn:schemas-microsoft-com:office:smarttags" w:element="country-region">
        <w:smartTag w:uri="urn:schemas-microsoft-com:office:smarttags" w:element="place">
          <w:r w:rsidRPr="00F552F0">
            <w:rPr>
              <w:sz w:val="22"/>
              <w:szCs w:val="22"/>
            </w:rPr>
            <w:t>America</w:t>
          </w:r>
        </w:smartTag>
      </w:smartTag>
      <w:r w:rsidRPr="00F552F0">
        <w:rPr>
          <w:sz w:val="22"/>
          <w:szCs w:val="22"/>
        </w:rPr>
        <w:t>? Journal of Financial Economics 89, 83-108.</w:t>
      </w:r>
    </w:p>
    <w:p w:rsidR="00B86D95" w:rsidRPr="00F552F0" w:rsidRDefault="00B86D95" w:rsidP="00B86D95">
      <w:pPr>
        <w:ind w:left="720" w:hanging="720"/>
        <w:jc w:val="both"/>
        <w:rPr>
          <w:sz w:val="22"/>
          <w:szCs w:val="22"/>
        </w:rPr>
      </w:pPr>
      <w:proofErr w:type="gramStart"/>
      <w:r w:rsidRPr="00F552F0">
        <w:rPr>
          <w:sz w:val="22"/>
          <w:szCs w:val="22"/>
        </w:rPr>
        <w:t>Gentry, W., Hubbard, G., 2000.</w:t>
      </w:r>
      <w:proofErr w:type="gramEnd"/>
      <w:r w:rsidRPr="00F552F0">
        <w:rPr>
          <w:sz w:val="22"/>
          <w:szCs w:val="22"/>
        </w:rPr>
        <w:t xml:space="preserve"> </w:t>
      </w:r>
      <w:proofErr w:type="gramStart"/>
      <w:r w:rsidRPr="00F552F0">
        <w:rPr>
          <w:sz w:val="22"/>
          <w:szCs w:val="22"/>
        </w:rPr>
        <w:t>Tax policy and entrepreneurial entry.</w:t>
      </w:r>
      <w:proofErr w:type="gramEnd"/>
      <w:r w:rsidRPr="00F552F0">
        <w:rPr>
          <w:sz w:val="22"/>
          <w:szCs w:val="22"/>
        </w:rPr>
        <w:t xml:space="preserve"> The American Economic Review 90, 283-287.</w:t>
      </w:r>
    </w:p>
    <w:p w:rsidR="00B86D95" w:rsidRPr="00F552F0" w:rsidRDefault="00B86D95" w:rsidP="00B86D95">
      <w:pPr>
        <w:ind w:left="720" w:hanging="720"/>
        <w:jc w:val="both"/>
        <w:rPr>
          <w:sz w:val="22"/>
          <w:szCs w:val="22"/>
        </w:rPr>
      </w:pPr>
      <w:proofErr w:type="spellStart"/>
      <w:r w:rsidRPr="00F552F0">
        <w:rPr>
          <w:sz w:val="22"/>
          <w:szCs w:val="22"/>
        </w:rPr>
        <w:t>Gini</w:t>
      </w:r>
      <w:proofErr w:type="spellEnd"/>
      <w:r w:rsidRPr="00F552F0">
        <w:rPr>
          <w:sz w:val="22"/>
          <w:szCs w:val="22"/>
        </w:rPr>
        <w:t xml:space="preserve">, C., 1921. </w:t>
      </w:r>
      <w:proofErr w:type="gramStart"/>
      <w:r w:rsidRPr="00F552F0">
        <w:rPr>
          <w:sz w:val="22"/>
          <w:szCs w:val="22"/>
        </w:rPr>
        <w:t>Measurement of inequality and incomes.</w:t>
      </w:r>
      <w:proofErr w:type="gramEnd"/>
      <w:r w:rsidRPr="00F552F0">
        <w:rPr>
          <w:sz w:val="22"/>
          <w:szCs w:val="22"/>
        </w:rPr>
        <w:t xml:space="preserve"> Economic Journal 31, 124-126.</w:t>
      </w:r>
    </w:p>
    <w:p w:rsidR="00B86D95" w:rsidRPr="00F552F0" w:rsidRDefault="00B86D95" w:rsidP="00B86D95">
      <w:pPr>
        <w:ind w:left="720" w:hanging="720"/>
        <w:jc w:val="both"/>
        <w:rPr>
          <w:sz w:val="22"/>
          <w:szCs w:val="22"/>
        </w:rPr>
      </w:pPr>
      <w:proofErr w:type="spellStart"/>
      <w:r w:rsidRPr="00F552F0">
        <w:rPr>
          <w:sz w:val="22"/>
          <w:szCs w:val="22"/>
        </w:rPr>
        <w:t>Glaeser</w:t>
      </w:r>
      <w:proofErr w:type="spellEnd"/>
      <w:r w:rsidRPr="00F552F0">
        <w:rPr>
          <w:sz w:val="22"/>
          <w:szCs w:val="22"/>
        </w:rPr>
        <w:t xml:space="preserve">, E., </w:t>
      </w:r>
      <w:proofErr w:type="spellStart"/>
      <w:r w:rsidRPr="00F552F0">
        <w:rPr>
          <w:sz w:val="22"/>
          <w:szCs w:val="22"/>
        </w:rPr>
        <w:t>Scheinkman</w:t>
      </w:r>
      <w:proofErr w:type="spellEnd"/>
      <w:r w:rsidRPr="00F552F0">
        <w:rPr>
          <w:sz w:val="22"/>
          <w:szCs w:val="22"/>
        </w:rPr>
        <w:t xml:space="preserve"> J., Shleifer A., 2003. </w:t>
      </w:r>
      <w:proofErr w:type="gramStart"/>
      <w:r w:rsidRPr="00F552F0">
        <w:rPr>
          <w:sz w:val="22"/>
          <w:szCs w:val="22"/>
        </w:rPr>
        <w:t>The injustice of inequality.</w:t>
      </w:r>
      <w:proofErr w:type="gramEnd"/>
      <w:r w:rsidRPr="00F552F0">
        <w:rPr>
          <w:sz w:val="22"/>
          <w:szCs w:val="22"/>
        </w:rPr>
        <w:t xml:space="preserve"> Journal of Monetary Economics 50, 199-222. </w:t>
      </w:r>
    </w:p>
    <w:p w:rsidR="00B86D95" w:rsidRPr="00F552F0" w:rsidRDefault="00B86D95" w:rsidP="00B86D95">
      <w:pPr>
        <w:ind w:left="720" w:hanging="720"/>
        <w:jc w:val="both"/>
        <w:rPr>
          <w:sz w:val="22"/>
          <w:szCs w:val="22"/>
        </w:rPr>
      </w:pPr>
      <w:proofErr w:type="gramStart"/>
      <w:r w:rsidRPr="00F552F0">
        <w:rPr>
          <w:color w:val="000000"/>
          <w:sz w:val="22"/>
          <w:szCs w:val="22"/>
        </w:rPr>
        <w:t>Global Financial Stability Report.</w:t>
      </w:r>
      <w:proofErr w:type="gramEnd"/>
      <w:r w:rsidRPr="00F552F0">
        <w:rPr>
          <w:color w:val="000000"/>
          <w:sz w:val="22"/>
          <w:szCs w:val="22"/>
        </w:rPr>
        <w:t xml:space="preserve"> April 2009. </w:t>
      </w:r>
      <w:proofErr w:type="gramStart"/>
      <w:r w:rsidRPr="00F552F0">
        <w:rPr>
          <w:color w:val="000000"/>
          <w:sz w:val="22"/>
          <w:szCs w:val="22"/>
        </w:rPr>
        <w:t>International Monetary Fund.</w:t>
      </w:r>
      <w:proofErr w:type="gramEnd"/>
    </w:p>
    <w:p w:rsidR="00B86D95" w:rsidRPr="00F552F0" w:rsidRDefault="00B86D95" w:rsidP="00B86D95">
      <w:pPr>
        <w:ind w:left="720" w:hanging="720"/>
        <w:jc w:val="both"/>
        <w:rPr>
          <w:sz w:val="22"/>
          <w:szCs w:val="22"/>
        </w:rPr>
      </w:pPr>
      <w:r w:rsidRPr="00F552F0">
        <w:rPr>
          <w:sz w:val="22"/>
          <w:szCs w:val="22"/>
        </w:rPr>
        <w:t xml:space="preserve">Gordon R., Dew-Becker, </w:t>
      </w:r>
      <w:smartTag w:uri="urn:schemas-microsoft-com:office:smarttags" w:element="place">
        <w:r w:rsidRPr="00F552F0">
          <w:rPr>
            <w:sz w:val="22"/>
            <w:szCs w:val="22"/>
          </w:rPr>
          <w:t>I.</w:t>
        </w:r>
      </w:smartTag>
      <w:r w:rsidRPr="00F552F0">
        <w:rPr>
          <w:sz w:val="22"/>
          <w:szCs w:val="22"/>
        </w:rPr>
        <w:t xml:space="preserve">, 2007. </w:t>
      </w:r>
      <w:hyperlink r:id="rId28" w:history="1">
        <w:proofErr w:type="gramStart"/>
        <w:r w:rsidRPr="00F552F0">
          <w:rPr>
            <w:sz w:val="22"/>
            <w:szCs w:val="22"/>
          </w:rPr>
          <w:t>Selected issues in the rise of income inequality</w:t>
        </w:r>
      </w:hyperlink>
      <w:r w:rsidRPr="00F552F0">
        <w:rPr>
          <w:sz w:val="22"/>
          <w:szCs w:val="22"/>
        </w:rPr>
        <w:t>.</w:t>
      </w:r>
      <w:proofErr w:type="gramEnd"/>
      <w:r w:rsidRPr="00F552F0">
        <w:rPr>
          <w:sz w:val="22"/>
          <w:szCs w:val="22"/>
        </w:rPr>
        <w:t> </w:t>
      </w:r>
      <w:hyperlink r:id="rId29" w:history="1">
        <w:r w:rsidRPr="00F552F0">
          <w:rPr>
            <w:sz w:val="22"/>
            <w:szCs w:val="22"/>
          </w:rPr>
          <w:t>Brookings Papers on Economic Activity</w:t>
        </w:r>
      </w:hyperlink>
      <w:r w:rsidRPr="00F552F0">
        <w:rPr>
          <w:sz w:val="22"/>
          <w:szCs w:val="22"/>
        </w:rPr>
        <w:t>, Economic Studies Program 38, 169-192.</w:t>
      </w:r>
    </w:p>
    <w:p w:rsidR="00B86D95" w:rsidRPr="00F552F0" w:rsidRDefault="00B86D95" w:rsidP="00B86D95">
      <w:pPr>
        <w:ind w:left="720" w:hanging="720"/>
        <w:jc w:val="both"/>
        <w:rPr>
          <w:sz w:val="22"/>
          <w:szCs w:val="22"/>
        </w:rPr>
      </w:pPr>
      <w:smartTag w:uri="urn:schemas-microsoft-com:office:smarttags" w:element="place">
        <w:smartTag w:uri="urn:schemas-microsoft-com:office:smarttags" w:element="City">
          <w:r w:rsidRPr="00F552F0">
            <w:rPr>
              <w:sz w:val="22"/>
              <w:szCs w:val="22"/>
            </w:rPr>
            <w:t>Greenwood</w:t>
          </w:r>
        </w:smartTag>
      </w:smartTag>
      <w:r w:rsidRPr="00F552F0">
        <w:rPr>
          <w:sz w:val="22"/>
          <w:szCs w:val="22"/>
        </w:rPr>
        <w:t xml:space="preserve">, J., </w:t>
      </w:r>
      <w:proofErr w:type="spellStart"/>
      <w:r w:rsidRPr="00F552F0">
        <w:rPr>
          <w:sz w:val="22"/>
          <w:szCs w:val="22"/>
        </w:rPr>
        <w:t>Jovanovic</w:t>
      </w:r>
      <w:proofErr w:type="spellEnd"/>
      <w:r w:rsidRPr="00F552F0">
        <w:rPr>
          <w:sz w:val="22"/>
          <w:szCs w:val="22"/>
        </w:rPr>
        <w:t xml:space="preserve">, B., 1990. </w:t>
      </w:r>
      <w:proofErr w:type="gramStart"/>
      <w:r w:rsidRPr="00F552F0">
        <w:rPr>
          <w:sz w:val="22"/>
          <w:szCs w:val="22"/>
        </w:rPr>
        <w:t>Financial development, growth, and the distribution of income.</w:t>
      </w:r>
      <w:proofErr w:type="gramEnd"/>
      <w:r w:rsidRPr="00F552F0">
        <w:rPr>
          <w:sz w:val="22"/>
          <w:szCs w:val="22"/>
        </w:rPr>
        <w:t xml:space="preserve"> Journal of Political Economy 98, 1076-1178. </w:t>
      </w:r>
    </w:p>
    <w:p w:rsidR="00A43F7C" w:rsidRPr="00F552F0" w:rsidRDefault="00A43F7C" w:rsidP="00A43F7C">
      <w:pPr>
        <w:ind w:left="720" w:hanging="720"/>
        <w:jc w:val="both"/>
        <w:rPr>
          <w:rFonts w:eastAsia="Times New Roman"/>
          <w:sz w:val="22"/>
          <w:szCs w:val="22"/>
        </w:rPr>
      </w:pPr>
      <w:proofErr w:type="gramStart"/>
      <w:r w:rsidRPr="00F552F0">
        <w:rPr>
          <w:rFonts w:eastAsia="Times New Roman"/>
          <w:sz w:val="22"/>
          <w:szCs w:val="22"/>
        </w:rPr>
        <w:t>Haber, S., 2002.</w:t>
      </w:r>
      <w:proofErr w:type="gramEnd"/>
      <w:r w:rsidRPr="00F552F0">
        <w:rPr>
          <w:rFonts w:eastAsia="Times New Roman"/>
          <w:sz w:val="22"/>
          <w:szCs w:val="22"/>
        </w:rPr>
        <w:t xml:space="preserve"> Crony Capitalism and Economic Growth in </w:t>
      </w:r>
      <w:smartTag w:uri="urn:schemas-microsoft-com:office:smarttags" w:element="place">
        <w:r w:rsidRPr="00F552F0">
          <w:rPr>
            <w:rFonts w:eastAsia="Times New Roman"/>
            <w:sz w:val="22"/>
            <w:szCs w:val="22"/>
          </w:rPr>
          <w:t>Latin America</w:t>
        </w:r>
      </w:smartTag>
      <w:r w:rsidRPr="00F552F0">
        <w:rPr>
          <w:rFonts w:eastAsia="Times New Roman"/>
          <w:sz w:val="22"/>
          <w:szCs w:val="22"/>
        </w:rPr>
        <w:t xml:space="preserve">: Theory and Evidence. </w:t>
      </w:r>
      <w:smartTag w:uri="urn:schemas-microsoft-com:office:smarttags" w:element="City">
        <w:smartTag w:uri="urn:schemas-microsoft-com:office:smarttags" w:element="place">
          <w:r w:rsidRPr="00F552F0">
            <w:rPr>
              <w:rFonts w:eastAsia="Times New Roman"/>
              <w:sz w:val="22"/>
              <w:szCs w:val="22"/>
            </w:rPr>
            <w:t>Hoover</w:t>
          </w:r>
        </w:smartTag>
      </w:smartTag>
      <w:r w:rsidRPr="00F552F0">
        <w:rPr>
          <w:rFonts w:eastAsia="Times New Roman"/>
          <w:sz w:val="22"/>
          <w:szCs w:val="22"/>
        </w:rPr>
        <w:t xml:space="preserve"> Institution Press, Stanford.</w:t>
      </w:r>
    </w:p>
    <w:p w:rsidR="00B86D95" w:rsidRPr="00F552F0" w:rsidRDefault="00B86D95" w:rsidP="00B86D95">
      <w:pPr>
        <w:ind w:left="720" w:hanging="720"/>
        <w:jc w:val="both"/>
        <w:rPr>
          <w:sz w:val="22"/>
          <w:szCs w:val="22"/>
        </w:rPr>
      </w:pPr>
      <w:proofErr w:type="gramStart"/>
      <w:r w:rsidRPr="00F552F0">
        <w:rPr>
          <w:sz w:val="22"/>
          <w:szCs w:val="22"/>
          <w:lang w:val="en-CA"/>
        </w:rPr>
        <w:t xml:space="preserve">Haber, S., Maurer, N., </w:t>
      </w:r>
      <w:proofErr w:type="spellStart"/>
      <w:r w:rsidRPr="00F552F0">
        <w:rPr>
          <w:sz w:val="22"/>
          <w:szCs w:val="22"/>
          <w:lang w:val="en-CA"/>
        </w:rPr>
        <w:t>Razo</w:t>
      </w:r>
      <w:proofErr w:type="spellEnd"/>
      <w:r w:rsidRPr="00F552F0">
        <w:rPr>
          <w:sz w:val="22"/>
          <w:szCs w:val="22"/>
          <w:lang w:val="en-CA"/>
        </w:rPr>
        <w:t>, A., 2003.</w:t>
      </w:r>
      <w:proofErr w:type="gramEnd"/>
      <w:r w:rsidRPr="00F552F0">
        <w:rPr>
          <w:sz w:val="22"/>
          <w:szCs w:val="22"/>
          <w:lang w:val="en-CA"/>
        </w:rPr>
        <w:t xml:space="preserve"> </w:t>
      </w:r>
      <w:r w:rsidRPr="00F552F0">
        <w:rPr>
          <w:sz w:val="22"/>
          <w:szCs w:val="22"/>
        </w:rPr>
        <w:t xml:space="preserve">The Politics of Property Rights: Political Instability, Credible Commitments, and Economic Growth in </w:t>
      </w:r>
      <w:smartTag w:uri="urn:schemas-microsoft-com:office:smarttags" w:element="country-region">
        <w:smartTag w:uri="urn:schemas-microsoft-com:office:smarttags" w:element="place">
          <w:r w:rsidRPr="00F552F0">
            <w:rPr>
              <w:sz w:val="22"/>
              <w:szCs w:val="22"/>
            </w:rPr>
            <w:t>Mexico</w:t>
          </w:r>
        </w:smartTag>
      </w:smartTag>
      <w:r w:rsidRPr="00F552F0">
        <w:rPr>
          <w:sz w:val="22"/>
          <w:szCs w:val="22"/>
        </w:rPr>
        <w:t xml:space="preserve">, 1876-1929. </w:t>
      </w:r>
      <w:proofErr w:type="gramStart"/>
      <w:r w:rsidRPr="00F552F0">
        <w:rPr>
          <w:sz w:val="22"/>
          <w:szCs w:val="22"/>
        </w:rPr>
        <w:t>Cambridge University Press, Cambridge, New York.</w:t>
      </w:r>
      <w:proofErr w:type="gramEnd"/>
    </w:p>
    <w:p w:rsidR="00B86D95" w:rsidRPr="00F552F0" w:rsidRDefault="00B86D95" w:rsidP="00B86D95">
      <w:pPr>
        <w:ind w:left="720" w:hanging="720"/>
        <w:jc w:val="both"/>
        <w:rPr>
          <w:sz w:val="22"/>
          <w:szCs w:val="22"/>
        </w:rPr>
      </w:pPr>
      <w:proofErr w:type="gramStart"/>
      <w:r w:rsidRPr="00F552F0">
        <w:rPr>
          <w:sz w:val="22"/>
          <w:szCs w:val="22"/>
        </w:rPr>
        <w:t>Hellman, J., Jones G., Kaufmann, D., 2003.</w:t>
      </w:r>
      <w:proofErr w:type="gramEnd"/>
      <w:r w:rsidRPr="00F552F0">
        <w:rPr>
          <w:sz w:val="22"/>
          <w:szCs w:val="22"/>
        </w:rPr>
        <w:t xml:space="preserve"> Seize the state, seize the day: state capture and influence in transition economies. Journal of Comparative Economics 31, 751-773. </w:t>
      </w:r>
    </w:p>
    <w:p w:rsidR="00B86D95" w:rsidRPr="00F552F0" w:rsidRDefault="00B86D95" w:rsidP="00B86D95">
      <w:pPr>
        <w:ind w:left="720" w:hanging="720"/>
        <w:jc w:val="both"/>
        <w:rPr>
          <w:sz w:val="22"/>
          <w:szCs w:val="22"/>
        </w:rPr>
      </w:pPr>
      <w:proofErr w:type="spellStart"/>
      <w:r w:rsidRPr="00F552F0">
        <w:rPr>
          <w:sz w:val="22"/>
          <w:szCs w:val="22"/>
        </w:rPr>
        <w:lastRenderedPageBreak/>
        <w:t>Högfeldt</w:t>
      </w:r>
      <w:proofErr w:type="spellEnd"/>
      <w:r w:rsidRPr="00F552F0">
        <w:rPr>
          <w:sz w:val="22"/>
          <w:szCs w:val="22"/>
        </w:rPr>
        <w:t xml:space="preserve">, P., 2005. </w:t>
      </w:r>
      <w:proofErr w:type="gramStart"/>
      <w:r w:rsidRPr="00F552F0">
        <w:rPr>
          <w:sz w:val="22"/>
          <w:szCs w:val="22"/>
        </w:rPr>
        <w:t>The history and politics of corporate ownership in Sweden.</w:t>
      </w:r>
      <w:proofErr w:type="gramEnd"/>
      <w:r w:rsidRPr="00F552F0">
        <w:rPr>
          <w:sz w:val="22"/>
          <w:szCs w:val="22"/>
        </w:rPr>
        <w:t xml:space="preserve"> In: Morck, R. (Ed.), </w:t>
      </w:r>
      <w:proofErr w:type="gramStart"/>
      <w:r w:rsidRPr="00F552F0">
        <w:rPr>
          <w:sz w:val="22"/>
          <w:szCs w:val="22"/>
        </w:rPr>
        <w:t>A</w:t>
      </w:r>
      <w:proofErr w:type="gramEnd"/>
      <w:r w:rsidRPr="00F552F0">
        <w:rPr>
          <w:sz w:val="22"/>
          <w:szCs w:val="22"/>
        </w:rPr>
        <w:t xml:space="preserve"> History of Corporate Governance around the World: Family Business Groups to Professional Managers. </w:t>
      </w:r>
      <w:smartTag w:uri="urn:schemas-microsoft-com:office:smarttags" w:element="place">
        <w:smartTag w:uri="urn:schemas-microsoft-com:office:smarttags" w:element="PlaceType">
          <w:r w:rsidRPr="00F552F0">
            <w:rPr>
              <w:sz w:val="22"/>
              <w:szCs w:val="22"/>
            </w:rPr>
            <w:t>University</w:t>
          </w:r>
        </w:smartTag>
        <w:r w:rsidRPr="00F552F0">
          <w:rPr>
            <w:sz w:val="22"/>
            <w:szCs w:val="22"/>
          </w:rPr>
          <w:t xml:space="preserve"> of </w:t>
        </w:r>
        <w:smartTag w:uri="urn:schemas-microsoft-com:office:smarttags" w:element="PlaceName">
          <w:r w:rsidRPr="00F552F0">
            <w:rPr>
              <w:sz w:val="22"/>
              <w:szCs w:val="22"/>
            </w:rPr>
            <w:t>Chicago</w:t>
          </w:r>
        </w:smartTag>
      </w:smartTag>
      <w:r w:rsidRPr="00F552F0">
        <w:rPr>
          <w:sz w:val="22"/>
          <w:szCs w:val="22"/>
        </w:rPr>
        <w:t xml:space="preserve"> Press, Chicago, pp. 517-580.</w:t>
      </w:r>
    </w:p>
    <w:p w:rsidR="00B86D95" w:rsidRPr="00F552F0" w:rsidRDefault="00B86D95" w:rsidP="00B86D95">
      <w:pPr>
        <w:ind w:left="720" w:hanging="720"/>
        <w:jc w:val="both"/>
        <w:rPr>
          <w:sz w:val="22"/>
          <w:szCs w:val="22"/>
        </w:rPr>
      </w:pPr>
      <w:proofErr w:type="spellStart"/>
      <w:r w:rsidRPr="00F552F0">
        <w:rPr>
          <w:sz w:val="22"/>
          <w:szCs w:val="22"/>
        </w:rPr>
        <w:t>Jayaratne</w:t>
      </w:r>
      <w:proofErr w:type="spellEnd"/>
      <w:r w:rsidRPr="00F552F0">
        <w:rPr>
          <w:sz w:val="22"/>
          <w:szCs w:val="22"/>
        </w:rPr>
        <w:t xml:space="preserve">, J., </w:t>
      </w:r>
      <w:proofErr w:type="spellStart"/>
      <w:r w:rsidRPr="00F552F0">
        <w:rPr>
          <w:sz w:val="22"/>
          <w:szCs w:val="22"/>
        </w:rPr>
        <w:t>Strahan</w:t>
      </w:r>
      <w:proofErr w:type="spellEnd"/>
      <w:r w:rsidRPr="00F552F0">
        <w:rPr>
          <w:sz w:val="22"/>
          <w:szCs w:val="22"/>
        </w:rPr>
        <w:t>, P., 1996. The finance-growth nexus: Evidence from bank branch deregulation. Quarterly Journal of Economics 111, 639-670.</w:t>
      </w:r>
    </w:p>
    <w:p w:rsidR="00B86D95" w:rsidRPr="00F552F0" w:rsidRDefault="00B86D95" w:rsidP="00B86D95">
      <w:pPr>
        <w:ind w:left="720" w:hanging="720"/>
        <w:jc w:val="both"/>
        <w:rPr>
          <w:sz w:val="22"/>
          <w:szCs w:val="22"/>
        </w:rPr>
      </w:pPr>
      <w:r w:rsidRPr="00F552F0">
        <w:rPr>
          <w:sz w:val="22"/>
          <w:szCs w:val="22"/>
        </w:rPr>
        <w:t xml:space="preserve">Jaffe, A., 1986. </w:t>
      </w:r>
      <w:hyperlink r:id="rId30" w:history="1">
        <w:r w:rsidRPr="00F552F0">
          <w:rPr>
            <w:sz w:val="22"/>
            <w:szCs w:val="22"/>
          </w:rPr>
          <w:t>Technological opportunity and spillovers of R&amp;D: evidence from firms' patents, profits, and market value</w:t>
        </w:r>
      </w:hyperlink>
      <w:r w:rsidRPr="00F552F0">
        <w:rPr>
          <w:sz w:val="22"/>
          <w:szCs w:val="22"/>
        </w:rPr>
        <w:t xml:space="preserve">, The </w:t>
      </w:r>
      <w:hyperlink r:id="rId31" w:history="1">
        <w:r w:rsidRPr="00F552F0">
          <w:rPr>
            <w:sz w:val="22"/>
            <w:szCs w:val="22"/>
          </w:rPr>
          <w:t>American Economic Review</w:t>
        </w:r>
      </w:hyperlink>
      <w:r w:rsidRPr="00F552F0">
        <w:rPr>
          <w:sz w:val="22"/>
          <w:szCs w:val="22"/>
        </w:rPr>
        <w:t xml:space="preserve"> 76, 984-1001.</w:t>
      </w:r>
    </w:p>
    <w:p w:rsidR="00B86D95" w:rsidRPr="00F552F0" w:rsidRDefault="00B86D95" w:rsidP="00B86D95">
      <w:pPr>
        <w:ind w:left="720" w:hanging="720"/>
        <w:jc w:val="both"/>
        <w:rPr>
          <w:sz w:val="22"/>
          <w:szCs w:val="22"/>
        </w:rPr>
      </w:pPr>
      <w:proofErr w:type="gramStart"/>
      <w:r w:rsidRPr="00F552F0">
        <w:rPr>
          <w:sz w:val="22"/>
          <w:szCs w:val="22"/>
        </w:rPr>
        <w:t>Jensen, M., Meckling, W., 1976.</w:t>
      </w:r>
      <w:proofErr w:type="gramEnd"/>
      <w:r w:rsidRPr="00F552F0">
        <w:rPr>
          <w:sz w:val="22"/>
          <w:szCs w:val="22"/>
        </w:rPr>
        <w:t xml:space="preserve"> Theory of the firm: managerial behavior, agency costs and ownership structure. Journal of Financial Economics 3, 305-360.</w:t>
      </w:r>
    </w:p>
    <w:p w:rsidR="00B86D95" w:rsidRPr="00F552F0" w:rsidRDefault="00B86D95" w:rsidP="00B86D95">
      <w:pPr>
        <w:ind w:left="720" w:hanging="720"/>
        <w:jc w:val="both"/>
        <w:rPr>
          <w:sz w:val="22"/>
          <w:szCs w:val="22"/>
          <w:lang w:val="fr-CA"/>
        </w:rPr>
      </w:pPr>
      <w:r w:rsidRPr="00F552F0">
        <w:rPr>
          <w:sz w:val="22"/>
          <w:szCs w:val="22"/>
        </w:rPr>
        <w:t xml:space="preserve">John, K., Litov, L., Yeung, B., 2008. Corporate governance and managerial risk taking: theory and evidence. </w:t>
      </w:r>
      <w:r w:rsidRPr="00F552F0">
        <w:rPr>
          <w:sz w:val="22"/>
          <w:szCs w:val="22"/>
          <w:lang w:val="fr-CA"/>
        </w:rPr>
        <w:t>Journal of Finance 63, 1679-1728.</w:t>
      </w:r>
    </w:p>
    <w:p w:rsidR="00B86D95" w:rsidRPr="00F552F0" w:rsidRDefault="00B86D95" w:rsidP="00B86D95">
      <w:pPr>
        <w:ind w:left="720" w:hanging="720"/>
        <w:jc w:val="both"/>
        <w:rPr>
          <w:rFonts w:eastAsia="Times New Roman"/>
          <w:sz w:val="22"/>
          <w:szCs w:val="22"/>
        </w:rPr>
      </w:pPr>
      <w:r w:rsidRPr="00F552F0">
        <w:rPr>
          <w:rFonts w:eastAsia="Times New Roman"/>
          <w:sz w:val="22"/>
          <w:szCs w:val="22"/>
          <w:lang w:val="fr-CA"/>
        </w:rPr>
        <w:t xml:space="preserve">Johnson, S., La Porta, R., Lopez-De-Silanes, F., Shleifer, A., 2000. </w:t>
      </w:r>
      <w:proofErr w:type="gramStart"/>
      <w:r w:rsidRPr="00F552F0">
        <w:rPr>
          <w:rFonts w:eastAsia="Times New Roman"/>
          <w:sz w:val="22"/>
          <w:szCs w:val="22"/>
        </w:rPr>
        <w:t>Tunneling.</w:t>
      </w:r>
      <w:proofErr w:type="gramEnd"/>
      <w:r w:rsidRPr="00F552F0">
        <w:rPr>
          <w:rFonts w:eastAsia="Times New Roman"/>
          <w:sz w:val="22"/>
          <w:szCs w:val="22"/>
        </w:rPr>
        <w:t xml:space="preserve"> The American Economic Review 90, 22-27.</w:t>
      </w:r>
    </w:p>
    <w:p w:rsidR="00A43F7C" w:rsidRPr="00F552F0" w:rsidRDefault="003151E5" w:rsidP="003151E5">
      <w:pPr>
        <w:ind w:left="720" w:hanging="720"/>
        <w:jc w:val="both"/>
        <w:rPr>
          <w:sz w:val="22"/>
          <w:szCs w:val="22"/>
        </w:rPr>
      </w:pPr>
      <w:proofErr w:type="gramStart"/>
      <w:r w:rsidRPr="00F552F0">
        <w:rPr>
          <w:rFonts w:eastAsia="Times New Roman"/>
          <w:sz w:val="22"/>
          <w:szCs w:val="22"/>
        </w:rPr>
        <w:t>Khanna, T., 2008.</w:t>
      </w:r>
      <w:proofErr w:type="gramEnd"/>
      <w:r w:rsidRPr="00F552F0">
        <w:rPr>
          <w:rFonts w:eastAsia="Times New Roman"/>
          <w:sz w:val="22"/>
          <w:szCs w:val="22"/>
        </w:rPr>
        <w:t xml:space="preserve"> Billions of Entrepreneurs: How China and India Are Reshaping Their Futures and Yours. HBS press, Massachusetts. </w:t>
      </w:r>
    </w:p>
    <w:p w:rsidR="00A43F7C" w:rsidRPr="00F552F0" w:rsidRDefault="00A43F7C" w:rsidP="00A43F7C">
      <w:pPr>
        <w:ind w:left="720" w:hanging="720"/>
        <w:jc w:val="both"/>
        <w:rPr>
          <w:sz w:val="22"/>
          <w:szCs w:val="22"/>
        </w:rPr>
      </w:pPr>
      <w:proofErr w:type="gramStart"/>
      <w:r w:rsidRPr="00F552F0">
        <w:rPr>
          <w:sz w:val="22"/>
          <w:szCs w:val="22"/>
        </w:rPr>
        <w:t xml:space="preserve">Khanna, T., </w:t>
      </w:r>
      <w:proofErr w:type="spellStart"/>
      <w:r w:rsidRPr="00F552F0">
        <w:rPr>
          <w:sz w:val="22"/>
          <w:szCs w:val="22"/>
        </w:rPr>
        <w:t>Palepu</w:t>
      </w:r>
      <w:proofErr w:type="spellEnd"/>
      <w:r w:rsidRPr="00F552F0">
        <w:rPr>
          <w:sz w:val="22"/>
          <w:szCs w:val="22"/>
        </w:rPr>
        <w:t>, K., 2000.</w:t>
      </w:r>
      <w:proofErr w:type="gramEnd"/>
      <w:r w:rsidRPr="00F552F0">
        <w:rPr>
          <w:sz w:val="22"/>
          <w:szCs w:val="22"/>
        </w:rPr>
        <w:t xml:space="preserve"> Is group affiliation profitable in emerging markets? </w:t>
      </w:r>
      <w:proofErr w:type="gramStart"/>
      <w:r w:rsidRPr="00F552F0">
        <w:rPr>
          <w:sz w:val="22"/>
          <w:szCs w:val="22"/>
        </w:rPr>
        <w:t>An analysis of diversified Indian business groups.</w:t>
      </w:r>
      <w:proofErr w:type="gramEnd"/>
      <w:r w:rsidRPr="00F552F0">
        <w:rPr>
          <w:sz w:val="22"/>
          <w:szCs w:val="22"/>
        </w:rPr>
        <w:t xml:space="preserve"> Journal of Finance 55, 867-891.</w:t>
      </w:r>
    </w:p>
    <w:p w:rsidR="00A43F7C" w:rsidRPr="00F552F0" w:rsidRDefault="00A43F7C" w:rsidP="00A43F7C">
      <w:pPr>
        <w:ind w:left="720" w:hanging="720"/>
        <w:jc w:val="both"/>
        <w:rPr>
          <w:sz w:val="22"/>
          <w:szCs w:val="22"/>
        </w:rPr>
      </w:pPr>
      <w:proofErr w:type="gramStart"/>
      <w:r w:rsidRPr="00F552F0">
        <w:rPr>
          <w:sz w:val="22"/>
          <w:szCs w:val="22"/>
        </w:rPr>
        <w:t xml:space="preserve">Khanna, T., </w:t>
      </w:r>
      <w:proofErr w:type="spellStart"/>
      <w:r w:rsidRPr="00F552F0">
        <w:rPr>
          <w:sz w:val="22"/>
          <w:szCs w:val="22"/>
        </w:rPr>
        <w:t>Palepu</w:t>
      </w:r>
      <w:proofErr w:type="spellEnd"/>
      <w:r w:rsidRPr="00F552F0">
        <w:rPr>
          <w:sz w:val="22"/>
          <w:szCs w:val="22"/>
        </w:rPr>
        <w:t xml:space="preserve">, K., </w:t>
      </w:r>
      <w:proofErr w:type="spellStart"/>
      <w:r w:rsidRPr="00F552F0">
        <w:rPr>
          <w:sz w:val="22"/>
          <w:szCs w:val="22"/>
        </w:rPr>
        <w:t>Garten</w:t>
      </w:r>
      <w:proofErr w:type="spellEnd"/>
      <w:r w:rsidRPr="00F552F0">
        <w:rPr>
          <w:sz w:val="22"/>
          <w:szCs w:val="22"/>
        </w:rPr>
        <w:t>, J., 2000.</w:t>
      </w:r>
      <w:proofErr w:type="gramEnd"/>
      <w:r w:rsidRPr="00F552F0">
        <w:rPr>
          <w:sz w:val="22"/>
          <w:szCs w:val="22"/>
        </w:rPr>
        <w:t xml:space="preserve"> Why focused strategies may be wrong for emerging markets. In: World View: Global Strategies for the New Economy. </w:t>
      </w:r>
      <w:smartTag w:uri="urn:schemas-microsoft-com:office:smarttags" w:element="PlaceName">
        <w:r w:rsidRPr="00F552F0">
          <w:rPr>
            <w:sz w:val="22"/>
            <w:szCs w:val="22"/>
          </w:rPr>
          <w:t>Harvard</w:t>
        </w:r>
      </w:smartTag>
      <w:r w:rsidRPr="00F552F0">
        <w:rPr>
          <w:sz w:val="22"/>
          <w:szCs w:val="22"/>
        </w:rPr>
        <w:t xml:space="preserve"> </w:t>
      </w:r>
      <w:smartTag w:uri="urn:schemas-microsoft-com:office:smarttags" w:element="PlaceName">
        <w:r w:rsidRPr="00F552F0">
          <w:rPr>
            <w:sz w:val="22"/>
            <w:szCs w:val="22"/>
          </w:rPr>
          <w:t>Business</w:t>
        </w:r>
      </w:smartTag>
      <w:r w:rsidRPr="00F552F0">
        <w:rPr>
          <w:sz w:val="22"/>
          <w:szCs w:val="22"/>
        </w:rPr>
        <w:t xml:space="preserve"> </w:t>
      </w:r>
      <w:smartTag w:uri="urn:schemas-microsoft-com:office:smarttags" w:element="PlaceType">
        <w:r w:rsidRPr="00F552F0">
          <w:rPr>
            <w:sz w:val="22"/>
            <w:szCs w:val="22"/>
          </w:rPr>
          <w:t>School</w:t>
        </w:r>
      </w:smartTag>
      <w:r w:rsidRPr="00F552F0">
        <w:rPr>
          <w:sz w:val="22"/>
          <w:szCs w:val="22"/>
        </w:rPr>
        <w:t xml:space="preserve"> Press, </w:t>
      </w:r>
      <w:smartTag w:uri="urn:schemas-microsoft-com:office:smarttags" w:element="City">
        <w:smartTag w:uri="urn:schemas-microsoft-com:office:smarttags" w:element="place">
          <w:r w:rsidRPr="00F552F0">
            <w:rPr>
              <w:sz w:val="22"/>
              <w:szCs w:val="22"/>
            </w:rPr>
            <w:t>Boston</w:t>
          </w:r>
        </w:smartTag>
      </w:smartTag>
      <w:r w:rsidRPr="00F552F0">
        <w:rPr>
          <w:sz w:val="22"/>
          <w:szCs w:val="22"/>
        </w:rPr>
        <w:t>, 21-36.</w:t>
      </w:r>
    </w:p>
    <w:p w:rsidR="00B86D95" w:rsidRPr="00F552F0" w:rsidRDefault="00B86D95" w:rsidP="00B86D95">
      <w:pPr>
        <w:ind w:left="720" w:hanging="720"/>
        <w:jc w:val="both"/>
        <w:rPr>
          <w:sz w:val="22"/>
          <w:szCs w:val="22"/>
        </w:rPr>
      </w:pPr>
      <w:proofErr w:type="gramStart"/>
      <w:r w:rsidRPr="00F552F0">
        <w:rPr>
          <w:sz w:val="22"/>
          <w:szCs w:val="22"/>
        </w:rPr>
        <w:t xml:space="preserve">Khanna, T., </w:t>
      </w:r>
      <w:proofErr w:type="spellStart"/>
      <w:r w:rsidRPr="00F552F0">
        <w:rPr>
          <w:sz w:val="22"/>
          <w:szCs w:val="22"/>
        </w:rPr>
        <w:t>Rivkin</w:t>
      </w:r>
      <w:proofErr w:type="spellEnd"/>
      <w:r w:rsidRPr="00F552F0">
        <w:rPr>
          <w:sz w:val="22"/>
          <w:szCs w:val="22"/>
        </w:rPr>
        <w:t>, J., 2001.</w:t>
      </w:r>
      <w:proofErr w:type="gramEnd"/>
      <w:r w:rsidRPr="00F552F0">
        <w:rPr>
          <w:sz w:val="22"/>
          <w:szCs w:val="22"/>
        </w:rPr>
        <w:t xml:space="preserve"> </w:t>
      </w:r>
      <w:proofErr w:type="gramStart"/>
      <w:r w:rsidRPr="00F552F0">
        <w:rPr>
          <w:sz w:val="22"/>
          <w:szCs w:val="22"/>
        </w:rPr>
        <w:t>Estimating the performance effects of business groups in emerging markets.</w:t>
      </w:r>
      <w:proofErr w:type="gramEnd"/>
      <w:r w:rsidRPr="00F552F0">
        <w:rPr>
          <w:sz w:val="22"/>
          <w:szCs w:val="22"/>
        </w:rPr>
        <w:t xml:space="preserve"> Strategic Management Journal 22, 45-74.</w:t>
      </w:r>
    </w:p>
    <w:p w:rsidR="00B86D95" w:rsidRPr="00F552F0" w:rsidRDefault="00B86D95" w:rsidP="00B86D95">
      <w:pPr>
        <w:ind w:left="720" w:hanging="720"/>
        <w:jc w:val="both"/>
        <w:rPr>
          <w:sz w:val="22"/>
          <w:szCs w:val="22"/>
        </w:rPr>
      </w:pPr>
      <w:proofErr w:type="gramStart"/>
      <w:r w:rsidRPr="00F552F0">
        <w:rPr>
          <w:sz w:val="22"/>
          <w:szCs w:val="22"/>
        </w:rPr>
        <w:t xml:space="preserve">Khanna, T., </w:t>
      </w:r>
      <w:proofErr w:type="spellStart"/>
      <w:r w:rsidRPr="00F552F0">
        <w:rPr>
          <w:sz w:val="22"/>
          <w:szCs w:val="22"/>
        </w:rPr>
        <w:t>Yafeh</w:t>
      </w:r>
      <w:proofErr w:type="spellEnd"/>
      <w:r w:rsidRPr="00F552F0">
        <w:rPr>
          <w:sz w:val="22"/>
          <w:szCs w:val="22"/>
        </w:rPr>
        <w:t>, Y., 2005.</w:t>
      </w:r>
      <w:proofErr w:type="gramEnd"/>
      <w:r w:rsidRPr="00F552F0">
        <w:rPr>
          <w:sz w:val="22"/>
          <w:szCs w:val="22"/>
        </w:rPr>
        <w:t xml:space="preserve"> </w:t>
      </w:r>
      <w:proofErr w:type="gramStart"/>
      <w:r w:rsidRPr="00F552F0">
        <w:rPr>
          <w:sz w:val="22"/>
          <w:szCs w:val="22"/>
        </w:rPr>
        <w:t>Business groups and risk sharing around the world.</w:t>
      </w:r>
      <w:proofErr w:type="gramEnd"/>
      <w:r w:rsidRPr="00F552F0">
        <w:rPr>
          <w:sz w:val="22"/>
          <w:szCs w:val="22"/>
        </w:rPr>
        <w:t xml:space="preserve"> Journal of Business 78, 301-340.</w:t>
      </w:r>
    </w:p>
    <w:p w:rsidR="00B86D95" w:rsidRPr="00F552F0" w:rsidRDefault="00B86D95" w:rsidP="00B86D95">
      <w:pPr>
        <w:ind w:left="720" w:hanging="720"/>
        <w:jc w:val="both"/>
        <w:rPr>
          <w:sz w:val="22"/>
          <w:szCs w:val="22"/>
        </w:rPr>
      </w:pPr>
      <w:proofErr w:type="gramStart"/>
      <w:r w:rsidRPr="00F552F0">
        <w:rPr>
          <w:sz w:val="22"/>
          <w:szCs w:val="22"/>
        </w:rPr>
        <w:t xml:space="preserve">Khanna, T., </w:t>
      </w:r>
      <w:proofErr w:type="spellStart"/>
      <w:r w:rsidRPr="00F552F0">
        <w:rPr>
          <w:sz w:val="22"/>
          <w:szCs w:val="22"/>
        </w:rPr>
        <w:t>Yafeh</w:t>
      </w:r>
      <w:proofErr w:type="spellEnd"/>
      <w:r w:rsidRPr="00F552F0">
        <w:rPr>
          <w:sz w:val="22"/>
          <w:szCs w:val="22"/>
        </w:rPr>
        <w:t>, Y., 2007.</w:t>
      </w:r>
      <w:proofErr w:type="gramEnd"/>
      <w:r w:rsidRPr="00F552F0">
        <w:rPr>
          <w:sz w:val="22"/>
          <w:szCs w:val="22"/>
        </w:rPr>
        <w:t xml:space="preserve"> Business groups in emerging markets: paragons or parasites? Journal of Economic Literature 45, 331-372.</w:t>
      </w:r>
    </w:p>
    <w:p w:rsidR="00B86D95" w:rsidRPr="00F552F0" w:rsidRDefault="00B86D95" w:rsidP="00B86D95">
      <w:pPr>
        <w:ind w:left="720" w:hanging="720"/>
        <w:jc w:val="both"/>
        <w:rPr>
          <w:sz w:val="22"/>
          <w:szCs w:val="22"/>
        </w:rPr>
      </w:pPr>
      <w:r w:rsidRPr="00F552F0">
        <w:rPr>
          <w:sz w:val="22"/>
          <w:szCs w:val="22"/>
        </w:rPr>
        <w:t xml:space="preserve">Kindleberger, C., </w:t>
      </w:r>
      <w:proofErr w:type="spellStart"/>
      <w:r w:rsidRPr="00F552F0">
        <w:rPr>
          <w:sz w:val="22"/>
          <w:szCs w:val="22"/>
        </w:rPr>
        <w:t>Aliber</w:t>
      </w:r>
      <w:proofErr w:type="spellEnd"/>
      <w:r w:rsidRPr="00F552F0">
        <w:rPr>
          <w:sz w:val="22"/>
          <w:szCs w:val="22"/>
        </w:rPr>
        <w:t xml:space="preserve">, R., 2005. Manias, panics, and crashes: a history of financial crises. John Wiley &amp; Sons, </w:t>
      </w:r>
      <w:smartTag w:uri="urn:schemas-microsoft-com:office:smarttags" w:element="City">
        <w:smartTag w:uri="urn:schemas-microsoft-com:office:smarttags" w:element="place">
          <w:r w:rsidRPr="00F552F0">
            <w:rPr>
              <w:sz w:val="22"/>
              <w:szCs w:val="22"/>
            </w:rPr>
            <w:t>Hoboken</w:t>
          </w:r>
        </w:smartTag>
      </w:smartTag>
      <w:r w:rsidRPr="00F552F0">
        <w:rPr>
          <w:sz w:val="22"/>
          <w:szCs w:val="22"/>
        </w:rPr>
        <w:t>.</w:t>
      </w:r>
    </w:p>
    <w:p w:rsidR="00B86D95" w:rsidRPr="00F552F0" w:rsidRDefault="00B86D95" w:rsidP="00B86D95">
      <w:pPr>
        <w:ind w:left="720" w:hanging="720"/>
        <w:jc w:val="both"/>
        <w:rPr>
          <w:sz w:val="22"/>
          <w:szCs w:val="22"/>
        </w:rPr>
      </w:pPr>
      <w:r w:rsidRPr="00F552F0">
        <w:rPr>
          <w:sz w:val="22"/>
          <w:szCs w:val="22"/>
        </w:rPr>
        <w:t xml:space="preserve">King, R., Levine, R., 1993a. Finance and growth: </w:t>
      </w:r>
      <w:proofErr w:type="spellStart"/>
      <w:proofErr w:type="gramStart"/>
      <w:r w:rsidRPr="00F552F0">
        <w:rPr>
          <w:sz w:val="22"/>
          <w:szCs w:val="22"/>
        </w:rPr>
        <w:t>schumpeter</w:t>
      </w:r>
      <w:proofErr w:type="spellEnd"/>
      <w:proofErr w:type="gramEnd"/>
      <w:r w:rsidRPr="00F552F0">
        <w:rPr>
          <w:sz w:val="22"/>
          <w:szCs w:val="22"/>
        </w:rPr>
        <w:t xml:space="preserve"> might be right. Quarterly Journal of Economics 108, 717-737.</w:t>
      </w:r>
    </w:p>
    <w:p w:rsidR="00B86D95" w:rsidRPr="00F552F0" w:rsidRDefault="00B86D95" w:rsidP="00B86D95">
      <w:pPr>
        <w:adjustRightInd w:val="0"/>
        <w:ind w:left="720" w:hanging="720"/>
        <w:jc w:val="both"/>
        <w:rPr>
          <w:sz w:val="22"/>
          <w:szCs w:val="22"/>
        </w:rPr>
      </w:pPr>
      <w:r w:rsidRPr="00F552F0">
        <w:rPr>
          <w:sz w:val="22"/>
          <w:szCs w:val="22"/>
        </w:rPr>
        <w:t>King, R., Levine, R., 1993b. Finance, entrepreneurship, and growth: theory and evidence. Journal of Monetary Economics 32, 513-542.</w:t>
      </w:r>
    </w:p>
    <w:p w:rsidR="00B86D95" w:rsidRPr="00F552F0" w:rsidRDefault="00B86D95" w:rsidP="00B86D95">
      <w:pPr>
        <w:ind w:left="720" w:hanging="720"/>
        <w:jc w:val="both"/>
        <w:rPr>
          <w:sz w:val="22"/>
          <w:szCs w:val="22"/>
        </w:rPr>
      </w:pPr>
      <w:r w:rsidRPr="00F552F0">
        <w:rPr>
          <w:sz w:val="22"/>
          <w:szCs w:val="22"/>
        </w:rPr>
        <w:t xml:space="preserve">Krueger, A., 1974. </w:t>
      </w:r>
      <w:proofErr w:type="gramStart"/>
      <w:r w:rsidRPr="00F552F0">
        <w:rPr>
          <w:sz w:val="22"/>
          <w:szCs w:val="22"/>
        </w:rPr>
        <w:t>The political economy of the rent-seeking society.</w:t>
      </w:r>
      <w:proofErr w:type="gramEnd"/>
      <w:r w:rsidRPr="00F552F0">
        <w:rPr>
          <w:sz w:val="22"/>
          <w:szCs w:val="22"/>
        </w:rPr>
        <w:t xml:space="preserve"> The American Economic Review 64, 291-303.</w:t>
      </w:r>
    </w:p>
    <w:p w:rsidR="00B86D95" w:rsidRPr="00F552F0" w:rsidRDefault="00B86D95" w:rsidP="00B86D95">
      <w:pPr>
        <w:ind w:left="720" w:hanging="720"/>
        <w:jc w:val="both"/>
        <w:rPr>
          <w:sz w:val="22"/>
          <w:szCs w:val="22"/>
        </w:rPr>
      </w:pPr>
      <w:r w:rsidRPr="00F552F0">
        <w:rPr>
          <w:sz w:val="22"/>
          <w:szCs w:val="22"/>
        </w:rPr>
        <w:t xml:space="preserve">Krueger, A., 1998. Why trade </w:t>
      </w:r>
      <w:proofErr w:type="spellStart"/>
      <w:r w:rsidRPr="00F552F0">
        <w:rPr>
          <w:sz w:val="22"/>
          <w:szCs w:val="22"/>
        </w:rPr>
        <w:t>liberalisation</w:t>
      </w:r>
      <w:proofErr w:type="spellEnd"/>
      <w:r w:rsidRPr="00F552F0">
        <w:rPr>
          <w:sz w:val="22"/>
          <w:szCs w:val="22"/>
        </w:rPr>
        <w:t xml:space="preserve"> is good for growth. The Economic Journal 108, 1513-1522.</w:t>
      </w:r>
    </w:p>
    <w:p w:rsidR="00B86D95" w:rsidRPr="00F552F0" w:rsidRDefault="00B86D95" w:rsidP="00B86D95">
      <w:pPr>
        <w:ind w:left="720" w:hanging="720"/>
        <w:jc w:val="both"/>
        <w:rPr>
          <w:sz w:val="22"/>
          <w:szCs w:val="22"/>
        </w:rPr>
      </w:pPr>
      <w:r w:rsidRPr="00F552F0">
        <w:rPr>
          <w:sz w:val="22"/>
          <w:szCs w:val="22"/>
        </w:rPr>
        <w:t xml:space="preserve">Krueger, A., 2002. Why crony capitalism is bad for economic growth. In: Haber, S. (Ed.), Crony Capitalism and Economic Growth in </w:t>
      </w:r>
      <w:smartTag w:uri="urn:schemas-microsoft-com:office:smarttags" w:element="place">
        <w:r w:rsidRPr="00F552F0">
          <w:rPr>
            <w:sz w:val="22"/>
            <w:szCs w:val="22"/>
          </w:rPr>
          <w:t>Latin America</w:t>
        </w:r>
      </w:smartTag>
      <w:r w:rsidRPr="00F552F0">
        <w:rPr>
          <w:sz w:val="22"/>
          <w:szCs w:val="22"/>
        </w:rPr>
        <w:t xml:space="preserve">: Theory and Evidence. </w:t>
      </w:r>
      <w:smartTag w:uri="urn:schemas-microsoft-com:office:smarttags" w:element="City">
        <w:smartTag w:uri="urn:schemas-microsoft-com:office:smarttags" w:element="place">
          <w:r w:rsidRPr="00F552F0">
            <w:rPr>
              <w:sz w:val="22"/>
              <w:szCs w:val="22"/>
            </w:rPr>
            <w:t>Hoover</w:t>
          </w:r>
        </w:smartTag>
      </w:smartTag>
      <w:r w:rsidRPr="00F552F0">
        <w:rPr>
          <w:sz w:val="22"/>
          <w:szCs w:val="22"/>
        </w:rPr>
        <w:t xml:space="preserve"> Institution Press, Stanford, pp. 1-23.</w:t>
      </w:r>
    </w:p>
    <w:p w:rsidR="00B86D95" w:rsidRPr="00F552F0" w:rsidRDefault="00B86D95" w:rsidP="00B86D95">
      <w:pPr>
        <w:ind w:left="720" w:hanging="720"/>
        <w:jc w:val="both"/>
        <w:rPr>
          <w:sz w:val="22"/>
          <w:szCs w:val="22"/>
        </w:rPr>
      </w:pPr>
      <w:r w:rsidRPr="00F552F0">
        <w:rPr>
          <w:sz w:val="22"/>
          <w:szCs w:val="22"/>
        </w:rPr>
        <w:t xml:space="preserve">Krueger, A., 2004. </w:t>
      </w:r>
      <w:r w:rsidR="00A43F7C" w:rsidRPr="00F552F0">
        <w:rPr>
          <w:sz w:val="22"/>
          <w:szCs w:val="22"/>
        </w:rPr>
        <w:t>Willful</w:t>
      </w:r>
      <w:r w:rsidRPr="00F552F0">
        <w:rPr>
          <w:sz w:val="22"/>
          <w:szCs w:val="22"/>
        </w:rPr>
        <w:t xml:space="preserve"> ignorance: the struggle to convince the free trade skeptics. World Trade Review 3, 483-493.</w:t>
      </w:r>
    </w:p>
    <w:p w:rsidR="00B86D95" w:rsidRPr="00F552F0" w:rsidRDefault="00B86D95" w:rsidP="00B86D95">
      <w:pPr>
        <w:ind w:left="720" w:hanging="720"/>
        <w:jc w:val="both"/>
        <w:rPr>
          <w:sz w:val="22"/>
          <w:szCs w:val="22"/>
          <w:lang w:val="fr-CA"/>
        </w:rPr>
      </w:pPr>
      <w:r w:rsidRPr="00F552F0">
        <w:rPr>
          <w:sz w:val="22"/>
          <w:szCs w:val="22"/>
          <w:lang w:val="en-CA"/>
        </w:rPr>
        <w:t xml:space="preserve">La </w:t>
      </w:r>
      <w:proofErr w:type="spellStart"/>
      <w:r w:rsidRPr="00F552F0">
        <w:rPr>
          <w:sz w:val="22"/>
          <w:szCs w:val="22"/>
          <w:lang w:val="en-CA"/>
        </w:rPr>
        <w:t>Porta</w:t>
      </w:r>
      <w:proofErr w:type="spellEnd"/>
      <w:r w:rsidRPr="00F552F0">
        <w:rPr>
          <w:sz w:val="22"/>
          <w:szCs w:val="22"/>
          <w:lang w:val="en-CA"/>
        </w:rPr>
        <w:t>, R., Lopez-de-</w:t>
      </w:r>
      <w:proofErr w:type="spellStart"/>
      <w:r w:rsidRPr="00F552F0">
        <w:rPr>
          <w:sz w:val="22"/>
          <w:szCs w:val="22"/>
          <w:lang w:val="en-CA"/>
        </w:rPr>
        <w:t>Silanes</w:t>
      </w:r>
      <w:proofErr w:type="spellEnd"/>
      <w:r w:rsidRPr="00F552F0">
        <w:rPr>
          <w:sz w:val="22"/>
          <w:szCs w:val="22"/>
          <w:lang w:val="en-CA"/>
        </w:rPr>
        <w:t xml:space="preserve">, F., Shleifer, A., 1999. </w:t>
      </w:r>
      <w:proofErr w:type="gramStart"/>
      <w:r w:rsidRPr="00F552F0">
        <w:rPr>
          <w:sz w:val="22"/>
          <w:szCs w:val="22"/>
        </w:rPr>
        <w:t>Corporate ownership around the world.</w:t>
      </w:r>
      <w:proofErr w:type="gramEnd"/>
      <w:r w:rsidRPr="00F552F0">
        <w:rPr>
          <w:sz w:val="22"/>
          <w:szCs w:val="22"/>
        </w:rPr>
        <w:t xml:space="preserve"> </w:t>
      </w:r>
      <w:r w:rsidRPr="00F552F0">
        <w:rPr>
          <w:sz w:val="22"/>
          <w:szCs w:val="22"/>
          <w:lang w:val="fr-CA"/>
        </w:rPr>
        <w:t>Journal of Finance 54, 471-517.</w:t>
      </w:r>
    </w:p>
    <w:p w:rsidR="00B86D95" w:rsidRPr="00F552F0" w:rsidRDefault="00B86D95" w:rsidP="00B86D95">
      <w:pPr>
        <w:ind w:left="720" w:hanging="720"/>
        <w:jc w:val="both"/>
        <w:rPr>
          <w:sz w:val="22"/>
          <w:szCs w:val="22"/>
          <w:lang w:val="en-CA"/>
        </w:rPr>
      </w:pPr>
      <w:r w:rsidRPr="00F552F0">
        <w:rPr>
          <w:sz w:val="22"/>
          <w:szCs w:val="22"/>
          <w:lang w:val="fr-CA"/>
        </w:rPr>
        <w:t xml:space="preserve">La Porta, R., Lopez-de-Silanes, F., Shleifer, A., 2002. </w:t>
      </w:r>
      <w:proofErr w:type="gramStart"/>
      <w:r w:rsidRPr="00F552F0">
        <w:rPr>
          <w:sz w:val="22"/>
          <w:szCs w:val="22"/>
        </w:rPr>
        <w:t>Government ownership of banks.</w:t>
      </w:r>
      <w:proofErr w:type="gramEnd"/>
      <w:r w:rsidRPr="00F552F0">
        <w:rPr>
          <w:sz w:val="22"/>
          <w:szCs w:val="22"/>
        </w:rPr>
        <w:t xml:space="preserve"> </w:t>
      </w:r>
      <w:r w:rsidRPr="00F552F0">
        <w:rPr>
          <w:sz w:val="22"/>
          <w:szCs w:val="22"/>
          <w:lang w:val="en-CA"/>
        </w:rPr>
        <w:t>Journal of Finance 57, 265-301.</w:t>
      </w:r>
    </w:p>
    <w:p w:rsidR="00A43F7C" w:rsidRPr="00F552F0" w:rsidRDefault="00A43F7C" w:rsidP="00A43F7C">
      <w:pPr>
        <w:ind w:left="720" w:hanging="720"/>
        <w:jc w:val="both"/>
        <w:rPr>
          <w:sz w:val="22"/>
          <w:szCs w:val="22"/>
          <w:lang w:val="en-CA"/>
        </w:rPr>
      </w:pPr>
      <w:r w:rsidRPr="00F552F0">
        <w:rPr>
          <w:sz w:val="22"/>
          <w:szCs w:val="22"/>
          <w:lang w:val="fr-CA"/>
        </w:rPr>
        <w:t xml:space="preserve">La Porta, R., Lopez-de-Silanes, F., Shleifer, A., Vishny, R., 1997. </w:t>
      </w:r>
      <w:proofErr w:type="gramStart"/>
      <w:r w:rsidRPr="00F552F0">
        <w:rPr>
          <w:sz w:val="22"/>
          <w:szCs w:val="22"/>
        </w:rPr>
        <w:t>Legal determinants of external finance.</w:t>
      </w:r>
      <w:proofErr w:type="gramEnd"/>
      <w:r w:rsidRPr="00F552F0">
        <w:rPr>
          <w:sz w:val="22"/>
          <w:szCs w:val="22"/>
        </w:rPr>
        <w:t xml:space="preserve"> </w:t>
      </w:r>
      <w:r w:rsidRPr="00F552F0">
        <w:rPr>
          <w:sz w:val="22"/>
          <w:szCs w:val="22"/>
          <w:lang w:val="en-CA"/>
        </w:rPr>
        <w:t>Journal of Finance 52, 1131-1150.</w:t>
      </w:r>
    </w:p>
    <w:p w:rsidR="00B86D95" w:rsidRPr="00F552F0" w:rsidRDefault="00B86D95" w:rsidP="00B86D95">
      <w:pPr>
        <w:ind w:left="720" w:hanging="720"/>
        <w:jc w:val="both"/>
        <w:rPr>
          <w:sz w:val="22"/>
          <w:szCs w:val="22"/>
        </w:rPr>
      </w:pPr>
      <w:r w:rsidRPr="00F552F0">
        <w:rPr>
          <w:sz w:val="22"/>
          <w:szCs w:val="22"/>
          <w:lang w:val="en-CA"/>
        </w:rPr>
        <w:t xml:space="preserve">La </w:t>
      </w:r>
      <w:proofErr w:type="spellStart"/>
      <w:r w:rsidRPr="00F552F0">
        <w:rPr>
          <w:sz w:val="22"/>
          <w:szCs w:val="22"/>
          <w:lang w:val="en-CA"/>
        </w:rPr>
        <w:t>Porta</w:t>
      </w:r>
      <w:proofErr w:type="spellEnd"/>
      <w:r w:rsidRPr="00F552F0">
        <w:rPr>
          <w:sz w:val="22"/>
          <w:szCs w:val="22"/>
          <w:lang w:val="en-CA"/>
        </w:rPr>
        <w:t xml:space="preserve">, R., </w:t>
      </w:r>
      <w:proofErr w:type="spellStart"/>
      <w:r w:rsidRPr="00F552F0">
        <w:rPr>
          <w:sz w:val="22"/>
          <w:szCs w:val="22"/>
          <w:lang w:val="en-CA"/>
        </w:rPr>
        <w:t>López</w:t>
      </w:r>
      <w:proofErr w:type="spellEnd"/>
      <w:r w:rsidRPr="00F552F0">
        <w:rPr>
          <w:sz w:val="22"/>
          <w:szCs w:val="22"/>
          <w:lang w:val="en-CA"/>
        </w:rPr>
        <w:t>-de-</w:t>
      </w:r>
      <w:proofErr w:type="spellStart"/>
      <w:r w:rsidRPr="00F552F0">
        <w:rPr>
          <w:sz w:val="22"/>
          <w:szCs w:val="22"/>
          <w:lang w:val="en-CA"/>
        </w:rPr>
        <w:t>Silanes</w:t>
      </w:r>
      <w:proofErr w:type="spellEnd"/>
      <w:r w:rsidRPr="00F552F0">
        <w:rPr>
          <w:sz w:val="22"/>
          <w:szCs w:val="22"/>
          <w:lang w:val="en-CA"/>
        </w:rPr>
        <w:t xml:space="preserve">, F., </w:t>
      </w:r>
      <w:proofErr w:type="spellStart"/>
      <w:r w:rsidRPr="00F552F0">
        <w:rPr>
          <w:sz w:val="22"/>
          <w:szCs w:val="22"/>
          <w:lang w:val="en-CA"/>
        </w:rPr>
        <w:t>Zamarripa</w:t>
      </w:r>
      <w:proofErr w:type="spellEnd"/>
      <w:r w:rsidRPr="00F552F0">
        <w:rPr>
          <w:sz w:val="22"/>
          <w:szCs w:val="22"/>
          <w:lang w:val="en-CA"/>
        </w:rPr>
        <w:t xml:space="preserve">, G., 2003. </w:t>
      </w:r>
      <w:proofErr w:type="gramStart"/>
      <w:r w:rsidRPr="00F552F0">
        <w:rPr>
          <w:sz w:val="22"/>
          <w:szCs w:val="22"/>
        </w:rPr>
        <w:t>Related lending.</w:t>
      </w:r>
      <w:proofErr w:type="gramEnd"/>
      <w:r w:rsidRPr="00F552F0">
        <w:rPr>
          <w:sz w:val="22"/>
          <w:szCs w:val="22"/>
        </w:rPr>
        <w:t xml:space="preserve"> Quarterly Journal of Economics 118, 231-268. </w:t>
      </w:r>
    </w:p>
    <w:p w:rsidR="00B86D95" w:rsidRPr="00F552F0" w:rsidRDefault="00B86D95" w:rsidP="00B86D95">
      <w:pPr>
        <w:ind w:left="720" w:hanging="720"/>
        <w:jc w:val="both"/>
        <w:rPr>
          <w:sz w:val="22"/>
          <w:szCs w:val="22"/>
        </w:rPr>
      </w:pPr>
      <w:proofErr w:type="spellStart"/>
      <w:r w:rsidRPr="00F552F0">
        <w:rPr>
          <w:sz w:val="22"/>
          <w:szCs w:val="22"/>
        </w:rPr>
        <w:t>Laeven</w:t>
      </w:r>
      <w:proofErr w:type="spellEnd"/>
      <w:r w:rsidRPr="00F552F0">
        <w:rPr>
          <w:sz w:val="22"/>
          <w:szCs w:val="22"/>
        </w:rPr>
        <w:t xml:space="preserve">, L., Levine R., 2009. </w:t>
      </w:r>
      <w:proofErr w:type="gramStart"/>
      <w:r w:rsidRPr="00F552F0">
        <w:rPr>
          <w:sz w:val="22"/>
          <w:szCs w:val="22"/>
        </w:rPr>
        <w:t>Bank governance, regulation and risk taking.</w:t>
      </w:r>
      <w:proofErr w:type="gramEnd"/>
      <w:r w:rsidRPr="00F552F0">
        <w:rPr>
          <w:sz w:val="22"/>
          <w:szCs w:val="22"/>
        </w:rPr>
        <w:t xml:space="preserve"> Journal of Financial Economics 93, 259-275. </w:t>
      </w:r>
    </w:p>
    <w:p w:rsidR="00B86D95" w:rsidRPr="00F552F0" w:rsidRDefault="00B86D95" w:rsidP="00B86D95">
      <w:pPr>
        <w:ind w:left="720" w:hanging="720"/>
        <w:jc w:val="both"/>
        <w:rPr>
          <w:sz w:val="22"/>
          <w:szCs w:val="22"/>
        </w:rPr>
      </w:pPr>
      <w:r w:rsidRPr="00F552F0">
        <w:rPr>
          <w:sz w:val="22"/>
          <w:szCs w:val="22"/>
        </w:rPr>
        <w:lastRenderedPageBreak/>
        <w:t xml:space="preserve">Lester, R., </w:t>
      </w:r>
      <w:proofErr w:type="spellStart"/>
      <w:r w:rsidRPr="00F552F0">
        <w:rPr>
          <w:sz w:val="22"/>
          <w:szCs w:val="22"/>
        </w:rPr>
        <w:t>Cannella</w:t>
      </w:r>
      <w:proofErr w:type="spellEnd"/>
      <w:r w:rsidRPr="00F552F0">
        <w:rPr>
          <w:sz w:val="22"/>
          <w:szCs w:val="22"/>
        </w:rPr>
        <w:t xml:space="preserve">, A., 2006. </w:t>
      </w:r>
      <w:proofErr w:type="spellStart"/>
      <w:r w:rsidRPr="00F552F0">
        <w:rPr>
          <w:sz w:val="22"/>
          <w:szCs w:val="22"/>
        </w:rPr>
        <w:t>Interorganizational</w:t>
      </w:r>
      <w:proofErr w:type="spellEnd"/>
      <w:r w:rsidRPr="00F552F0">
        <w:rPr>
          <w:sz w:val="22"/>
          <w:szCs w:val="22"/>
        </w:rPr>
        <w:t xml:space="preserve"> families: how family firms use interlocking directorates to build community-level social capital. Entrepreneurship Theory and Practice 30, 755-775.</w:t>
      </w:r>
    </w:p>
    <w:p w:rsidR="00B86D95" w:rsidRPr="00F552F0" w:rsidRDefault="00B86D95" w:rsidP="00B86D95">
      <w:pPr>
        <w:ind w:left="720" w:hanging="720"/>
        <w:jc w:val="both"/>
        <w:rPr>
          <w:sz w:val="22"/>
          <w:szCs w:val="22"/>
        </w:rPr>
      </w:pPr>
      <w:r w:rsidRPr="00F552F0">
        <w:rPr>
          <w:sz w:val="22"/>
          <w:szCs w:val="22"/>
        </w:rPr>
        <w:t xml:space="preserve">Levine, R., 1991. </w:t>
      </w:r>
      <w:proofErr w:type="gramStart"/>
      <w:r w:rsidRPr="00F552F0">
        <w:rPr>
          <w:sz w:val="22"/>
          <w:szCs w:val="22"/>
        </w:rPr>
        <w:t>Stock markets, growth, and tax policy.</w:t>
      </w:r>
      <w:proofErr w:type="gramEnd"/>
      <w:r w:rsidRPr="00F552F0">
        <w:rPr>
          <w:sz w:val="22"/>
          <w:szCs w:val="22"/>
        </w:rPr>
        <w:t xml:space="preserve"> Journal of Finance 46 4, 1445-1465.</w:t>
      </w:r>
    </w:p>
    <w:p w:rsidR="00B86D95" w:rsidRPr="00F552F0" w:rsidRDefault="00B86D95" w:rsidP="00B86D95">
      <w:pPr>
        <w:ind w:left="720" w:hanging="720"/>
        <w:jc w:val="both"/>
        <w:rPr>
          <w:sz w:val="22"/>
          <w:szCs w:val="22"/>
        </w:rPr>
      </w:pPr>
      <w:r w:rsidRPr="00F552F0">
        <w:rPr>
          <w:sz w:val="22"/>
          <w:szCs w:val="22"/>
        </w:rPr>
        <w:t xml:space="preserve">Levine, R., 1992. </w:t>
      </w:r>
      <w:hyperlink r:id="rId32" w:history="1">
        <w:proofErr w:type="gramStart"/>
        <w:r w:rsidRPr="00F552F0">
          <w:rPr>
            <w:sz w:val="22"/>
            <w:szCs w:val="22"/>
          </w:rPr>
          <w:t>Financial intermediary services and growth</w:t>
        </w:r>
      </w:hyperlink>
      <w:r w:rsidRPr="00F552F0">
        <w:rPr>
          <w:sz w:val="22"/>
          <w:szCs w:val="22"/>
        </w:rPr>
        <w:t>.</w:t>
      </w:r>
      <w:proofErr w:type="gramEnd"/>
      <w:r w:rsidRPr="00F552F0">
        <w:rPr>
          <w:sz w:val="22"/>
          <w:szCs w:val="22"/>
        </w:rPr>
        <w:t> </w:t>
      </w:r>
      <w:hyperlink r:id="rId33" w:history="1">
        <w:r w:rsidRPr="00F552F0">
          <w:rPr>
            <w:sz w:val="22"/>
            <w:szCs w:val="22"/>
          </w:rPr>
          <w:t>Journal of the Japanese and     International Economies</w:t>
        </w:r>
      </w:hyperlink>
      <w:r w:rsidRPr="00F552F0">
        <w:rPr>
          <w:sz w:val="22"/>
          <w:szCs w:val="22"/>
        </w:rPr>
        <w:t xml:space="preserve"> 6, 383-405.</w:t>
      </w:r>
    </w:p>
    <w:p w:rsidR="00A43F7C" w:rsidRPr="00F552F0" w:rsidRDefault="00A43F7C" w:rsidP="00A43F7C">
      <w:pPr>
        <w:ind w:left="720" w:hanging="720"/>
        <w:jc w:val="both"/>
        <w:rPr>
          <w:sz w:val="22"/>
          <w:szCs w:val="22"/>
        </w:rPr>
      </w:pPr>
      <w:r w:rsidRPr="00F552F0">
        <w:rPr>
          <w:sz w:val="22"/>
          <w:szCs w:val="22"/>
        </w:rPr>
        <w:t>Levine, R., 1996. Stock markets: a spur to economic growth. Finance and Development 33, 7-10.</w:t>
      </w:r>
    </w:p>
    <w:p w:rsidR="00B86D95" w:rsidRPr="00F552F0" w:rsidRDefault="00B86D95" w:rsidP="00B86D95">
      <w:pPr>
        <w:ind w:left="720" w:hanging="720"/>
        <w:jc w:val="both"/>
        <w:rPr>
          <w:sz w:val="22"/>
          <w:szCs w:val="22"/>
        </w:rPr>
      </w:pPr>
      <w:r w:rsidRPr="00F552F0">
        <w:rPr>
          <w:sz w:val="22"/>
          <w:szCs w:val="22"/>
        </w:rPr>
        <w:t xml:space="preserve">Levine, R., 1997. Financial development and economic growth: views and agenda. Journal of Economic Literature 35, 688-726. </w:t>
      </w:r>
    </w:p>
    <w:p w:rsidR="00A43F7C" w:rsidRPr="00F552F0" w:rsidRDefault="00A43F7C" w:rsidP="00A43F7C">
      <w:pPr>
        <w:ind w:left="720" w:hanging="720"/>
        <w:jc w:val="both"/>
        <w:rPr>
          <w:sz w:val="22"/>
          <w:szCs w:val="22"/>
        </w:rPr>
      </w:pPr>
      <w:r w:rsidRPr="00F552F0">
        <w:rPr>
          <w:sz w:val="22"/>
          <w:szCs w:val="22"/>
        </w:rPr>
        <w:t>Levine, R., 2002. Bank-based or market-based financial systems: which is better? Journal of Financial Intermediation 11, 398-428.</w:t>
      </w:r>
    </w:p>
    <w:p w:rsidR="00A43F7C" w:rsidRPr="00F552F0" w:rsidRDefault="00A43F7C" w:rsidP="00A43F7C">
      <w:pPr>
        <w:ind w:left="720" w:hanging="720"/>
        <w:jc w:val="both"/>
        <w:rPr>
          <w:sz w:val="22"/>
          <w:szCs w:val="22"/>
        </w:rPr>
      </w:pPr>
      <w:proofErr w:type="gramStart"/>
      <w:r w:rsidRPr="00F552F0">
        <w:rPr>
          <w:sz w:val="22"/>
          <w:szCs w:val="22"/>
        </w:rPr>
        <w:t xml:space="preserve">Levine, R., </w:t>
      </w:r>
      <w:proofErr w:type="spellStart"/>
      <w:r w:rsidRPr="00F552F0">
        <w:rPr>
          <w:sz w:val="22"/>
          <w:szCs w:val="22"/>
        </w:rPr>
        <w:t>Loayza</w:t>
      </w:r>
      <w:proofErr w:type="spellEnd"/>
      <w:r w:rsidRPr="00F552F0">
        <w:rPr>
          <w:sz w:val="22"/>
          <w:szCs w:val="22"/>
        </w:rPr>
        <w:t>, N., Beck, T., 2000.</w:t>
      </w:r>
      <w:proofErr w:type="gramEnd"/>
      <w:r w:rsidRPr="00F552F0">
        <w:rPr>
          <w:sz w:val="22"/>
          <w:szCs w:val="22"/>
        </w:rPr>
        <w:t xml:space="preserve"> Financial intermediation and growth: causality and causes. Journal of Monetary Economics 46, 31-77.</w:t>
      </w:r>
    </w:p>
    <w:p w:rsidR="00B86D95" w:rsidRPr="00F552F0" w:rsidRDefault="00B86D95" w:rsidP="00B86D95">
      <w:pPr>
        <w:ind w:left="720" w:hanging="720"/>
        <w:jc w:val="both"/>
        <w:rPr>
          <w:sz w:val="22"/>
          <w:szCs w:val="22"/>
        </w:rPr>
      </w:pPr>
      <w:proofErr w:type="gramStart"/>
      <w:r w:rsidRPr="00F552F0">
        <w:rPr>
          <w:sz w:val="22"/>
          <w:szCs w:val="22"/>
        </w:rPr>
        <w:t xml:space="preserve">Levine, R., </w:t>
      </w:r>
      <w:proofErr w:type="spellStart"/>
      <w:r w:rsidRPr="00F552F0">
        <w:rPr>
          <w:sz w:val="22"/>
          <w:szCs w:val="22"/>
        </w:rPr>
        <w:t>Zervos</w:t>
      </w:r>
      <w:proofErr w:type="spellEnd"/>
      <w:r w:rsidRPr="00F552F0">
        <w:rPr>
          <w:sz w:val="22"/>
          <w:szCs w:val="22"/>
        </w:rPr>
        <w:t>, S., 1998.</w:t>
      </w:r>
      <w:proofErr w:type="gramEnd"/>
      <w:r w:rsidRPr="00F552F0">
        <w:rPr>
          <w:sz w:val="22"/>
          <w:szCs w:val="22"/>
        </w:rPr>
        <w:t xml:space="preserve"> </w:t>
      </w:r>
      <w:proofErr w:type="gramStart"/>
      <w:r w:rsidRPr="00F552F0">
        <w:rPr>
          <w:sz w:val="22"/>
          <w:szCs w:val="22"/>
        </w:rPr>
        <w:t>Stock markets, banks, and economic growth.</w:t>
      </w:r>
      <w:proofErr w:type="gramEnd"/>
      <w:r w:rsidRPr="00F552F0">
        <w:rPr>
          <w:sz w:val="22"/>
          <w:szCs w:val="22"/>
        </w:rPr>
        <w:t xml:space="preserve"> The American Economic Review 88, 537-558.</w:t>
      </w:r>
    </w:p>
    <w:p w:rsidR="00B86D95" w:rsidRPr="00F552F0" w:rsidRDefault="00B86D95" w:rsidP="00B86D95">
      <w:pPr>
        <w:ind w:left="720" w:hanging="720"/>
        <w:jc w:val="both"/>
        <w:rPr>
          <w:rFonts w:eastAsia="Times New Roman"/>
          <w:sz w:val="22"/>
          <w:szCs w:val="22"/>
        </w:rPr>
      </w:pPr>
      <w:r w:rsidRPr="00F552F0">
        <w:rPr>
          <w:rFonts w:eastAsia="Times New Roman"/>
          <w:sz w:val="22"/>
          <w:szCs w:val="22"/>
        </w:rPr>
        <w:t xml:space="preserve">Lewis, A., 1969. </w:t>
      </w:r>
      <w:proofErr w:type="gramStart"/>
      <w:r w:rsidRPr="00F552F0">
        <w:rPr>
          <w:rFonts w:eastAsia="Times New Roman"/>
          <w:sz w:val="22"/>
          <w:szCs w:val="22"/>
        </w:rPr>
        <w:t>Principles of Economic Planning.</w:t>
      </w:r>
      <w:proofErr w:type="gramEnd"/>
      <w:r w:rsidRPr="00F552F0">
        <w:rPr>
          <w:rFonts w:eastAsia="Times New Roman"/>
          <w:sz w:val="22"/>
          <w:szCs w:val="22"/>
        </w:rPr>
        <w:t xml:space="preserve"> Allen and </w:t>
      </w:r>
      <w:proofErr w:type="spellStart"/>
      <w:r w:rsidRPr="00F552F0">
        <w:rPr>
          <w:rFonts w:eastAsia="Times New Roman"/>
          <w:sz w:val="22"/>
          <w:szCs w:val="22"/>
        </w:rPr>
        <w:t>Unwin</w:t>
      </w:r>
      <w:proofErr w:type="spellEnd"/>
      <w:r w:rsidRPr="00F552F0">
        <w:rPr>
          <w:rFonts w:eastAsia="Times New Roman"/>
          <w:sz w:val="22"/>
          <w:szCs w:val="22"/>
        </w:rPr>
        <w:t xml:space="preserve">, </w:t>
      </w:r>
      <w:smartTag w:uri="urn:schemas-microsoft-com:office:smarttags" w:element="City">
        <w:smartTag w:uri="urn:schemas-microsoft-com:office:smarttags" w:element="place">
          <w:r w:rsidRPr="00F552F0">
            <w:rPr>
              <w:rFonts w:eastAsia="Times New Roman"/>
              <w:sz w:val="22"/>
              <w:szCs w:val="22"/>
            </w:rPr>
            <w:t>London</w:t>
          </w:r>
        </w:smartTag>
      </w:smartTag>
      <w:r w:rsidRPr="00F552F0">
        <w:rPr>
          <w:rFonts w:eastAsia="Times New Roman"/>
          <w:sz w:val="22"/>
          <w:szCs w:val="22"/>
        </w:rPr>
        <w:t>.</w:t>
      </w:r>
    </w:p>
    <w:p w:rsidR="00B86D95" w:rsidRPr="00F552F0" w:rsidRDefault="00B86D95" w:rsidP="00B86D95">
      <w:pPr>
        <w:ind w:left="720" w:hanging="720"/>
        <w:jc w:val="both"/>
        <w:rPr>
          <w:sz w:val="22"/>
          <w:szCs w:val="22"/>
        </w:rPr>
      </w:pPr>
      <w:proofErr w:type="spellStart"/>
      <w:r w:rsidRPr="00F552F0">
        <w:rPr>
          <w:sz w:val="22"/>
          <w:szCs w:val="22"/>
        </w:rPr>
        <w:t>Mankiw</w:t>
      </w:r>
      <w:proofErr w:type="spellEnd"/>
      <w:r w:rsidRPr="00F552F0">
        <w:rPr>
          <w:sz w:val="22"/>
          <w:szCs w:val="22"/>
        </w:rPr>
        <w:t xml:space="preserve">, G., </w:t>
      </w:r>
      <w:proofErr w:type="spellStart"/>
      <w:r w:rsidRPr="00F552F0">
        <w:rPr>
          <w:sz w:val="22"/>
          <w:szCs w:val="22"/>
        </w:rPr>
        <w:t>Romer</w:t>
      </w:r>
      <w:proofErr w:type="spellEnd"/>
      <w:r w:rsidRPr="00F552F0">
        <w:rPr>
          <w:sz w:val="22"/>
          <w:szCs w:val="22"/>
        </w:rPr>
        <w:t xml:space="preserve">, D., Weil, D., 1992. </w:t>
      </w:r>
      <w:proofErr w:type="gramStart"/>
      <w:r w:rsidRPr="00F552F0">
        <w:rPr>
          <w:sz w:val="22"/>
          <w:szCs w:val="22"/>
        </w:rPr>
        <w:t>A contribution to the empirics of economic growth.</w:t>
      </w:r>
      <w:proofErr w:type="gramEnd"/>
      <w:r w:rsidRPr="00F552F0">
        <w:rPr>
          <w:sz w:val="22"/>
          <w:szCs w:val="22"/>
        </w:rPr>
        <w:t xml:space="preserve"> Quarterly Journal of Economics 107, 407-437.</w:t>
      </w:r>
    </w:p>
    <w:p w:rsidR="00B86D95" w:rsidRPr="00F552F0" w:rsidRDefault="00B86D95" w:rsidP="00B86D95">
      <w:pPr>
        <w:ind w:left="720" w:hanging="720"/>
        <w:jc w:val="both"/>
        <w:rPr>
          <w:sz w:val="22"/>
          <w:szCs w:val="22"/>
        </w:rPr>
      </w:pPr>
      <w:proofErr w:type="spellStart"/>
      <w:proofErr w:type="gramStart"/>
      <w:r w:rsidRPr="00F552F0">
        <w:rPr>
          <w:sz w:val="22"/>
          <w:szCs w:val="22"/>
        </w:rPr>
        <w:t>Megginson</w:t>
      </w:r>
      <w:proofErr w:type="spellEnd"/>
      <w:r w:rsidRPr="00F552F0">
        <w:rPr>
          <w:sz w:val="22"/>
          <w:szCs w:val="22"/>
        </w:rPr>
        <w:t>, W., 2005.</w:t>
      </w:r>
      <w:proofErr w:type="gramEnd"/>
      <w:r w:rsidRPr="00F552F0">
        <w:rPr>
          <w:sz w:val="22"/>
          <w:szCs w:val="22"/>
        </w:rPr>
        <w:t xml:space="preserve"> </w:t>
      </w:r>
      <w:proofErr w:type="gramStart"/>
      <w:r w:rsidRPr="00F552F0">
        <w:rPr>
          <w:sz w:val="22"/>
          <w:szCs w:val="22"/>
        </w:rPr>
        <w:t>The economics of bank privatization.</w:t>
      </w:r>
      <w:proofErr w:type="gramEnd"/>
      <w:r w:rsidRPr="00F552F0">
        <w:rPr>
          <w:sz w:val="22"/>
          <w:szCs w:val="22"/>
        </w:rPr>
        <w:t xml:space="preserve"> Journal of Banking &amp; Finance 29, 1931-1980. </w:t>
      </w:r>
    </w:p>
    <w:p w:rsidR="00B86D95" w:rsidRPr="00F552F0" w:rsidRDefault="00B86D95" w:rsidP="00B86D95">
      <w:pPr>
        <w:ind w:left="720" w:hanging="720"/>
        <w:jc w:val="both"/>
        <w:rPr>
          <w:sz w:val="22"/>
          <w:szCs w:val="22"/>
        </w:rPr>
      </w:pPr>
      <w:proofErr w:type="gramStart"/>
      <w:r w:rsidRPr="00F552F0">
        <w:rPr>
          <w:sz w:val="22"/>
          <w:szCs w:val="22"/>
        </w:rPr>
        <w:t>Morck, R., Nakamura, M., 2007.</w:t>
      </w:r>
      <w:proofErr w:type="gramEnd"/>
      <w:r w:rsidRPr="00F552F0">
        <w:rPr>
          <w:sz w:val="22"/>
          <w:szCs w:val="22"/>
        </w:rPr>
        <w:t xml:space="preserve"> Business groups and the big push: Meiji </w:t>
      </w:r>
      <w:smartTag w:uri="urn:schemas-microsoft-com:office:smarttags" w:element="country-region">
        <w:smartTag w:uri="urn:schemas-microsoft-com:office:smarttags" w:element="place">
          <w:r w:rsidRPr="00F552F0">
            <w:rPr>
              <w:sz w:val="22"/>
              <w:szCs w:val="22"/>
            </w:rPr>
            <w:t>Japan</w:t>
          </w:r>
        </w:smartTag>
      </w:smartTag>
      <w:r w:rsidRPr="00F552F0">
        <w:rPr>
          <w:sz w:val="22"/>
          <w:szCs w:val="22"/>
        </w:rPr>
        <w:t xml:space="preserve">'s mass privatization and subsequent growth. </w:t>
      </w:r>
      <w:smartTag w:uri="urn:schemas-microsoft-com:office:smarttags" w:element="City">
        <w:smartTag w:uri="urn:schemas-microsoft-com:office:smarttags" w:element="place">
          <w:r w:rsidRPr="00F552F0">
            <w:rPr>
              <w:sz w:val="22"/>
              <w:szCs w:val="22"/>
            </w:rPr>
            <w:t>Enterprise</w:t>
          </w:r>
        </w:smartTag>
      </w:smartTag>
      <w:r w:rsidRPr="00F552F0">
        <w:rPr>
          <w:sz w:val="22"/>
          <w:szCs w:val="22"/>
        </w:rPr>
        <w:t xml:space="preserve"> and Society 8, 543-601.</w:t>
      </w:r>
    </w:p>
    <w:p w:rsidR="00A43F7C" w:rsidRPr="00F552F0" w:rsidRDefault="00A43F7C" w:rsidP="00A43F7C">
      <w:pPr>
        <w:ind w:left="720" w:hanging="720"/>
        <w:jc w:val="both"/>
        <w:rPr>
          <w:sz w:val="22"/>
          <w:szCs w:val="22"/>
        </w:rPr>
      </w:pPr>
      <w:proofErr w:type="gramStart"/>
      <w:r w:rsidRPr="00F552F0">
        <w:rPr>
          <w:sz w:val="22"/>
          <w:szCs w:val="22"/>
        </w:rPr>
        <w:t xml:space="preserve">Morck, R., Percy, M., </w:t>
      </w:r>
      <w:proofErr w:type="spellStart"/>
      <w:r w:rsidRPr="00F552F0">
        <w:rPr>
          <w:sz w:val="22"/>
          <w:szCs w:val="22"/>
        </w:rPr>
        <w:t>Tian</w:t>
      </w:r>
      <w:proofErr w:type="spellEnd"/>
      <w:r w:rsidRPr="00F552F0">
        <w:rPr>
          <w:sz w:val="22"/>
          <w:szCs w:val="22"/>
        </w:rPr>
        <w:t>, G., Yeung, B., 2005.</w:t>
      </w:r>
      <w:proofErr w:type="gramEnd"/>
      <w:r w:rsidRPr="00F552F0">
        <w:rPr>
          <w:sz w:val="22"/>
          <w:szCs w:val="22"/>
        </w:rPr>
        <w:t xml:space="preserve"> The rise and fall of the widely held firm: a history of </w:t>
      </w:r>
      <w:proofErr w:type="gramStart"/>
      <w:r w:rsidRPr="00F552F0">
        <w:rPr>
          <w:sz w:val="22"/>
          <w:szCs w:val="22"/>
        </w:rPr>
        <w:t>Corporate</w:t>
      </w:r>
      <w:proofErr w:type="gramEnd"/>
      <w:r w:rsidRPr="00F552F0">
        <w:rPr>
          <w:sz w:val="22"/>
          <w:szCs w:val="22"/>
        </w:rPr>
        <w:t xml:space="preserve"> ownership in </w:t>
      </w:r>
      <w:smartTag w:uri="urn:schemas-microsoft-com:office:smarttags" w:element="place">
        <w:smartTag w:uri="urn:schemas-microsoft-com:office:smarttags" w:element="country-region">
          <w:r w:rsidRPr="00F552F0">
            <w:rPr>
              <w:sz w:val="22"/>
              <w:szCs w:val="22"/>
            </w:rPr>
            <w:t>Canada</w:t>
          </w:r>
        </w:smartTag>
      </w:smartTag>
      <w:r w:rsidRPr="00F552F0">
        <w:rPr>
          <w:sz w:val="22"/>
          <w:szCs w:val="22"/>
        </w:rPr>
        <w:t>. In: Morck, R</w:t>
      </w:r>
      <w:proofErr w:type="gramStart"/>
      <w:r w:rsidRPr="00F552F0">
        <w:rPr>
          <w:sz w:val="22"/>
          <w:szCs w:val="22"/>
        </w:rPr>
        <w:t>.(</w:t>
      </w:r>
      <w:proofErr w:type="gramEnd"/>
      <w:r w:rsidRPr="00F552F0">
        <w:rPr>
          <w:sz w:val="22"/>
          <w:szCs w:val="22"/>
        </w:rPr>
        <w:t xml:space="preserve">Ed.), A History of Corporate Governance around the World: Family Business Groups to Professional Managers. </w:t>
      </w:r>
      <w:smartTag w:uri="urn:schemas-microsoft-com:office:smarttags" w:element="PlaceType">
        <w:r w:rsidRPr="00F552F0">
          <w:rPr>
            <w:sz w:val="22"/>
            <w:szCs w:val="22"/>
          </w:rPr>
          <w:t>University</w:t>
        </w:r>
      </w:smartTag>
      <w:r w:rsidRPr="00F552F0">
        <w:rPr>
          <w:sz w:val="22"/>
          <w:szCs w:val="22"/>
        </w:rPr>
        <w:t xml:space="preserve"> of </w:t>
      </w:r>
      <w:smartTag w:uri="urn:schemas-microsoft-com:office:smarttags" w:element="PlaceName">
        <w:r w:rsidRPr="00F552F0">
          <w:rPr>
            <w:sz w:val="22"/>
            <w:szCs w:val="22"/>
          </w:rPr>
          <w:t>Chicago</w:t>
        </w:r>
      </w:smartTag>
      <w:r w:rsidRPr="00F552F0">
        <w:rPr>
          <w:sz w:val="22"/>
          <w:szCs w:val="22"/>
        </w:rPr>
        <w:t xml:space="preserve"> Press, </w:t>
      </w:r>
      <w:smartTag w:uri="urn:schemas-microsoft-com:office:smarttags" w:element="City">
        <w:r w:rsidRPr="00F552F0">
          <w:rPr>
            <w:sz w:val="22"/>
            <w:szCs w:val="22"/>
          </w:rPr>
          <w:t>Chicago</w:t>
        </w:r>
      </w:smartTag>
      <w:r w:rsidRPr="00F552F0">
        <w:rPr>
          <w:sz w:val="22"/>
          <w:szCs w:val="22"/>
        </w:rPr>
        <w:t xml:space="preserve"> and </w:t>
      </w:r>
      <w:smartTag w:uri="urn:schemas-microsoft-com:office:smarttags" w:element="City">
        <w:smartTag w:uri="urn:schemas-microsoft-com:office:smarttags" w:element="place">
          <w:r w:rsidRPr="00F552F0">
            <w:rPr>
              <w:sz w:val="22"/>
              <w:szCs w:val="22"/>
            </w:rPr>
            <w:t>London</w:t>
          </w:r>
        </w:smartTag>
      </w:smartTag>
      <w:r w:rsidRPr="00F552F0">
        <w:rPr>
          <w:sz w:val="22"/>
          <w:szCs w:val="22"/>
        </w:rPr>
        <w:t>, pp. 65-140.</w:t>
      </w:r>
    </w:p>
    <w:p w:rsidR="00B86D95" w:rsidRPr="00F552F0" w:rsidRDefault="00B86D95" w:rsidP="00B86D95">
      <w:pPr>
        <w:ind w:left="720" w:hanging="720"/>
        <w:jc w:val="both"/>
        <w:rPr>
          <w:sz w:val="22"/>
          <w:szCs w:val="22"/>
        </w:rPr>
      </w:pPr>
      <w:r w:rsidRPr="00F552F0">
        <w:rPr>
          <w:rStyle w:val="Strong"/>
          <w:b w:val="0"/>
          <w:sz w:val="22"/>
          <w:szCs w:val="22"/>
        </w:rPr>
        <w:t xml:space="preserve">Morck, R., Shleifer, A., Vishny, R., 1988. </w:t>
      </w:r>
      <w:r w:rsidRPr="00F552F0">
        <w:rPr>
          <w:sz w:val="22"/>
          <w:szCs w:val="22"/>
        </w:rPr>
        <w:t>Management ownership and market valuation: An empirical analysis. Journal of Financial Economics 20, 293-315.</w:t>
      </w:r>
    </w:p>
    <w:p w:rsidR="00B86D95" w:rsidRPr="00F552F0" w:rsidRDefault="00B86D95" w:rsidP="00B86D95">
      <w:pPr>
        <w:ind w:left="720" w:hanging="720"/>
        <w:jc w:val="both"/>
        <w:rPr>
          <w:sz w:val="22"/>
          <w:szCs w:val="22"/>
        </w:rPr>
      </w:pPr>
      <w:r w:rsidRPr="00F552F0">
        <w:rPr>
          <w:sz w:val="22"/>
          <w:szCs w:val="22"/>
        </w:rPr>
        <w:t xml:space="preserve">Morck, R., </w:t>
      </w:r>
      <w:proofErr w:type="spellStart"/>
      <w:r w:rsidRPr="00F552F0">
        <w:rPr>
          <w:sz w:val="22"/>
          <w:szCs w:val="22"/>
        </w:rPr>
        <w:t>Stangeland</w:t>
      </w:r>
      <w:proofErr w:type="spellEnd"/>
      <w:r w:rsidRPr="00F552F0">
        <w:rPr>
          <w:sz w:val="22"/>
          <w:szCs w:val="22"/>
        </w:rPr>
        <w:t xml:space="preserve">, D., Yeung, B., 2000. Inherited wealth, corporate control, and economic growth: the Canadian disease? In: Randall Morck, Editor, Concentrated Corporate Ownership, </w:t>
      </w:r>
      <w:smartTag w:uri="urn:schemas-microsoft-com:office:smarttags" w:element="City">
        <w:r w:rsidRPr="00F552F0">
          <w:rPr>
            <w:sz w:val="22"/>
            <w:szCs w:val="22"/>
          </w:rPr>
          <w:t>Chicago</w:t>
        </w:r>
      </w:smartTag>
      <w:r w:rsidRPr="00F552F0">
        <w:rPr>
          <w:sz w:val="22"/>
          <w:szCs w:val="22"/>
        </w:rPr>
        <w:t xml:space="preserve"> and </w:t>
      </w:r>
      <w:smartTag w:uri="urn:schemas-microsoft-com:office:smarttags" w:element="City">
        <w:smartTag w:uri="urn:schemas-microsoft-com:office:smarttags" w:element="place">
          <w:r w:rsidRPr="00F552F0">
            <w:rPr>
              <w:sz w:val="22"/>
              <w:szCs w:val="22"/>
            </w:rPr>
            <w:t>London</w:t>
          </w:r>
        </w:smartTag>
      </w:smartTag>
      <w:r w:rsidRPr="00F552F0">
        <w:rPr>
          <w:sz w:val="22"/>
          <w:szCs w:val="22"/>
        </w:rPr>
        <w:t>, pp. 319-369.</w:t>
      </w:r>
    </w:p>
    <w:p w:rsidR="00B86D95" w:rsidRPr="00F552F0" w:rsidRDefault="00B86D95" w:rsidP="00B86D95">
      <w:pPr>
        <w:ind w:left="720" w:hanging="720"/>
        <w:jc w:val="both"/>
        <w:rPr>
          <w:sz w:val="22"/>
          <w:szCs w:val="22"/>
        </w:rPr>
      </w:pPr>
      <w:r w:rsidRPr="00F552F0">
        <w:rPr>
          <w:sz w:val="22"/>
          <w:szCs w:val="22"/>
        </w:rPr>
        <w:t xml:space="preserve">Morck, R., </w:t>
      </w:r>
      <w:proofErr w:type="spellStart"/>
      <w:r w:rsidRPr="00F552F0">
        <w:rPr>
          <w:sz w:val="22"/>
          <w:szCs w:val="22"/>
        </w:rPr>
        <w:t>Wolfenzon</w:t>
      </w:r>
      <w:proofErr w:type="spellEnd"/>
      <w:r w:rsidRPr="00F552F0">
        <w:rPr>
          <w:sz w:val="22"/>
          <w:szCs w:val="22"/>
        </w:rPr>
        <w:t xml:space="preserve">, D., Yeung, B., 2005. </w:t>
      </w:r>
      <w:proofErr w:type="gramStart"/>
      <w:r w:rsidRPr="00F552F0">
        <w:rPr>
          <w:sz w:val="22"/>
          <w:szCs w:val="22"/>
        </w:rPr>
        <w:t>Corporate governance, economic entrenchment, and growth.</w:t>
      </w:r>
      <w:proofErr w:type="gramEnd"/>
      <w:r w:rsidRPr="00F552F0">
        <w:rPr>
          <w:sz w:val="22"/>
          <w:szCs w:val="22"/>
        </w:rPr>
        <w:t xml:space="preserve"> Journal of Economic Literature 43, 655-720.</w:t>
      </w:r>
    </w:p>
    <w:p w:rsidR="00B86D95" w:rsidRPr="00F552F0" w:rsidRDefault="00B86D95" w:rsidP="00B86D95">
      <w:pPr>
        <w:ind w:left="720" w:hanging="720"/>
        <w:jc w:val="both"/>
        <w:rPr>
          <w:sz w:val="22"/>
          <w:szCs w:val="22"/>
        </w:rPr>
      </w:pPr>
      <w:r w:rsidRPr="00F552F0">
        <w:rPr>
          <w:sz w:val="22"/>
          <w:szCs w:val="22"/>
        </w:rPr>
        <w:t xml:space="preserve">Morck, R., Yeung, B., 2004. </w:t>
      </w:r>
      <w:proofErr w:type="gramStart"/>
      <w:r w:rsidRPr="00F552F0">
        <w:rPr>
          <w:sz w:val="22"/>
          <w:szCs w:val="22"/>
        </w:rPr>
        <w:t>Family control and the rent-seeking society.</w:t>
      </w:r>
      <w:proofErr w:type="gramEnd"/>
      <w:r w:rsidRPr="00F552F0">
        <w:rPr>
          <w:sz w:val="22"/>
          <w:szCs w:val="22"/>
        </w:rPr>
        <w:t xml:space="preserve"> Entrepreneurship Theory and Practice, 28, 391-409.</w:t>
      </w:r>
    </w:p>
    <w:p w:rsidR="00B86D95" w:rsidRPr="00F552F0" w:rsidRDefault="00B86D95" w:rsidP="00B86D95">
      <w:pPr>
        <w:ind w:left="720" w:hanging="720"/>
        <w:jc w:val="both"/>
        <w:rPr>
          <w:sz w:val="22"/>
          <w:szCs w:val="22"/>
        </w:rPr>
      </w:pPr>
      <w:r w:rsidRPr="00F552F0">
        <w:rPr>
          <w:sz w:val="22"/>
          <w:szCs w:val="22"/>
        </w:rPr>
        <w:t xml:space="preserve">Murphy, K., Shleifer, A., Vishny, R., 1989. </w:t>
      </w:r>
      <w:proofErr w:type="gramStart"/>
      <w:r w:rsidRPr="00F552F0">
        <w:rPr>
          <w:sz w:val="22"/>
          <w:szCs w:val="22"/>
        </w:rPr>
        <w:t>Industrialization and the big push.</w:t>
      </w:r>
      <w:proofErr w:type="gramEnd"/>
      <w:r w:rsidRPr="00F552F0">
        <w:rPr>
          <w:sz w:val="22"/>
          <w:szCs w:val="22"/>
        </w:rPr>
        <w:t xml:space="preserve"> Journal of Political Economy 97 1003-1026. </w:t>
      </w:r>
    </w:p>
    <w:p w:rsidR="00B86D95" w:rsidRPr="00F552F0" w:rsidRDefault="00B86D95" w:rsidP="00B86D95">
      <w:pPr>
        <w:ind w:left="720" w:hanging="720"/>
        <w:jc w:val="both"/>
        <w:rPr>
          <w:sz w:val="22"/>
          <w:szCs w:val="22"/>
        </w:rPr>
      </w:pPr>
      <w:r w:rsidRPr="00F552F0">
        <w:rPr>
          <w:sz w:val="22"/>
          <w:szCs w:val="22"/>
        </w:rPr>
        <w:t>Murphy, K., Shleifer, A., Vishny, R., 1991. The allocation of talent: implications for growth. Quarterly Journal of Economics 106, 503-530.</w:t>
      </w:r>
    </w:p>
    <w:p w:rsidR="00B86D95" w:rsidRPr="00F552F0" w:rsidRDefault="00B86D95" w:rsidP="00B86D95">
      <w:pPr>
        <w:ind w:left="720" w:hanging="720"/>
        <w:jc w:val="both"/>
        <w:rPr>
          <w:sz w:val="22"/>
          <w:szCs w:val="22"/>
        </w:rPr>
      </w:pPr>
      <w:r w:rsidRPr="00F552F0">
        <w:rPr>
          <w:sz w:val="22"/>
          <w:szCs w:val="22"/>
        </w:rPr>
        <w:t>Murphy, K., Shleifer, A., Vishny, R., 1993. Why is rent-seeking so costly to growth? The American Economic Review 83, 409-414.</w:t>
      </w:r>
    </w:p>
    <w:p w:rsidR="00B86D95" w:rsidRPr="00F552F0" w:rsidRDefault="00B86D95" w:rsidP="00B86D95">
      <w:pPr>
        <w:ind w:left="720" w:hanging="720"/>
        <w:jc w:val="both"/>
        <w:rPr>
          <w:sz w:val="22"/>
          <w:szCs w:val="22"/>
        </w:rPr>
      </w:pPr>
      <w:proofErr w:type="spellStart"/>
      <w:proofErr w:type="gramStart"/>
      <w:r w:rsidRPr="00F552F0">
        <w:t>Nadiri</w:t>
      </w:r>
      <w:proofErr w:type="spellEnd"/>
      <w:r w:rsidRPr="00F552F0">
        <w:t xml:space="preserve">, I., </w:t>
      </w:r>
      <w:proofErr w:type="spellStart"/>
      <w:r w:rsidRPr="00F552F0">
        <w:t>Mamuneas</w:t>
      </w:r>
      <w:proofErr w:type="spellEnd"/>
      <w:r w:rsidRPr="00F552F0">
        <w:t>, T., 1994.</w:t>
      </w:r>
      <w:proofErr w:type="gramEnd"/>
      <w:r w:rsidRPr="00F552F0">
        <w:t xml:space="preserve"> </w:t>
      </w:r>
      <w:proofErr w:type="gramStart"/>
      <w:r w:rsidRPr="00F552F0">
        <w:t>The effect of public infrastructure and R &amp; D capital on the cost structure and performance of U.S. manufacturing industries.</w:t>
      </w:r>
      <w:proofErr w:type="gramEnd"/>
      <w:r w:rsidRPr="00F552F0">
        <w:t xml:space="preserve"> Review of Economics and Statistics 76, 22-37.</w:t>
      </w:r>
    </w:p>
    <w:p w:rsidR="00B86D95" w:rsidRPr="00F552F0" w:rsidRDefault="00B86D95" w:rsidP="00B86D95">
      <w:pPr>
        <w:ind w:left="720" w:hanging="720"/>
        <w:jc w:val="both"/>
        <w:rPr>
          <w:rFonts w:eastAsia="Times New Roman"/>
          <w:sz w:val="22"/>
          <w:szCs w:val="22"/>
        </w:rPr>
      </w:pPr>
      <w:proofErr w:type="spellStart"/>
      <w:proofErr w:type="gramStart"/>
      <w:r w:rsidRPr="00F552F0">
        <w:rPr>
          <w:rFonts w:eastAsia="Times New Roman"/>
          <w:sz w:val="22"/>
          <w:szCs w:val="22"/>
        </w:rPr>
        <w:t>Nenova</w:t>
      </w:r>
      <w:proofErr w:type="spellEnd"/>
      <w:r w:rsidRPr="00F552F0">
        <w:rPr>
          <w:rFonts w:eastAsia="Times New Roman"/>
          <w:sz w:val="22"/>
          <w:szCs w:val="22"/>
        </w:rPr>
        <w:t>, T., 2003.</w:t>
      </w:r>
      <w:proofErr w:type="gramEnd"/>
      <w:r w:rsidRPr="00F552F0">
        <w:rPr>
          <w:rFonts w:eastAsia="Times New Roman"/>
          <w:sz w:val="22"/>
          <w:szCs w:val="22"/>
        </w:rPr>
        <w:t xml:space="preserve"> The value of corporate voting rights and control: A cross-country analysis. Journal of Financial Economics 68, 325-351. </w:t>
      </w:r>
    </w:p>
    <w:p w:rsidR="00B86D95" w:rsidRPr="00F552F0" w:rsidRDefault="00B86D95" w:rsidP="00B86D95">
      <w:pPr>
        <w:ind w:left="720" w:hanging="720"/>
        <w:jc w:val="both"/>
        <w:rPr>
          <w:sz w:val="22"/>
          <w:szCs w:val="22"/>
        </w:rPr>
      </w:pPr>
      <w:r w:rsidRPr="00F552F0">
        <w:rPr>
          <w:sz w:val="22"/>
          <w:szCs w:val="22"/>
        </w:rPr>
        <w:t>North, D., 1989. Institutions and economic growth: an historical introduction. World Development 17, 1319-1332.</w:t>
      </w:r>
    </w:p>
    <w:p w:rsidR="00B86D95" w:rsidRPr="00F552F0" w:rsidRDefault="00B86D95" w:rsidP="00B86D95">
      <w:pPr>
        <w:ind w:left="720" w:hanging="840"/>
        <w:jc w:val="both"/>
        <w:rPr>
          <w:sz w:val="22"/>
          <w:szCs w:val="22"/>
        </w:rPr>
      </w:pPr>
      <w:r w:rsidRPr="00F552F0">
        <w:rPr>
          <w:sz w:val="22"/>
          <w:szCs w:val="22"/>
        </w:rPr>
        <w:t xml:space="preserve"> </w:t>
      </w:r>
      <w:proofErr w:type="gramStart"/>
      <w:r w:rsidRPr="00F552F0">
        <w:rPr>
          <w:sz w:val="22"/>
          <w:szCs w:val="22"/>
        </w:rPr>
        <w:t>Olson, M., 1965.</w:t>
      </w:r>
      <w:proofErr w:type="gramEnd"/>
      <w:r w:rsidRPr="00F552F0">
        <w:rPr>
          <w:sz w:val="22"/>
          <w:szCs w:val="22"/>
        </w:rPr>
        <w:t xml:space="preserve"> The Logic of Collective Action: Public Goods and the Theory of Groups. </w:t>
      </w:r>
      <w:smartTag w:uri="urn:schemas-microsoft-com:office:smarttags" w:element="PlaceName">
        <w:r w:rsidRPr="00F552F0">
          <w:rPr>
            <w:sz w:val="22"/>
            <w:szCs w:val="22"/>
          </w:rPr>
          <w:t>Harvard</w:t>
        </w:r>
      </w:smartTag>
      <w:r w:rsidRPr="00F552F0">
        <w:rPr>
          <w:sz w:val="22"/>
          <w:szCs w:val="22"/>
        </w:rPr>
        <w:t xml:space="preserve"> </w:t>
      </w:r>
      <w:smartTag w:uri="urn:schemas-microsoft-com:office:smarttags" w:element="PlaceType">
        <w:r w:rsidRPr="00F552F0">
          <w:rPr>
            <w:sz w:val="22"/>
            <w:szCs w:val="22"/>
          </w:rPr>
          <w:t>University</w:t>
        </w:r>
      </w:smartTag>
      <w:r w:rsidRPr="00F552F0">
        <w:rPr>
          <w:sz w:val="22"/>
          <w:szCs w:val="22"/>
        </w:rPr>
        <w:t xml:space="preserve"> Press, </w:t>
      </w:r>
      <w:smartTag w:uri="urn:schemas-microsoft-com:office:smarttags" w:element="City">
        <w:smartTag w:uri="urn:schemas-microsoft-com:office:smarttags" w:element="place">
          <w:r w:rsidRPr="00F552F0">
            <w:rPr>
              <w:sz w:val="22"/>
              <w:szCs w:val="22"/>
            </w:rPr>
            <w:t>Cambridge</w:t>
          </w:r>
        </w:smartTag>
      </w:smartTag>
      <w:r w:rsidRPr="00F552F0">
        <w:rPr>
          <w:sz w:val="22"/>
          <w:szCs w:val="22"/>
        </w:rPr>
        <w:t>.</w:t>
      </w:r>
    </w:p>
    <w:p w:rsidR="00B86D95" w:rsidRPr="00F552F0" w:rsidRDefault="00B86D95" w:rsidP="00B86D95">
      <w:pPr>
        <w:ind w:left="720" w:hanging="720"/>
        <w:jc w:val="both"/>
        <w:rPr>
          <w:sz w:val="22"/>
          <w:szCs w:val="22"/>
          <w:lang w:val="it-IT"/>
        </w:rPr>
      </w:pPr>
      <w:r w:rsidRPr="00F552F0">
        <w:rPr>
          <w:sz w:val="22"/>
          <w:szCs w:val="22"/>
          <w:lang w:val="it-IT"/>
        </w:rPr>
        <w:lastRenderedPageBreak/>
        <w:t xml:space="preserve">Perez-Gonzalez, F., 2006. Inherited Control and Firm Performance, The American Economic Review 96, 1559-1588. </w:t>
      </w:r>
    </w:p>
    <w:p w:rsidR="00B86D95" w:rsidRPr="00F552F0" w:rsidRDefault="00B86D95" w:rsidP="00B86D95">
      <w:pPr>
        <w:ind w:left="720" w:hanging="720"/>
        <w:jc w:val="both"/>
        <w:rPr>
          <w:sz w:val="22"/>
          <w:szCs w:val="22"/>
          <w:lang w:val="it-IT"/>
        </w:rPr>
      </w:pPr>
      <w:r w:rsidRPr="00F552F0">
        <w:rPr>
          <w:sz w:val="22"/>
          <w:szCs w:val="22"/>
          <w:lang w:val="it-IT"/>
        </w:rPr>
        <w:t>Perotti, E., Volpin, P., 2007. Investor protection and entry. Unpublished working paper. Tinbergen Institute.</w:t>
      </w:r>
    </w:p>
    <w:p w:rsidR="00B86D95" w:rsidRPr="00F552F0" w:rsidRDefault="00B86D95" w:rsidP="00B86D95">
      <w:pPr>
        <w:ind w:left="720" w:hanging="720"/>
        <w:jc w:val="both"/>
        <w:rPr>
          <w:sz w:val="22"/>
          <w:szCs w:val="22"/>
        </w:rPr>
      </w:pPr>
      <w:r w:rsidRPr="00F552F0">
        <w:rPr>
          <w:sz w:val="22"/>
          <w:szCs w:val="22"/>
          <w:lang w:val="it-IT"/>
        </w:rPr>
        <w:t xml:space="preserve">Perotti, E., Vorage, M., </w:t>
      </w:r>
      <w:r w:rsidRPr="00F552F0">
        <w:rPr>
          <w:sz w:val="22"/>
          <w:szCs w:val="22"/>
        </w:rPr>
        <w:t xml:space="preserve">2008. Political allocation of finance. </w:t>
      </w:r>
      <w:r w:rsidRPr="00F552F0">
        <w:rPr>
          <w:sz w:val="22"/>
          <w:szCs w:val="22"/>
          <w:lang w:val="it-IT"/>
        </w:rPr>
        <w:t xml:space="preserve">Unpublished working paper. </w:t>
      </w:r>
      <w:proofErr w:type="gramStart"/>
      <w:r w:rsidRPr="00F552F0">
        <w:rPr>
          <w:sz w:val="22"/>
          <w:szCs w:val="22"/>
        </w:rPr>
        <w:t>University of Amsterdam.</w:t>
      </w:r>
      <w:proofErr w:type="gramEnd"/>
    </w:p>
    <w:p w:rsidR="00B86D95" w:rsidRPr="00F552F0" w:rsidRDefault="00B86D95" w:rsidP="00B86D95">
      <w:pPr>
        <w:ind w:left="720" w:hanging="720"/>
        <w:jc w:val="both"/>
        <w:rPr>
          <w:sz w:val="22"/>
          <w:szCs w:val="22"/>
        </w:rPr>
      </w:pPr>
      <w:proofErr w:type="spellStart"/>
      <w:proofErr w:type="gramStart"/>
      <w:r w:rsidRPr="00F552F0">
        <w:rPr>
          <w:sz w:val="22"/>
          <w:szCs w:val="22"/>
        </w:rPr>
        <w:t>Rajan</w:t>
      </w:r>
      <w:proofErr w:type="spellEnd"/>
      <w:r w:rsidRPr="00F552F0">
        <w:rPr>
          <w:sz w:val="22"/>
          <w:szCs w:val="22"/>
        </w:rPr>
        <w:t>, R., 1994.</w:t>
      </w:r>
      <w:proofErr w:type="gramEnd"/>
      <w:r w:rsidRPr="00F552F0">
        <w:rPr>
          <w:sz w:val="22"/>
          <w:szCs w:val="22"/>
        </w:rPr>
        <w:t xml:space="preserve"> Why bank credit policies fluctuate: A theory and some evidence. Quarterly Journal of Economics 109, 399-442. </w:t>
      </w:r>
    </w:p>
    <w:p w:rsidR="00B86D95" w:rsidRPr="00F552F0" w:rsidRDefault="00B86D95" w:rsidP="00B86D95">
      <w:pPr>
        <w:ind w:left="720" w:hanging="720"/>
        <w:jc w:val="both"/>
        <w:rPr>
          <w:sz w:val="22"/>
          <w:szCs w:val="22"/>
        </w:rPr>
      </w:pPr>
      <w:proofErr w:type="spellStart"/>
      <w:proofErr w:type="gramStart"/>
      <w:r w:rsidRPr="00F552F0">
        <w:rPr>
          <w:sz w:val="22"/>
          <w:szCs w:val="22"/>
        </w:rPr>
        <w:t>Rajan</w:t>
      </w:r>
      <w:proofErr w:type="spellEnd"/>
      <w:r w:rsidRPr="00F552F0">
        <w:rPr>
          <w:sz w:val="22"/>
          <w:szCs w:val="22"/>
        </w:rPr>
        <w:t xml:space="preserve">, R., </w:t>
      </w:r>
      <w:proofErr w:type="spellStart"/>
      <w:r w:rsidRPr="00F552F0">
        <w:rPr>
          <w:sz w:val="22"/>
          <w:szCs w:val="22"/>
        </w:rPr>
        <w:t>Zingales</w:t>
      </w:r>
      <w:proofErr w:type="spellEnd"/>
      <w:r w:rsidRPr="00F552F0">
        <w:rPr>
          <w:sz w:val="22"/>
          <w:szCs w:val="22"/>
        </w:rPr>
        <w:t>, L., 1998.</w:t>
      </w:r>
      <w:proofErr w:type="gramEnd"/>
      <w:r w:rsidRPr="00F552F0">
        <w:rPr>
          <w:sz w:val="22"/>
          <w:szCs w:val="22"/>
        </w:rPr>
        <w:t xml:space="preserve"> </w:t>
      </w:r>
      <w:proofErr w:type="gramStart"/>
      <w:r w:rsidRPr="00F552F0">
        <w:rPr>
          <w:sz w:val="22"/>
          <w:szCs w:val="22"/>
        </w:rPr>
        <w:t>Financial dependence and growth.</w:t>
      </w:r>
      <w:proofErr w:type="gramEnd"/>
      <w:r w:rsidRPr="00F552F0">
        <w:rPr>
          <w:sz w:val="22"/>
          <w:szCs w:val="22"/>
        </w:rPr>
        <w:t xml:space="preserve"> The American Economic Review 88, 559-586.</w:t>
      </w:r>
    </w:p>
    <w:p w:rsidR="00B86D95" w:rsidRPr="00F552F0" w:rsidRDefault="00B86D95" w:rsidP="00B86D95">
      <w:pPr>
        <w:ind w:left="720" w:hanging="720"/>
        <w:jc w:val="both"/>
        <w:rPr>
          <w:sz w:val="22"/>
          <w:szCs w:val="22"/>
        </w:rPr>
      </w:pPr>
      <w:proofErr w:type="spellStart"/>
      <w:proofErr w:type="gramStart"/>
      <w:r w:rsidRPr="00F552F0">
        <w:rPr>
          <w:sz w:val="22"/>
          <w:szCs w:val="22"/>
        </w:rPr>
        <w:t>Rajan</w:t>
      </w:r>
      <w:proofErr w:type="spellEnd"/>
      <w:r w:rsidRPr="00F552F0">
        <w:rPr>
          <w:sz w:val="22"/>
          <w:szCs w:val="22"/>
        </w:rPr>
        <w:t xml:space="preserve">, R., </w:t>
      </w:r>
      <w:proofErr w:type="spellStart"/>
      <w:r w:rsidRPr="00F552F0">
        <w:rPr>
          <w:sz w:val="22"/>
          <w:szCs w:val="22"/>
        </w:rPr>
        <w:t>Zingales</w:t>
      </w:r>
      <w:proofErr w:type="spellEnd"/>
      <w:r w:rsidRPr="00F552F0">
        <w:rPr>
          <w:sz w:val="22"/>
          <w:szCs w:val="22"/>
        </w:rPr>
        <w:t>, L., 2001.</w:t>
      </w:r>
      <w:proofErr w:type="gramEnd"/>
      <w:r w:rsidRPr="00F552F0">
        <w:rPr>
          <w:sz w:val="22"/>
          <w:szCs w:val="22"/>
        </w:rPr>
        <w:t xml:space="preserve"> </w:t>
      </w:r>
      <w:proofErr w:type="gramStart"/>
      <w:r w:rsidRPr="00F552F0">
        <w:rPr>
          <w:sz w:val="22"/>
          <w:szCs w:val="22"/>
        </w:rPr>
        <w:t>Financial systems, industrial structure, and growth.</w:t>
      </w:r>
      <w:proofErr w:type="gramEnd"/>
      <w:r w:rsidRPr="00F552F0">
        <w:rPr>
          <w:sz w:val="22"/>
          <w:szCs w:val="22"/>
        </w:rPr>
        <w:t xml:space="preserve"> </w:t>
      </w:r>
      <w:smartTag w:uri="urn:schemas-microsoft-com:office:smarttags" w:element="City">
        <w:smartTag w:uri="urn:schemas-microsoft-com:office:smarttags" w:element="place">
          <w:r w:rsidRPr="00F552F0">
            <w:rPr>
              <w:sz w:val="22"/>
              <w:szCs w:val="22"/>
            </w:rPr>
            <w:t>Oxford</w:t>
          </w:r>
        </w:smartTag>
      </w:smartTag>
      <w:r w:rsidRPr="00F552F0">
        <w:rPr>
          <w:sz w:val="22"/>
          <w:szCs w:val="22"/>
        </w:rPr>
        <w:t xml:space="preserve"> Review of Economic Policy 17, 467-482.</w:t>
      </w:r>
    </w:p>
    <w:p w:rsidR="00B86D95" w:rsidRPr="00F552F0" w:rsidRDefault="00B86D95" w:rsidP="00B86D95">
      <w:pPr>
        <w:ind w:left="720" w:hanging="720"/>
        <w:jc w:val="both"/>
        <w:rPr>
          <w:sz w:val="22"/>
          <w:szCs w:val="22"/>
        </w:rPr>
      </w:pPr>
      <w:proofErr w:type="spellStart"/>
      <w:proofErr w:type="gramStart"/>
      <w:r w:rsidRPr="00F552F0">
        <w:rPr>
          <w:sz w:val="22"/>
          <w:szCs w:val="22"/>
        </w:rPr>
        <w:t>Rajan</w:t>
      </w:r>
      <w:proofErr w:type="spellEnd"/>
      <w:r w:rsidRPr="00F552F0">
        <w:rPr>
          <w:sz w:val="22"/>
          <w:szCs w:val="22"/>
        </w:rPr>
        <w:t xml:space="preserve">, R., </w:t>
      </w:r>
      <w:proofErr w:type="spellStart"/>
      <w:r w:rsidRPr="00F552F0">
        <w:rPr>
          <w:sz w:val="22"/>
          <w:szCs w:val="22"/>
        </w:rPr>
        <w:t>Zingales</w:t>
      </w:r>
      <w:proofErr w:type="spellEnd"/>
      <w:r w:rsidRPr="00F552F0">
        <w:rPr>
          <w:sz w:val="22"/>
          <w:szCs w:val="22"/>
        </w:rPr>
        <w:t>, L., 2003.</w:t>
      </w:r>
      <w:proofErr w:type="gramEnd"/>
      <w:r w:rsidRPr="00F552F0">
        <w:rPr>
          <w:sz w:val="22"/>
          <w:szCs w:val="22"/>
        </w:rPr>
        <w:t xml:space="preserve"> The great reversals: the politics of financial development in the twentieth century. Journal of Financial Economics 69, 5-50.</w:t>
      </w:r>
    </w:p>
    <w:p w:rsidR="00B86D95" w:rsidRPr="00F552F0" w:rsidRDefault="00B86D95" w:rsidP="00B86D95">
      <w:pPr>
        <w:ind w:left="720" w:hanging="720"/>
        <w:jc w:val="both"/>
        <w:rPr>
          <w:sz w:val="22"/>
          <w:szCs w:val="22"/>
        </w:rPr>
      </w:pPr>
      <w:proofErr w:type="spellStart"/>
      <w:proofErr w:type="gramStart"/>
      <w:r w:rsidRPr="00F552F0">
        <w:rPr>
          <w:sz w:val="22"/>
          <w:szCs w:val="22"/>
        </w:rPr>
        <w:t>Rajan</w:t>
      </w:r>
      <w:proofErr w:type="spellEnd"/>
      <w:r w:rsidRPr="00F552F0">
        <w:rPr>
          <w:sz w:val="22"/>
          <w:szCs w:val="22"/>
        </w:rPr>
        <w:t xml:space="preserve">, R., </w:t>
      </w:r>
      <w:proofErr w:type="spellStart"/>
      <w:r w:rsidRPr="00F552F0">
        <w:rPr>
          <w:sz w:val="22"/>
          <w:szCs w:val="22"/>
        </w:rPr>
        <w:t>Zingales</w:t>
      </w:r>
      <w:proofErr w:type="spellEnd"/>
      <w:r w:rsidRPr="00F552F0">
        <w:rPr>
          <w:sz w:val="22"/>
          <w:szCs w:val="22"/>
        </w:rPr>
        <w:t>, L., 2004.</w:t>
      </w:r>
      <w:proofErr w:type="gramEnd"/>
      <w:r w:rsidRPr="00F552F0">
        <w:rPr>
          <w:sz w:val="22"/>
          <w:szCs w:val="22"/>
        </w:rPr>
        <w:t xml:space="preserve"> Saving Capitalism from the Capitalists: Unleashing the Power of Financial Markets To Create Wealth and Spread </w:t>
      </w:r>
      <w:smartTag w:uri="urn:schemas-microsoft-com:office:smarttags" w:element="place">
        <w:r w:rsidRPr="00F552F0">
          <w:rPr>
            <w:sz w:val="22"/>
            <w:szCs w:val="22"/>
          </w:rPr>
          <w:t>Opportunity</w:t>
        </w:r>
      </w:smartTag>
      <w:r w:rsidRPr="00F552F0">
        <w:rPr>
          <w:sz w:val="22"/>
          <w:szCs w:val="22"/>
        </w:rPr>
        <w:t xml:space="preserve">. Crown Business, </w:t>
      </w:r>
      <w:smartTag w:uri="urn:schemas-microsoft-com:office:smarttags" w:element="State">
        <w:smartTag w:uri="urn:schemas-microsoft-com:office:smarttags" w:element="place">
          <w:r w:rsidRPr="00F552F0">
            <w:rPr>
              <w:sz w:val="22"/>
              <w:szCs w:val="22"/>
            </w:rPr>
            <w:t>New York</w:t>
          </w:r>
        </w:smartTag>
      </w:smartTag>
      <w:r w:rsidRPr="00F552F0">
        <w:rPr>
          <w:sz w:val="22"/>
          <w:szCs w:val="22"/>
        </w:rPr>
        <w:t>.</w:t>
      </w:r>
    </w:p>
    <w:p w:rsidR="00B86D95" w:rsidRPr="00F552F0" w:rsidRDefault="00B86D95" w:rsidP="00B86D95">
      <w:pPr>
        <w:ind w:left="720" w:hanging="720"/>
        <w:jc w:val="both"/>
        <w:rPr>
          <w:sz w:val="22"/>
          <w:szCs w:val="22"/>
        </w:rPr>
      </w:pPr>
      <w:proofErr w:type="gramStart"/>
      <w:r w:rsidRPr="00F552F0">
        <w:rPr>
          <w:sz w:val="22"/>
          <w:szCs w:val="22"/>
        </w:rPr>
        <w:t>Rosenstein-</w:t>
      </w:r>
      <w:proofErr w:type="spellStart"/>
      <w:r w:rsidRPr="00F552F0">
        <w:rPr>
          <w:sz w:val="22"/>
          <w:szCs w:val="22"/>
        </w:rPr>
        <w:t>Rodan</w:t>
      </w:r>
      <w:proofErr w:type="spellEnd"/>
      <w:r w:rsidRPr="00F552F0">
        <w:rPr>
          <w:sz w:val="22"/>
          <w:szCs w:val="22"/>
        </w:rPr>
        <w:t>, P., 1943.</w:t>
      </w:r>
      <w:proofErr w:type="gramEnd"/>
      <w:r w:rsidRPr="00F552F0">
        <w:rPr>
          <w:sz w:val="22"/>
          <w:szCs w:val="22"/>
        </w:rPr>
        <w:t xml:space="preserve"> </w:t>
      </w:r>
      <w:proofErr w:type="gramStart"/>
      <w:r w:rsidRPr="00F552F0">
        <w:rPr>
          <w:sz w:val="22"/>
          <w:szCs w:val="22"/>
        </w:rPr>
        <w:t>Problems of industrialization of Eastern and South- Eastern Europe.</w:t>
      </w:r>
      <w:proofErr w:type="gramEnd"/>
      <w:r w:rsidRPr="00F552F0">
        <w:rPr>
          <w:sz w:val="22"/>
          <w:szCs w:val="22"/>
        </w:rPr>
        <w:t xml:space="preserve"> Economic Journal 53, 202-211. </w:t>
      </w:r>
    </w:p>
    <w:p w:rsidR="00B86D95" w:rsidRPr="00F552F0" w:rsidRDefault="00B86D95" w:rsidP="00B86D95">
      <w:pPr>
        <w:ind w:left="720" w:hanging="720"/>
        <w:jc w:val="both"/>
        <w:rPr>
          <w:rFonts w:eastAsia="Times New Roman"/>
          <w:sz w:val="22"/>
          <w:szCs w:val="22"/>
        </w:rPr>
      </w:pPr>
      <w:r w:rsidRPr="00F552F0">
        <w:rPr>
          <w:rFonts w:eastAsia="Times New Roman"/>
          <w:sz w:val="22"/>
          <w:szCs w:val="22"/>
        </w:rPr>
        <w:t xml:space="preserve">Saunders, A., </w:t>
      </w:r>
      <w:proofErr w:type="spellStart"/>
      <w:r w:rsidRPr="00F552F0">
        <w:rPr>
          <w:rFonts w:eastAsia="Times New Roman"/>
          <w:sz w:val="22"/>
          <w:szCs w:val="22"/>
        </w:rPr>
        <w:t>Strock</w:t>
      </w:r>
      <w:proofErr w:type="spellEnd"/>
      <w:r w:rsidRPr="00F552F0">
        <w:rPr>
          <w:rFonts w:eastAsia="Times New Roman"/>
          <w:sz w:val="22"/>
          <w:szCs w:val="22"/>
        </w:rPr>
        <w:t xml:space="preserve"> E., </w:t>
      </w:r>
      <w:proofErr w:type="spellStart"/>
      <w:r w:rsidRPr="00F552F0">
        <w:rPr>
          <w:rFonts w:eastAsia="Times New Roman"/>
          <w:sz w:val="22"/>
          <w:szCs w:val="22"/>
        </w:rPr>
        <w:t>Travlos</w:t>
      </w:r>
      <w:proofErr w:type="spellEnd"/>
      <w:r w:rsidRPr="00F552F0">
        <w:rPr>
          <w:rFonts w:eastAsia="Times New Roman"/>
          <w:sz w:val="22"/>
          <w:szCs w:val="22"/>
        </w:rPr>
        <w:t>, N., 1990. Ownership structure, deregulation, and bank risk taking. Journal of Finance 45, 643-654.</w:t>
      </w:r>
    </w:p>
    <w:p w:rsidR="00B86D95" w:rsidRPr="00F552F0" w:rsidRDefault="00B86D95" w:rsidP="00B86D95">
      <w:pPr>
        <w:ind w:left="720" w:hanging="720"/>
        <w:jc w:val="both"/>
        <w:rPr>
          <w:sz w:val="22"/>
          <w:szCs w:val="22"/>
        </w:rPr>
      </w:pPr>
      <w:r w:rsidRPr="00F552F0">
        <w:rPr>
          <w:sz w:val="22"/>
          <w:szCs w:val="22"/>
        </w:rPr>
        <w:t xml:space="preserve">Schouten, M., Mathias, S., 2010. The evolution of ownership disclosure rules across countries. </w:t>
      </w:r>
      <w:proofErr w:type="gramStart"/>
      <w:r w:rsidRPr="00F552F0">
        <w:rPr>
          <w:sz w:val="22"/>
          <w:szCs w:val="22"/>
        </w:rPr>
        <w:t>Journal of Corporate Law Studies, forthcoming.</w:t>
      </w:r>
      <w:proofErr w:type="gramEnd"/>
    </w:p>
    <w:p w:rsidR="00B86D95" w:rsidRPr="00F552F0" w:rsidRDefault="00B86D95" w:rsidP="00B86D95">
      <w:pPr>
        <w:ind w:left="720" w:hanging="720"/>
        <w:jc w:val="both"/>
        <w:rPr>
          <w:sz w:val="22"/>
          <w:szCs w:val="22"/>
        </w:rPr>
      </w:pPr>
      <w:r w:rsidRPr="00F552F0">
        <w:rPr>
          <w:sz w:val="22"/>
          <w:szCs w:val="22"/>
          <w:lang w:val="de-DE"/>
        </w:rPr>
        <w:t xml:space="preserve">Schumpeter, J., 1912. Theorie der Wirtschaftlichen Entwicklung. </w:t>
      </w:r>
      <w:proofErr w:type="spellStart"/>
      <w:r w:rsidRPr="00F552F0">
        <w:rPr>
          <w:sz w:val="22"/>
          <w:szCs w:val="22"/>
        </w:rPr>
        <w:t>Duncker</w:t>
      </w:r>
      <w:proofErr w:type="spellEnd"/>
      <w:r w:rsidRPr="00F552F0">
        <w:rPr>
          <w:sz w:val="22"/>
          <w:szCs w:val="22"/>
        </w:rPr>
        <w:t xml:space="preserve"> and </w:t>
      </w:r>
      <w:proofErr w:type="spellStart"/>
      <w:r w:rsidRPr="00F552F0">
        <w:rPr>
          <w:sz w:val="22"/>
          <w:szCs w:val="22"/>
        </w:rPr>
        <w:t>Humblot</w:t>
      </w:r>
      <w:proofErr w:type="spellEnd"/>
      <w:r w:rsidRPr="00F552F0">
        <w:rPr>
          <w:sz w:val="22"/>
          <w:szCs w:val="22"/>
        </w:rPr>
        <w:t xml:space="preserve">, </w:t>
      </w:r>
      <w:smartTag w:uri="urn:schemas-microsoft-com:office:smarttags" w:element="City">
        <w:smartTag w:uri="urn:schemas-microsoft-com:office:smarttags" w:element="place">
          <w:r w:rsidRPr="00F552F0">
            <w:rPr>
              <w:sz w:val="22"/>
              <w:szCs w:val="22"/>
            </w:rPr>
            <w:t>Leipzig</w:t>
          </w:r>
        </w:smartTag>
      </w:smartTag>
      <w:r w:rsidRPr="00F552F0">
        <w:rPr>
          <w:sz w:val="22"/>
          <w:szCs w:val="22"/>
        </w:rPr>
        <w:t>.</w:t>
      </w:r>
    </w:p>
    <w:p w:rsidR="00B86D95" w:rsidRPr="00F552F0" w:rsidRDefault="00B86D95" w:rsidP="00B86D95">
      <w:pPr>
        <w:ind w:left="720" w:hanging="720"/>
        <w:jc w:val="both"/>
        <w:rPr>
          <w:sz w:val="22"/>
          <w:szCs w:val="22"/>
        </w:rPr>
      </w:pPr>
      <w:r w:rsidRPr="00F552F0">
        <w:rPr>
          <w:sz w:val="22"/>
          <w:szCs w:val="22"/>
        </w:rPr>
        <w:t xml:space="preserve">Schumpeter, J., 1942. </w:t>
      </w:r>
      <w:proofErr w:type="gramStart"/>
      <w:r w:rsidRPr="00F552F0">
        <w:rPr>
          <w:sz w:val="22"/>
          <w:szCs w:val="22"/>
        </w:rPr>
        <w:t>Capitalism, Socialism, and Democracy.</w:t>
      </w:r>
      <w:proofErr w:type="gramEnd"/>
      <w:r w:rsidRPr="00F552F0">
        <w:rPr>
          <w:sz w:val="22"/>
          <w:szCs w:val="22"/>
        </w:rPr>
        <w:t xml:space="preserve"> </w:t>
      </w:r>
      <w:proofErr w:type="gramStart"/>
      <w:r w:rsidRPr="00F552F0">
        <w:rPr>
          <w:sz w:val="22"/>
          <w:szCs w:val="22"/>
        </w:rPr>
        <w:t>Harper &amp; Brothers, New York and London.</w:t>
      </w:r>
      <w:proofErr w:type="gramEnd"/>
    </w:p>
    <w:p w:rsidR="00B86D95" w:rsidRPr="00F552F0" w:rsidRDefault="00B86D95" w:rsidP="00B86D95">
      <w:pPr>
        <w:ind w:left="720" w:hanging="720"/>
        <w:jc w:val="both"/>
        <w:rPr>
          <w:sz w:val="22"/>
          <w:szCs w:val="22"/>
        </w:rPr>
      </w:pPr>
      <w:r w:rsidRPr="00F552F0">
        <w:rPr>
          <w:sz w:val="22"/>
          <w:szCs w:val="22"/>
        </w:rPr>
        <w:t xml:space="preserve">Schumpeter, J., 1951. </w:t>
      </w:r>
      <w:proofErr w:type="gramStart"/>
      <w:r w:rsidRPr="00F552F0">
        <w:rPr>
          <w:sz w:val="22"/>
          <w:szCs w:val="22"/>
        </w:rPr>
        <w:t>Imperialism and Social Classes.</w:t>
      </w:r>
      <w:proofErr w:type="gramEnd"/>
      <w:r w:rsidRPr="00F552F0">
        <w:rPr>
          <w:sz w:val="22"/>
          <w:szCs w:val="22"/>
        </w:rPr>
        <w:t xml:space="preserve"> </w:t>
      </w:r>
      <w:proofErr w:type="gramStart"/>
      <w:r w:rsidRPr="00F552F0">
        <w:rPr>
          <w:sz w:val="22"/>
          <w:szCs w:val="22"/>
        </w:rPr>
        <w:t>A.M. Kelly, New York.</w:t>
      </w:r>
      <w:proofErr w:type="gramEnd"/>
    </w:p>
    <w:p w:rsidR="00B86D95" w:rsidRPr="00F552F0" w:rsidRDefault="00B86D95" w:rsidP="00B86D95">
      <w:pPr>
        <w:ind w:left="720" w:hanging="720"/>
        <w:jc w:val="both"/>
        <w:rPr>
          <w:sz w:val="22"/>
          <w:szCs w:val="22"/>
        </w:rPr>
      </w:pPr>
      <w:proofErr w:type="spellStart"/>
      <w:r w:rsidRPr="00F552F0">
        <w:rPr>
          <w:sz w:val="22"/>
          <w:szCs w:val="22"/>
        </w:rPr>
        <w:t>Sen</w:t>
      </w:r>
      <w:proofErr w:type="spellEnd"/>
      <w:r w:rsidRPr="00F552F0">
        <w:rPr>
          <w:sz w:val="22"/>
          <w:szCs w:val="22"/>
        </w:rPr>
        <w:t xml:space="preserve">, A., 1992. Inequality Reexamined. </w:t>
      </w:r>
      <w:smartTag w:uri="urn:schemas-microsoft-com:office:smarttags" w:element="PlaceName">
        <w:r w:rsidRPr="00F552F0">
          <w:rPr>
            <w:sz w:val="22"/>
            <w:szCs w:val="22"/>
          </w:rPr>
          <w:t>Oxford</w:t>
        </w:r>
      </w:smartTag>
      <w:r w:rsidRPr="00F552F0">
        <w:rPr>
          <w:sz w:val="22"/>
          <w:szCs w:val="22"/>
        </w:rPr>
        <w:t xml:space="preserve"> </w:t>
      </w:r>
      <w:smartTag w:uri="urn:schemas-microsoft-com:office:smarttags" w:element="PlaceType">
        <w:r w:rsidRPr="00F552F0">
          <w:rPr>
            <w:sz w:val="22"/>
            <w:szCs w:val="22"/>
          </w:rPr>
          <w:t>University</w:t>
        </w:r>
      </w:smartTag>
      <w:r w:rsidRPr="00F552F0">
        <w:rPr>
          <w:sz w:val="22"/>
          <w:szCs w:val="22"/>
        </w:rPr>
        <w:t xml:space="preserve"> Press, </w:t>
      </w:r>
      <w:smartTag w:uri="urn:schemas-microsoft-com:office:smarttags" w:element="State">
        <w:smartTag w:uri="urn:schemas-microsoft-com:office:smarttags" w:element="place">
          <w:r w:rsidRPr="00F552F0">
            <w:rPr>
              <w:sz w:val="22"/>
              <w:szCs w:val="22"/>
            </w:rPr>
            <w:t>New York</w:t>
          </w:r>
        </w:smartTag>
      </w:smartTag>
      <w:r w:rsidRPr="00F552F0">
        <w:rPr>
          <w:sz w:val="22"/>
          <w:szCs w:val="22"/>
        </w:rPr>
        <w:t>.</w:t>
      </w:r>
    </w:p>
    <w:p w:rsidR="00B86D95" w:rsidRPr="00F552F0" w:rsidRDefault="00B86D95" w:rsidP="00B86D95">
      <w:pPr>
        <w:ind w:left="720" w:hanging="720"/>
        <w:jc w:val="both"/>
        <w:rPr>
          <w:sz w:val="22"/>
          <w:szCs w:val="22"/>
        </w:rPr>
      </w:pPr>
      <w:r w:rsidRPr="00F552F0">
        <w:rPr>
          <w:sz w:val="22"/>
          <w:szCs w:val="22"/>
          <w:lang w:val="de-DE"/>
        </w:rPr>
        <w:t xml:space="preserve">Shleifer, A., Vishny, R., 1986. </w:t>
      </w:r>
      <w:proofErr w:type="gramStart"/>
      <w:r w:rsidRPr="00F552F0">
        <w:rPr>
          <w:sz w:val="22"/>
          <w:szCs w:val="22"/>
        </w:rPr>
        <w:t>Large shareholders and corporate control.</w:t>
      </w:r>
      <w:proofErr w:type="gramEnd"/>
      <w:r w:rsidRPr="00F552F0">
        <w:rPr>
          <w:sz w:val="22"/>
          <w:szCs w:val="22"/>
        </w:rPr>
        <w:t xml:space="preserve"> Journal of Political Economy 94, 461-488.</w:t>
      </w:r>
    </w:p>
    <w:p w:rsidR="00B86D95" w:rsidRPr="00F552F0" w:rsidRDefault="00B86D95" w:rsidP="00B86D95">
      <w:pPr>
        <w:ind w:left="720" w:hanging="720"/>
        <w:jc w:val="both"/>
        <w:rPr>
          <w:sz w:val="22"/>
          <w:szCs w:val="22"/>
          <w:lang w:val="de-DE"/>
        </w:rPr>
      </w:pPr>
      <w:r w:rsidRPr="00F552F0">
        <w:rPr>
          <w:sz w:val="22"/>
          <w:szCs w:val="22"/>
          <w:lang w:val="de-DE"/>
        </w:rPr>
        <w:t xml:space="preserve">Shleifer, A., Vishny, R., 1993. Corruption. The Quarterly Journal of Economics 108, 599-617. </w:t>
      </w:r>
    </w:p>
    <w:p w:rsidR="00B86D95" w:rsidRPr="00F552F0" w:rsidRDefault="00B86D95" w:rsidP="00B86D95">
      <w:pPr>
        <w:ind w:left="720" w:hanging="720"/>
        <w:jc w:val="both"/>
        <w:rPr>
          <w:sz w:val="22"/>
          <w:szCs w:val="22"/>
        </w:rPr>
      </w:pPr>
      <w:r w:rsidRPr="00F552F0">
        <w:rPr>
          <w:sz w:val="22"/>
          <w:szCs w:val="22"/>
          <w:lang w:val="de-DE"/>
        </w:rPr>
        <w:t>Shleifer, A., Vishny, R.,</w:t>
      </w:r>
      <w:r w:rsidRPr="00F552F0">
        <w:rPr>
          <w:sz w:val="22"/>
          <w:szCs w:val="22"/>
        </w:rPr>
        <w:t xml:space="preserve"> 1998. The Grabbing Hand: Government Pathologies and Their Cures. </w:t>
      </w:r>
      <w:proofErr w:type="gramStart"/>
      <w:r w:rsidRPr="00F552F0">
        <w:rPr>
          <w:sz w:val="22"/>
          <w:szCs w:val="22"/>
        </w:rPr>
        <w:t>Harvard University Press, Cambridge, MA.</w:t>
      </w:r>
      <w:proofErr w:type="gramEnd"/>
    </w:p>
    <w:p w:rsidR="00B86D95" w:rsidRPr="00F552F0" w:rsidRDefault="00B86D95" w:rsidP="00B86D95">
      <w:pPr>
        <w:ind w:left="720" w:hanging="720"/>
        <w:jc w:val="both"/>
        <w:rPr>
          <w:sz w:val="22"/>
          <w:szCs w:val="22"/>
        </w:rPr>
      </w:pPr>
      <w:proofErr w:type="gramStart"/>
      <w:r w:rsidRPr="00F552F0">
        <w:rPr>
          <w:sz w:val="22"/>
          <w:szCs w:val="22"/>
        </w:rPr>
        <w:t>Smith, B., Amoako-Adu, B., 2005.</w:t>
      </w:r>
      <w:proofErr w:type="gramEnd"/>
      <w:r w:rsidRPr="00F552F0">
        <w:rPr>
          <w:sz w:val="22"/>
          <w:szCs w:val="22"/>
        </w:rPr>
        <w:t xml:space="preserve"> </w:t>
      </w:r>
      <w:proofErr w:type="gramStart"/>
      <w:r w:rsidRPr="00F552F0">
        <w:rPr>
          <w:sz w:val="22"/>
          <w:szCs w:val="22"/>
        </w:rPr>
        <w:t>Management Succession and Financial Performance of Family Controlled Firms.</w:t>
      </w:r>
      <w:proofErr w:type="gramEnd"/>
      <w:r w:rsidRPr="00F552F0">
        <w:rPr>
          <w:sz w:val="22"/>
          <w:szCs w:val="22"/>
        </w:rPr>
        <w:t xml:space="preserve"> In: Watson, R</w:t>
      </w:r>
      <w:proofErr w:type="gramStart"/>
      <w:r w:rsidRPr="00F552F0">
        <w:rPr>
          <w:sz w:val="22"/>
          <w:szCs w:val="22"/>
        </w:rPr>
        <w:t>.(</w:t>
      </w:r>
      <w:proofErr w:type="gramEnd"/>
      <w:r w:rsidRPr="00F552F0">
        <w:rPr>
          <w:sz w:val="22"/>
          <w:szCs w:val="22"/>
        </w:rPr>
        <w:t xml:space="preserve">Ed.), Governance and Ownership. Elgar, </w:t>
      </w:r>
      <w:smartTag w:uri="urn:schemas-microsoft-com:office:smarttags" w:element="place">
        <w:smartTag w:uri="urn:schemas-microsoft-com:office:smarttags" w:element="City">
          <w:r w:rsidRPr="00F552F0">
            <w:rPr>
              <w:sz w:val="22"/>
              <w:szCs w:val="22"/>
            </w:rPr>
            <w:t>Cheltenham</w:t>
          </w:r>
        </w:smartTag>
        <w:r w:rsidRPr="00F552F0">
          <w:rPr>
            <w:sz w:val="22"/>
            <w:szCs w:val="22"/>
          </w:rPr>
          <w:t xml:space="preserve">, </w:t>
        </w:r>
        <w:smartTag w:uri="urn:schemas-microsoft-com:office:smarttags" w:element="country-region">
          <w:r w:rsidRPr="00F552F0">
            <w:rPr>
              <w:sz w:val="22"/>
              <w:szCs w:val="22"/>
            </w:rPr>
            <w:t>UK</w:t>
          </w:r>
        </w:smartTag>
      </w:smartTag>
      <w:r w:rsidRPr="00F552F0">
        <w:rPr>
          <w:sz w:val="22"/>
          <w:szCs w:val="22"/>
        </w:rPr>
        <w:t>, pp. 314-341.</w:t>
      </w:r>
    </w:p>
    <w:p w:rsidR="00B86D95" w:rsidRPr="00F552F0" w:rsidRDefault="00B86D95" w:rsidP="00B86D95">
      <w:pPr>
        <w:ind w:left="720" w:hanging="720"/>
        <w:jc w:val="both"/>
        <w:rPr>
          <w:sz w:val="22"/>
          <w:szCs w:val="22"/>
        </w:rPr>
      </w:pPr>
      <w:r w:rsidRPr="00F552F0">
        <w:rPr>
          <w:sz w:val="22"/>
          <w:szCs w:val="22"/>
        </w:rPr>
        <w:t xml:space="preserve">Solow, R., 1956. </w:t>
      </w:r>
      <w:proofErr w:type="gramStart"/>
      <w:r w:rsidRPr="00F552F0">
        <w:rPr>
          <w:sz w:val="22"/>
          <w:szCs w:val="22"/>
        </w:rPr>
        <w:t>A contribution to the theory of economic growth.</w:t>
      </w:r>
      <w:proofErr w:type="gramEnd"/>
      <w:r w:rsidRPr="00F552F0">
        <w:rPr>
          <w:sz w:val="22"/>
          <w:szCs w:val="22"/>
        </w:rPr>
        <w:t xml:space="preserve"> The Quarterly Journal of Economics 70, 65-94.</w:t>
      </w:r>
    </w:p>
    <w:p w:rsidR="00B86D95" w:rsidRPr="00F552F0" w:rsidRDefault="00B86D95" w:rsidP="00B86D95">
      <w:pPr>
        <w:ind w:left="720" w:hanging="720"/>
        <w:jc w:val="both"/>
        <w:rPr>
          <w:sz w:val="22"/>
          <w:szCs w:val="22"/>
        </w:rPr>
      </w:pPr>
      <w:proofErr w:type="spellStart"/>
      <w:r w:rsidRPr="00F552F0">
        <w:rPr>
          <w:sz w:val="22"/>
          <w:szCs w:val="22"/>
        </w:rPr>
        <w:t>Stulz</w:t>
      </w:r>
      <w:proofErr w:type="spellEnd"/>
      <w:r w:rsidRPr="00F552F0">
        <w:rPr>
          <w:sz w:val="22"/>
          <w:szCs w:val="22"/>
        </w:rPr>
        <w:t>, R., 1988. Managerial control of voting rights: financing policies and the market for corporate control. Journal of Financial Economics 20, 25-54.</w:t>
      </w:r>
    </w:p>
    <w:p w:rsidR="00B86D95" w:rsidRPr="00F552F0" w:rsidRDefault="00B86D95" w:rsidP="00B86D95">
      <w:pPr>
        <w:ind w:left="720" w:hanging="720"/>
        <w:jc w:val="both"/>
        <w:rPr>
          <w:sz w:val="22"/>
          <w:szCs w:val="22"/>
        </w:rPr>
      </w:pPr>
      <w:proofErr w:type="spellStart"/>
      <w:r w:rsidRPr="00F552F0">
        <w:rPr>
          <w:sz w:val="22"/>
          <w:szCs w:val="22"/>
        </w:rPr>
        <w:t>Stulz</w:t>
      </w:r>
      <w:proofErr w:type="spellEnd"/>
      <w:r w:rsidRPr="00F552F0">
        <w:rPr>
          <w:sz w:val="22"/>
          <w:szCs w:val="22"/>
        </w:rPr>
        <w:t xml:space="preserve">, R., 2005. </w:t>
      </w:r>
      <w:proofErr w:type="gramStart"/>
      <w:r w:rsidRPr="00F552F0">
        <w:rPr>
          <w:sz w:val="22"/>
          <w:szCs w:val="22"/>
        </w:rPr>
        <w:t>The limits of financial globalization.</w:t>
      </w:r>
      <w:proofErr w:type="gramEnd"/>
      <w:r w:rsidRPr="00F552F0">
        <w:rPr>
          <w:sz w:val="22"/>
          <w:szCs w:val="22"/>
        </w:rPr>
        <w:t xml:space="preserve"> Journal of Finance 60, 1595-1638.</w:t>
      </w:r>
    </w:p>
    <w:p w:rsidR="00B86D95" w:rsidRPr="00F552F0" w:rsidRDefault="00B86D95" w:rsidP="00B86D95">
      <w:pPr>
        <w:ind w:left="720" w:hanging="720"/>
        <w:jc w:val="both"/>
        <w:rPr>
          <w:sz w:val="22"/>
          <w:szCs w:val="22"/>
        </w:rPr>
      </w:pPr>
      <w:proofErr w:type="spellStart"/>
      <w:r w:rsidRPr="00F552F0">
        <w:rPr>
          <w:sz w:val="22"/>
          <w:szCs w:val="22"/>
        </w:rPr>
        <w:t>Taboada</w:t>
      </w:r>
      <w:proofErr w:type="spellEnd"/>
      <w:r w:rsidRPr="00F552F0">
        <w:rPr>
          <w:sz w:val="22"/>
          <w:szCs w:val="22"/>
        </w:rPr>
        <w:t xml:space="preserve">, A., 2008. Impact of changes in government ownership of banks on the allocation of capital: International evidence. </w:t>
      </w:r>
      <w:r w:rsidRPr="00F552F0">
        <w:rPr>
          <w:sz w:val="22"/>
          <w:szCs w:val="22"/>
          <w:lang w:val="it-IT"/>
        </w:rPr>
        <w:t>Unpublished working paper. University of Tennessee.</w:t>
      </w:r>
    </w:p>
    <w:p w:rsidR="00B86D95" w:rsidRPr="00F552F0" w:rsidRDefault="00B86D95" w:rsidP="00B86D95">
      <w:pPr>
        <w:ind w:left="720" w:hanging="720"/>
        <w:jc w:val="both"/>
        <w:rPr>
          <w:sz w:val="22"/>
          <w:szCs w:val="22"/>
        </w:rPr>
      </w:pPr>
      <w:r w:rsidRPr="00F552F0">
        <w:rPr>
          <w:sz w:val="22"/>
          <w:szCs w:val="22"/>
        </w:rPr>
        <w:t xml:space="preserve">Tobin, J., 1989. </w:t>
      </w:r>
      <w:proofErr w:type="gramStart"/>
      <w:r w:rsidRPr="00F552F0">
        <w:rPr>
          <w:sz w:val="22"/>
          <w:szCs w:val="22"/>
        </w:rPr>
        <w:t>On the efficiency of the financial system.</w:t>
      </w:r>
      <w:proofErr w:type="gramEnd"/>
      <w:r w:rsidRPr="00F552F0">
        <w:rPr>
          <w:sz w:val="22"/>
          <w:szCs w:val="22"/>
        </w:rPr>
        <w:t xml:space="preserve"> In: Johnson, C</w:t>
      </w:r>
      <w:proofErr w:type="gramStart"/>
      <w:r w:rsidRPr="00F552F0">
        <w:rPr>
          <w:sz w:val="22"/>
          <w:szCs w:val="22"/>
        </w:rPr>
        <w:t>.(</w:t>
      </w:r>
      <w:proofErr w:type="gramEnd"/>
      <w:r w:rsidRPr="00F552F0">
        <w:rPr>
          <w:sz w:val="22"/>
          <w:szCs w:val="22"/>
        </w:rPr>
        <w:t xml:space="preserve">Ed.), The Market on Trial. </w:t>
      </w:r>
      <w:smartTag w:uri="urn:schemas-microsoft-com:office:smarttags" w:element="PlaceName">
        <w:r w:rsidRPr="00F552F0">
          <w:rPr>
            <w:sz w:val="22"/>
            <w:szCs w:val="22"/>
          </w:rPr>
          <w:t>Columbia</w:t>
        </w:r>
      </w:smartTag>
      <w:r w:rsidRPr="00F552F0">
        <w:rPr>
          <w:sz w:val="22"/>
          <w:szCs w:val="22"/>
        </w:rPr>
        <w:t xml:space="preserve"> </w:t>
      </w:r>
      <w:smartTag w:uri="urn:schemas-microsoft-com:office:smarttags" w:element="PlaceType">
        <w:r w:rsidRPr="00F552F0">
          <w:rPr>
            <w:sz w:val="22"/>
            <w:szCs w:val="22"/>
          </w:rPr>
          <w:t>University</w:t>
        </w:r>
      </w:smartTag>
      <w:r w:rsidRPr="00F552F0">
        <w:rPr>
          <w:sz w:val="22"/>
          <w:szCs w:val="22"/>
        </w:rPr>
        <w:t xml:space="preserve"> Press, </w:t>
      </w:r>
      <w:smartTag w:uri="urn:schemas-microsoft-com:office:smarttags" w:element="State">
        <w:smartTag w:uri="urn:schemas-microsoft-com:office:smarttags" w:element="place">
          <w:r w:rsidRPr="00F552F0">
            <w:rPr>
              <w:sz w:val="22"/>
              <w:szCs w:val="22"/>
            </w:rPr>
            <w:t>New York</w:t>
          </w:r>
        </w:smartTag>
      </w:smartTag>
      <w:r w:rsidRPr="00F552F0">
        <w:rPr>
          <w:sz w:val="22"/>
          <w:szCs w:val="22"/>
        </w:rPr>
        <w:t>, 125-138.</w:t>
      </w:r>
    </w:p>
    <w:p w:rsidR="00B86D95" w:rsidRPr="00F552F0" w:rsidRDefault="00B86D95" w:rsidP="00B86D95">
      <w:pPr>
        <w:ind w:left="720" w:hanging="720"/>
        <w:jc w:val="both"/>
        <w:rPr>
          <w:sz w:val="22"/>
          <w:szCs w:val="22"/>
        </w:rPr>
      </w:pPr>
      <w:proofErr w:type="spellStart"/>
      <w:r w:rsidRPr="00F552F0">
        <w:rPr>
          <w:sz w:val="22"/>
          <w:szCs w:val="22"/>
        </w:rPr>
        <w:t>Villalonga</w:t>
      </w:r>
      <w:proofErr w:type="spellEnd"/>
      <w:r w:rsidRPr="00F552F0">
        <w:rPr>
          <w:sz w:val="22"/>
          <w:szCs w:val="22"/>
        </w:rPr>
        <w:t xml:space="preserve">, B., Amit, R., 2006. How do family ownership, control, and management affect firm value? Journal of Financial Economics 80, 385-417. </w:t>
      </w:r>
    </w:p>
    <w:p w:rsidR="004C3644" w:rsidRPr="00C70BC2" w:rsidRDefault="00B86D95" w:rsidP="00FC7799">
      <w:pPr>
        <w:ind w:left="720" w:hanging="720"/>
        <w:jc w:val="both"/>
        <w:rPr>
          <w:b/>
          <w:sz w:val="22"/>
          <w:szCs w:val="22"/>
        </w:rPr>
      </w:pPr>
      <w:proofErr w:type="spellStart"/>
      <w:r w:rsidRPr="00F552F0">
        <w:rPr>
          <w:sz w:val="22"/>
          <w:szCs w:val="22"/>
        </w:rPr>
        <w:t>Wurgler</w:t>
      </w:r>
      <w:proofErr w:type="spellEnd"/>
      <w:r w:rsidRPr="00F552F0">
        <w:rPr>
          <w:sz w:val="22"/>
          <w:szCs w:val="22"/>
        </w:rPr>
        <w:t xml:space="preserve">, J., 2000. </w:t>
      </w:r>
      <w:proofErr w:type="gramStart"/>
      <w:r w:rsidRPr="00F552F0">
        <w:rPr>
          <w:sz w:val="22"/>
          <w:szCs w:val="22"/>
        </w:rPr>
        <w:t>Financial markets and the allocation of capital.</w:t>
      </w:r>
      <w:proofErr w:type="gramEnd"/>
      <w:r w:rsidRPr="00F552F0">
        <w:rPr>
          <w:sz w:val="22"/>
          <w:szCs w:val="22"/>
        </w:rPr>
        <w:t xml:space="preserve"> Journal of Financial Economics 58, 187-214.</w:t>
      </w:r>
    </w:p>
    <w:sectPr w:rsidR="004C3644" w:rsidRPr="00C70BC2" w:rsidSect="00953EC2">
      <w:footerReference w:type="even" r:id="rId34"/>
      <w:footerReference w:type="default" r:id="rId35"/>
      <w:pgSz w:w="12240" w:h="15840"/>
      <w:pgMar w:top="1440" w:right="1800" w:bottom="106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68" w:rsidRDefault="009F4368">
      <w:r>
        <w:separator/>
      </w:r>
    </w:p>
  </w:endnote>
  <w:endnote w:type="continuationSeparator" w:id="0">
    <w:p w:rsidR="009F4368" w:rsidRDefault="009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F" w:rsidRDefault="001E1286">
    <w:pPr>
      <w:pStyle w:val="Footer"/>
      <w:framePr w:wrap="around" w:vAnchor="text" w:hAnchor="margin" w:xAlign="center" w:y="1"/>
      <w:rPr>
        <w:rStyle w:val="PageNumber"/>
      </w:rPr>
    </w:pPr>
    <w:r>
      <w:rPr>
        <w:rStyle w:val="PageNumber"/>
      </w:rPr>
      <w:fldChar w:fldCharType="begin"/>
    </w:r>
    <w:r w:rsidR="00E241AF">
      <w:rPr>
        <w:rStyle w:val="PageNumber"/>
      </w:rPr>
      <w:instrText xml:space="preserve">PAGE  </w:instrText>
    </w:r>
    <w:r>
      <w:rPr>
        <w:rStyle w:val="PageNumber"/>
      </w:rPr>
      <w:fldChar w:fldCharType="end"/>
    </w:r>
  </w:p>
  <w:p w:rsidR="00E241AF" w:rsidRDefault="00E24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F" w:rsidRDefault="009F4368">
    <w:pPr>
      <w:pStyle w:val="Footer"/>
      <w:jc w:val="center"/>
    </w:pPr>
    <w:r>
      <w:fldChar w:fldCharType="begin"/>
    </w:r>
    <w:r>
      <w:instrText xml:space="preserve"> PAGE   \* MERGEFORMAT </w:instrText>
    </w:r>
    <w:r>
      <w:fldChar w:fldCharType="separate"/>
    </w:r>
    <w:r w:rsidR="00E6374C">
      <w:rPr>
        <w:noProof/>
      </w:rPr>
      <w:t>38</w:t>
    </w:r>
    <w:r>
      <w:rPr>
        <w:noProof/>
      </w:rPr>
      <w:fldChar w:fldCharType="end"/>
    </w:r>
  </w:p>
  <w:p w:rsidR="00E241AF" w:rsidRDefault="00E24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F" w:rsidRDefault="001E1286">
    <w:pPr>
      <w:pStyle w:val="Footer"/>
      <w:framePr w:wrap="around" w:vAnchor="text" w:hAnchor="margin" w:xAlign="center" w:y="1"/>
      <w:rPr>
        <w:rStyle w:val="PageNumber"/>
      </w:rPr>
    </w:pPr>
    <w:r>
      <w:rPr>
        <w:rStyle w:val="PageNumber"/>
      </w:rPr>
      <w:fldChar w:fldCharType="begin"/>
    </w:r>
    <w:r w:rsidR="00E241AF">
      <w:rPr>
        <w:rStyle w:val="PageNumber"/>
      </w:rPr>
      <w:instrText xml:space="preserve">PAGE  </w:instrText>
    </w:r>
    <w:r>
      <w:rPr>
        <w:rStyle w:val="PageNumber"/>
      </w:rPr>
      <w:fldChar w:fldCharType="end"/>
    </w:r>
  </w:p>
  <w:p w:rsidR="00E241AF" w:rsidRDefault="00E241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F" w:rsidRDefault="009F4368">
    <w:pPr>
      <w:pStyle w:val="Footer"/>
      <w:jc w:val="center"/>
    </w:pPr>
    <w:r>
      <w:fldChar w:fldCharType="begin"/>
    </w:r>
    <w:r>
      <w:instrText xml:space="preserve"> PAGE   \* MERGEFORMAT </w:instrText>
    </w:r>
    <w:r>
      <w:fldChar w:fldCharType="separate"/>
    </w:r>
    <w:r w:rsidR="00E6374C">
      <w:rPr>
        <w:noProof/>
      </w:rPr>
      <w:t>45</w:t>
    </w:r>
    <w:r>
      <w:rPr>
        <w:noProof/>
      </w:rPr>
      <w:fldChar w:fldCharType="end"/>
    </w:r>
  </w:p>
  <w:p w:rsidR="00E241AF" w:rsidRDefault="00E24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68" w:rsidRDefault="009F4368">
      <w:r>
        <w:separator/>
      </w:r>
    </w:p>
  </w:footnote>
  <w:footnote w:type="continuationSeparator" w:id="0">
    <w:p w:rsidR="009F4368" w:rsidRDefault="009F4368">
      <w:r>
        <w:continuationSeparator/>
      </w:r>
    </w:p>
  </w:footnote>
  <w:footnote w:id="1">
    <w:p w:rsidR="00E241AF" w:rsidRDefault="00E241AF">
      <w:pPr>
        <w:ind w:firstLine="720"/>
        <w:jc w:val="both"/>
        <w:rPr>
          <w:sz w:val="20"/>
          <w:szCs w:val="20"/>
        </w:rPr>
      </w:pPr>
      <w:r>
        <w:rPr>
          <w:rStyle w:val="FootnoteReference"/>
          <w:sz w:val="20"/>
          <w:szCs w:val="20"/>
        </w:rPr>
        <w:footnoteRef/>
      </w:r>
      <w:r>
        <w:rPr>
          <w:sz w:val="20"/>
          <w:szCs w:val="20"/>
        </w:rPr>
        <w:t xml:space="preserve"> Including smaller banks would be desirable, but greatly magnifies data collection problems. Since we need to gauge economy-level banking system control, focusing on large banks is defensible as a first pass. </w:t>
      </w:r>
    </w:p>
  </w:footnote>
  <w:footnote w:id="2">
    <w:p w:rsidR="00E241AF" w:rsidRDefault="00E241AF">
      <w:pPr>
        <w:pStyle w:val="FootnoteText"/>
        <w:ind w:firstLine="720"/>
        <w:jc w:val="both"/>
      </w:pPr>
      <w:r w:rsidRPr="00883124">
        <w:rPr>
          <w:rStyle w:val="FootnoteReference"/>
        </w:rPr>
        <w:footnoteRef/>
      </w:r>
      <w:r w:rsidRPr="00883124">
        <w:t xml:space="preserve"> Bureau Van </w:t>
      </w:r>
      <w:proofErr w:type="spellStart"/>
      <w:r w:rsidRPr="00883124">
        <w:t>Dijk</w:t>
      </w:r>
      <w:proofErr w:type="spellEnd"/>
      <w:r w:rsidRPr="00883124">
        <w:t xml:space="preserve"> provides the </w:t>
      </w:r>
      <w:proofErr w:type="spellStart"/>
      <w:r>
        <w:t>Bankscope</w:t>
      </w:r>
      <w:proofErr w:type="spellEnd"/>
      <w:r w:rsidRPr="00883124">
        <w:t xml:space="preserve"> dataset, which covers financial statements, ratings and ownership structure of 30,000 banks worldwide. This dataset is commonly used to identify the ownership structure of banks (</w:t>
      </w:r>
      <w:proofErr w:type="spellStart"/>
      <w:r w:rsidRPr="00883124">
        <w:t>Caprio</w:t>
      </w:r>
      <w:proofErr w:type="spellEnd"/>
      <w:r w:rsidRPr="00883124">
        <w:t xml:space="preserve"> </w:t>
      </w:r>
      <w:r w:rsidRPr="003D5871">
        <w:t>et al</w:t>
      </w:r>
      <w:proofErr w:type="gramStart"/>
      <w:r w:rsidRPr="003D5871">
        <w:t>,.</w:t>
      </w:r>
      <w:proofErr w:type="gramEnd"/>
      <w:r w:rsidRPr="00883124">
        <w:rPr>
          <w:i/>
        </w:rPr>
        <w:t xml:space="preserve"> </w:t>
      </w:r>
      <w:r w:rsidRPr="00883124">
        <w:t xml:space="preserve">2007; </w:t>
      </w:r>
      <w:proofErr w:type="spellStart"/>
      <w:r w:rsidRPr="00883124">
        <w:t>Taboada</w:t>
      </w:r>
      <w:proofErr w:type="spellEnd"/>
      <w:r>
        <w:t>,</w:t>
      </w:r>
      <w:r w:rsidRPr="00883124">
        <w:t xml:space="preserve"> 2008; </w:t>
      </w:r>
      <w:proofErr w:type="spellStart"/>
      <w:r w:rsidRPr="00883124">
        <w:t>Laeven</w:t>
      </w:r>
      <w:proofErr w:type="spellEnd"/>
      <w:r w:rsidRPr="00883124">
        <w:t xml:space="preserve"> &amp; Levine</w:t>
      </w:r>
      <w:r>
        <w:t>,</w:t>
      </w:r>
      <w:r w:rsidRPr="00883124">
        <w:t xml:space="preserve"> 2009). </w:t>
      </w:r>
      <w:proofErr w:type="spellStart"/>
      <w:r>
        <w:t>Bankscope</w:t>
      </w:r>
      <w:proofErr w:type="spellEnd"/>
      <w:r w:rsidRPr="00883124">
        <w:t xml:space="preserve"> does not always provide the identity of the ultimate controlling shareholder, which we identify using the procedures discussed below.</w:t>
      </w:r>
      <w:r>
        <w:t xml:space="preserve">  </w:t>
      </w:r>
    </w:p>
  </w:footnote>
  <w:footnote w:id="3">
    <w:p w:rsidR="00E241AF" w:rsidRDefault="00E241AF">
      <w:pPr>
        <w:pStyle w:val="FootnoteText"/>
        <w:ind w:firstLine="720"/>
        <w:rPr>
          <w:lang w:val="en-CA"/>
        </w:rPr>
      </w:pPr>
      <w:r>
        <w:rPr>
          <w:rStyle w:val="FootnoteReference"/>
        </w:rPr>
        <w:footnoteRef/>
      </w:r>
      <w:r>
        <w:t xml:space="preserve"> </w:t>
      </w:r>
      <w:r>
        <w:rPr>
          <w:lang w:val="en-CA"/>
        </w:rPr>
        <w:t xml:space="preserve">Different countries have different blockholder reporting thresholds. In the </w:t>
      </w:r>
      <w:smartTag w:uri="urn:schemas-microsoft-com:office:smarttags" w:element="place">
        <w:smartTag w:uri="urn:schemas-microsoft-com:office:smarttags" w:element="country-region">
          <w:r>
            <w:rPr>
              <w:lang w:val="en-CA"/>
            </w:rPr>
            <w:t>US</w:t>
          </w:r>
        </w:smartTag>
      </w:smartTag>
      <w:r>
        <w:rPr>
          <w:lang w:val="en-CA"/>
        </w:rPr>
        <w:t>, all insider stakes and all owners of 5% or more must be disclosed. Comparable thresholds range from 2% to 25% in other countries (</w:t>
      </w:r>
      <w:r w:rsidRPr="00456911">
        <w:rPr>
          <w:lang w:val="en-CA"/>
        </w:rPr>
        <w:t xml:space="preserve">Schouten </w:t>
      </w:r>
      <w:r>
        <w:rPr>
          <w:lang w:val="en-CA"/>
        </w:rPr>
        <w:t xml:space="preserve">and </w:t>
      </w:r>
      <w:proofErr w:type="spellStart"/>
      <w:r w:rsidRPr="00456911">
        <w:rPr>
          <w:lang w:val="en-CA"/>
        </w:rPr>
        <w:t>Siems</w:t>
      </w:r>
      <w:proofErr w:type="spellEnd"/>
      <w:r>
        <w:rPr>
          <w:lang w:val="en-CA"/>
        </w:rPr>
        <w:t xml:space="preserve">, 2009). </w:t>
      </w:r>
      <w:r w:rsidRPr="00456911">
        <w:rPr>
          <w:lang w:val="en-CA"/>
        </w:rPr>
        <w:t xml:space="preserve"> </w:t>
      </w:r>
    </w:p>
  </w:footnote>
  <w:footnote w:id="4">
    <w:p w:rsidR="00E241AF" w:rsidRDefault="00E241AF">
      <w:pPr>
        <w:pStyle w:val="FootnoteText"/>
        <w:ind w:firstLine="720"/>
        <w:jc w:val="both"/>
      </w:pPr>
      <w:r>
        <w:rPr>
          <w:rStyle w:val="FootnoteReference"/>
        </w:rPr>
        <w:footnoteRef/>
      </w:r>
      <w:r>
        <w:t xml:space="preserve"> </w:t>
      </w:r>
      <w:r w:rsidRPr="003B62A9">
        <w:rPr>
          <w:color w:val="000000"/>
        </w:rPr>
        <w:t xml:space="preserve">This measures the deviation of the country’s income distribution from a uniform distribution, with a zero </w:t>
      </w:r>
      <w:proofErr w:type="spellStart"/>
      <w:r w:rsidRPr="003B62A9">
        <w:rPr>
          <w:color w:val="000000"/>
        </w:rPr>
        <w:t>Gini</w:t>
      </w:r>
      <w:proofErr w:type="spellEnd"/>
      <w:r w:rsidRPr="003B62A9">
        <w:rPr>
          <w:color w:val="000000"/>
        </w:rPr>
        <w:t xml:space="preserve"> coefficient indicating a perfectly </w:t>
      </w:r>
      <w:r>
        <w:rPr>
          <w:color w:val="000000"/>
        </w:rPr>
        <w:t>egalitarian</w:t>
      </w:r>
      <w:r w:rsidRPr="003B62A9">
        <w:rPr>
          <w:color w:val="000000"/>
        </w:rPr>
        <w:t xml:space="preserve"> income distribution, and larger coefficients indicating </w:t>
      </w:r>
      <w:r>
        <w:rPr>
          <w:color w:val="000000"/>
        </w:rPr>
        <w:t>greater</w:t>
      </w:r>
      <w:r w:rsidRPr="003B62A9">
        <w:rPr>
          <w:color w:val="000000"/>
        </w:rPr>
        <w:t xml:space="preserve"> inequality (</w:t>
      </w:r>
      <w:proofErr w:type="spellStart"/>
      <w:r w:rsidRPr="003B62A9">
        <w:rPr>
          <w:color w:val="000000"/>
        </w:rPr>
        <w:t>Gini</w:t>
      </w:r>
      <w:proofErr w:type="spellEnd"/>
      <w:r>
        <w:rPr>
          <w:color w:val="000000"/>
        </w:rPr>
        <w:t>,</w:t>
      </w:r>
      <w:r w:rsidRPr="003B62A9">
        <w:rPr>
          <w:color w:val="000000"/>
        </w:rPr>
        <w:t xml:space="preserve"> 1921).</w:t>
      </w:r>
    </w:p>
  </w:footnote>
  <w:footnote w:id="5">
    <w:p w:rsidR="00E241AF" w:rsidRDefault="00E241AF">
      <w:pPr>
        <w:pStyle w:val="FootnoteText"/>
        <w:ind w:firstLine="720"/>
        <w:jc w:val="both"/>
      </w:pPr>
      <w:r>
        <w:rPr>
          <w:rStyle w:val="FootnoteReference"/>
        </w:rPr>
        <w:footnoteRef/>
      </w:r>
      <w:r>
        <w:t xml:space="preserve"> In addition, the correlations of our dependent variables with initial income are generally quite weak, suggesting that the results are unlikely to be driven by a latent “bad country” effect. In fact, dropping the initial income as a control and rerunning our regressions generates qualitatively similar results to those shown, except now state bank control correlates negatively with </w:t>
      </w:r>
      <w:proofErr w:type="spellStart"/>
      <w:r w:rsidRPr="008C2C72">
        <w:t>Wurgler’s</w:t>
      </w:r>
      <w:proofErr w:type="spellEnd"/>
      <w:r w:rsidRPr="008C2C72">
        <w:t xml:space="preserve"> (2000) capital allocation efficiency </w:t>
      </w:r>
      <w:r>
        <w:t xml:space="preserve">measure </w:t>
      </w:r>
      <w:r w:rsidRPr="008C2C72">
        <w:t>estimated using in the shorter window</w:t>
      </w:r>
      <w:r>
        <w:t xml:space="preserve"> and positively with the number of banking crises, independent banks correlate negatively with that standard deviation of growth, and family bank control loses significance in explaining productivity growth.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F" w:rsidRDefault="00E24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60"/>
    <w:multiLevelType w:val="hybridMultilevel"/>
    <w:tmpl w:val="D65628B4"/>
    <w:lvl w:ilvl="0" w:tplc="D86E8D5A">
      <w:start w:val="1"/>
      <w:numFmt w:val="bullet"/>
      <w:lvlText w:val="•"/>
      <w:lvlJc w:val="left"/>
      <w:pPr>
        <w:tabs>
          <w:tab w:val="num" w:pos="720"/>
        </w:tabs>
        <w:ind w:left="720" w:hanging="360"/>
      </w:pPr>
      <w:rPr>
        <w:rFonts w:ascii="Times New Roman" w:hAnsi="Times New Roman" w:hint="default"/>
      </w:rPr>
    </w:lvl>
    <w:lvl w:ilvl="1" w:tplc="2BB4EB50" w:tentative="1">
      <w:start w:val="1"/>
      <w:numFmt w:val="bullet"/>
      <w:lvlText w:val="•"/>
      <w:lvlJc w:val="left"/>
      <w:pPr>
        <w:tabs>
          <w:tab w:val="num" w:pos="1440"/>
        </w:tabs>
        <w:ind w:left="1440" w:hanging="360"/>
      </w:pPr>
      <w:rPr>
        <w:rFonts w:ascii="Times New Roman" w:hAnsi="Times New Roman" w:hint="default"/>
      </w:rPr>
    </w:lvl>
    <w:lvl w:ilvl="2" w:tplc="F7A2BEDA">
      <w:start w:val="1"/>
      <w:numFmt w:val="bullet"/>
      <w:lvlText w:val="•"/>
      <w:lvlJc w:val="left"/>
      <w:pPr>
        <w:tabs>
          <w:tab w:val="num" w:pos="2160"/>
        </w:tabs>
        <w:ind w:left="2160" w:hanging="360"/>
      </w:pPr>
      <w:rPr>
        <w:rFonts w:ascii="Times New Roman" w:hAnsi="Times New Roman" w:hint="default"/>
      </w:rPr>
    </w:lvl>
    <w:lvl w:ilvl="3" w:tplc="3BC8F9EC">
      <w:start w:val="167"/>
      <w:numFmt w:val="bullet"/>
      <w:lvlText w:val="–"/>
      <w:lvlJc w:val="left"/>
      <w:pPr>
        <w:tabs>
          <w:tab w:val="num" w:pos="2880"/>
        </w:tabs>
        <w:ind w:left="2880" w:hanging="360"/>
      </w:pPr>
      <w:rPr>
        <w:rFonts w:ascii="Times New Roman" w:hAnsi="Times New Roman" w:hint="default"/>
      </w:rPr>
    </w:lvl>
    <w:lvl w:ilvl="4" w:tplc="72688624" w:tentative="1">
      <w:start w:val="1"/>
      <w:numFmt w:val="bullet"/>
      <w:lvlText w:val="•"/>
      <w:lvlJc w:val="left"/>
      <w:pPr>
        <w:tabs>
          <w:tab w:val="num" w:pos="3600"/>
        </w:tabs>
        <w:ind w:left="3600" w:hanging="360"/>
      </w:pPr>
      <w:rPr>
        <w:rFonts w:ascii="Times New Roman" w:hAnsi="Times New Roman" w:hint="default"/>
      </w:rPr>
    </w:lvl>
    <w:lvl w:ilvl="5" w:tplc="90C08D48" w:tentative="1">
      <w:start w:val="1"/>
      <w:numFmt w:val="bullet"/>
      <w:lvlText w:val="•"/>
      <w:lvlJc w:val="left"/>
      <w:pPr>
        <w:tabs>
          <w:tab w:val="num" w:pos="4320"/>
        </w:tabs>
        <w:ind w:left="4320" w:hanging="360"/>
      </w:pPr>
      <w:rPr>
        <w:rFonts w:ascii="Times New Roman" w:hAnsi="Times New Roman" w:hint="default"/>
      </w:rPr>
    </w:lvl>
    <w:lvl w:ilvl="6" w:tplc="800EFA1A" w:tentative="1">
      <w:start w:val="1"/>
      <w:numFmt w:val="bullet"/>
      <w:lvlText w:val="•"/>
      <w:lvlJc w:val="left"/>
      <w:pPr>
        <w:tabs>
          <w:tab w:val="num" w:pos="5040"/>
        </w:tabs>
        <w:ind w:left="5040" w:hanging="360"/>
      </w:pPr>
      <w:rPr>
        <w:rFonts w:ascii="Times New Roman" w:hAnsi="Times New Roman" w:hint="default"/>
      </w:rPr>
    </w:lvl>
    <w:lvl w:ilvl="7" w:tplc="3E5224D8" w:tentative="1">
      <w:start w:val="1"/>
      <w:numFmt w:val="bullet"/>
      <w:lvlText w:val="•"/>
      <w:lvlJc w:val="left"/>
      <w:pPr>
        <w:tabs>
          <w:tab w:val="num" w:pos="5760"/>
        </w:tabs>
        <w:ind w:left="5760" w:hanging="360"/>
      </w:pPr>
      <w:rPr>
        <w:rFonts w:ascii="Times New Roman" w:hAnsi="Times New Roman" w:hint="default"/>
      </w:rPr>
    </w:lvl>
    <w:lvl w:ilvl="8" w:tplc="F37A3B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35C85"/>
    <w:multiLevelType w:val="hybridMultilevel"/>
    <w:tmpl w:val="C31EFEA8"/>
    <w:lvl w:ilvl="0" w:tplc="C8C6E17A">
      <w:start w:val="1"/>
      <w:numFmt w:val="decimal"/>
      <w:lvlText w:val="Table %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21862"/>
    <w:multiLevelType w:val="hybridMultilevel"/>
    <w:tmpl w:val="461AC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B6C7E"/>
    <w:multiLevelType w:val="hybridMultilevel"/>
    <w:tmpl w:val="6A887090"/>
    <w:lvl w:ilvl="0" w:tplc="E7DEB2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12A23"/>
    <w:multiLevelType w:val="hybridMultilevel"/>
    <w:tmpl w:val="7FDEEE18"/>
    <w:lvl w:ilvl="0" w:tplc="18303C8E">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16B127A7"/>
    <w:multiLevelType w:val="hybridMultilevel"/>
    <w:tmpl w:val="37AAD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A1097B"/>
    <w:multiLevelType w:val="hybridMultilevel"/>
    <w:tmpl w:val="2ACEA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3144D2"/>
    <w:multiLevelType w:val="hybridMultilevel"/>
    <w:tmpl w:val="BE60DA7E"/>
    <w:lvl w:ilvl="0" w:tplc="18303C8E">
      <w:numFmt w:val="bullet"/>
      <w:lvlText w:val=""/>
      <w:lvlJc w:val="left"/>
      <w:pPr>
        <w:tabs>
          <w:tab w:val="num" w:pos="1500"/>
        </w:tabs>
        <w:ind w:left="15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2B70DB2"/>
    <w:multiLevelType w:val="hybridMultilevel"/>
    <w:tmpl w:val="2FCC33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66341"/>
    <w:multiLevelType w:val="hybridMultilevel"/>
    <w:tmpl w:val="1D56D79E"/>
    <w:lvl w:ilvl="0" w:tplc="6B2E5D4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016298"/>
    <w:multiLevelType w:val="multilevel"/>
    <w:tmpl w:val="6098449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E22E94"/>
    <w:multiLevelType w:val="hybridMultilevel"/>
    <w:tmpl w:val="655CFEC0"/>
    <w:lvl w:ilvl="0" w:tplc="A6989E34">
      <w:start w:val="1"/>
      <w:numFmt w:val="bullet"/>
      <w:lvlText w:val="–"/>
      <w:lvlJc w:val="left"/>
      <w:pPr>
        <w:tabs>
          <w:tab w:val="num" w:pos="720"/>
        </w:tabs>
        <w:ind w:left="720" w:hanging="360"/>
      </w:pPr>
      <w:rPr>
        <w:rFonts w:ascii="Times New Roman" w:hAnsi="Times New Roman" w:hint="default"/>
      </w:rPr>
    </w:lvl>
    <w:lvl w:ilvl="1" w:tplc="C9E01D58">
      <w:start w:val="1"/>
      <w:numFmt w:val="bullet"/>
      <w:lvlText w:val="–"/>
      <w:lvlJc w:val="left"/>
      <w:pPr>
        <w:tabs>
          <w:tab w:val="num" w:pos="1440"/>
        </w:tabs>
        <w:ind w:left="1440" w:hanging="360"/>
      </w:pPr>
      <w:rPr>
        <w:rFonts w:ascii="Times New Roman" w:hAnsi="Times New Roman" w:hint="default"/>
      </w:rPr>
    </w:lvl>
    <w:lvl w:ilvl="2" w:tplc="01F0D02A" w:tentative="1">
      <w:start w:val="1"/>
      <w:numFmt w:val="bullet"/>
      <w:lvlText w:val="–"/>
      <w:lvlJc w:val="left"/>
      <w:pPr>
        <w:tabs>
          <w:tab w:val="num" w:pos="2160"/>
        </w:tabs>
        <w:ind w:left="2160" w:hanging="360"/>
      </w:pPr>
      <w:rPr>
        <w:rFonts w:ascii="Times New Roman" w:hAnsi="Times New Roman" w:hint="default"/>
      </w:rPr>
    </w:lvl>
    <w:lvl w:ilvl="3" w:tplc="556C9552" w:tentative="1">
      <w:start w:val="1"/>
      <w:numFmt w:val="bullet"/>
      <w:lvlText w:val="–"/>
      <w:lvlJc w:val="left"/>
      <w:pPr>
        <w:tabs>
          <w:tab w:val="num" w:pos="2880"/>
        </w:tabs>
        <w:ind w:left="2880" w:hanging="360"/>
      </w:pPr>
      <w:rPr>
        <w:rFonts w:ascii="Times New Roman" w:hAnsi="Times New Roman" w:hint="default"/>
      </w:rPr>
    </w:lvl>
    <w:lvl w:ilvl="4" w:tplc="E4C027F8" w:tentative="1">
      <w:start w:val="1"/>
      <w:numFmt w:val="bullet"/>
      <w:lvlText w:val="–"/>
      <w:lvlJc w:val="left"/>
      <w:pPr>
        <w:tabs>
          <w:tab w:val="num" w:pos="3600"/>
        </w:tabs>
        <w:ind w:left="3600" w:hanging="360"/>
      </w:pPr>
      <w:rPr>
        <w:rFonts w:ascii="Times New Roman" w:hAnsi="Times New Roman" w:hint="default"/>
      </w:rPr>
    </w:lvl>
    <w:lvl w:ilvl="5" w:tplc="BBEC00BC" w:tentative="1">
      <w:start w:val="1"/>
      <w:numFmt w:val="bullet"/>
      <w:lvlText w:val="–"/>
      <w:lvlJc w:val="left"/>
      <w:pPr>
        <w:tabs>
          <w:tab w:val="num" w:pos="4320"/>
        </w:tabs>
        <w:ind w:left="4320" w:hanging="360"/>
      </w:pPr>
      <w:rPr>
        <w:rFonts w:ascii="Times New Roman" w:hAnsi="Times New Roman" w:hint="default"/>
      </w:rPr>
    </w:lvl>
    <w:lvl w:ilvl="6" w:tplc="756ADE4E" w:tentative="1">
      <w:start w:val="1"/>
      <w:numFmt w:val="bullet"/>
      <w:lvlText w:val="–"/>
      <w:lvlJc w:val="left"/>
      <w:pPr>
        <w:tabs>
          <w:tab w:val="num" w:pos="5040"/>
        </w:tabs>
        <w:ind w:left="5040" w:hanging="360"/>
      </w:pPr>
      <w:rPr>
        <w:rFonts w:ascii="Times New Roman" w:hAnsi="Times New Roman" w:hint="default"/>
      </w:rPr>
    </w:lvl>
    <w:lvl w:ilvl="7" w:tplc="EBEEC370" w:tentative="1">
      <w:start w:val="1"/>
      <w:numFmt w:val="bullet"/>
      <w:lvlText w:val="–"/>
      <w:lvlJc w:val="left"/>
      <w:pPr>
        <w:tabs>
          <w:tab w:val="num" w:pos="5760"/>
        </w:tabs>
        <w:ind w:left="5760" w:hanging="360"/>
      </w:pPr>
      <w:rPr>
        <w:rFonts w:ascii="Times New Roman" w:hAnsi="Times New Roman" w:hint="default"/>
      </w:rPr>
    </w:lvl>
    <w:lvl w:ilvl="8" w:tplc="139A77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026261"/>
    <w:multiLevelType w:val="multilevel"/>
    <w:tmpl w:val="595EE6A8"/>
    <w:lvl w:ilvl="0">
      <w:start w:val="1"/>
      <w:numFmt w:val="lowerLetter"/>
      <w:lvlText w:val="%1)"/>
      <w:lvlJc w:val="left"/>
      <w:pPr>
        <w:tabs>
          <w:tab w:val="num" w:pos="360"/>
        </w:tabs>
        <w:ind w:left="360" w:hanging="360"/>
      </w:pPr>
      <w:rPr>
        <w:rFonts w:hint="default"/>
      </w:rPr>
    </w:lvl>
    <w:lvl w:ilvl="1">
      <w:start w:val="1"/>
      <w:numFmt w:val="lowerRoman"/>
      <w:lvlText w:val="%2."/>
      <w:lvlJc w:val="right"/>
      <w:pPr>
        <w:tabs>
          <w:tab w:val="num" w:pos="1800"/>
        </w:tabs>
        <w:ind w:left="180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9887543"/>
    <w:multiLevelType w:val="hybridMultilevel"/>
    <w:tmpl w:val="C2A605F8"/>
    <w:lvl w:ilvl="0" w:tplc="04090017">
      <w:start w:val="1"/>
      <w:numFmt w:val="lowerLetter"/>
      <w:lvlText w:val="%1)"/>
      <w:lvlJc w:val="left"/>
      <w:pPr>
        <w:tabs>
          <w:tab w:val="num" w:pos="360"/>
        </w:tabs>
        <w:ind w:left="360" w:hanging="360"/>
      </w:pPr>
      <w:rPr>
        <w:rFonts w:hint="default"/>
      </w:rPr>
    </w:lvl>
    <w:lvl w:ilvl="1" w:tplc="92E03936">
      <w:start w:val="1"/>
      <w:numFmt w:val="lowerRoman"/>
      <w:lvlText w:val="%2."/>
      <w:lvlJc w:val="right"/>
      <w:pPr>
        <w:tabs>
          <w:tab w:val="num" w:pos="720"/>
        </w:tabs>
        <w:ind w:left="7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7C0F77"/>
    <w:multiLevelType w:val="hybridMultilevel"/>
    <w:tmpl w:val="A6127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0360C5"/>
    <w:multiLevelType w:val="hybridMultilevel"/>
    <w:tmpl w:val="F4AE5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74A0E"/>
    <w:multiLevelType w:val="hybridMultilevel"/>
    <w:tmpl w:val="810E8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98620F"/>
    <w:multiLevelType w:val="multilevel"/>
    <w:tmpl w:val="4AA06A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nsid w:val="45063957"/>
    <w:multiLevelType w:val="hybridMultilevel"/>
    <w:tmpl w:val="12A8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A0800"/>
    <w:multiLevelType w:val="hybridMultilevel"/>
    <w:tmpl w:val="0512E0E4"/>
    <w:lvl w:ilvl="0" w:tplc="12C45AB2">
      <w:start w:val="1"/>
      <w:numFmt w:val="bullet"/>
      <w:lvlText w:val=""/>
      <w:lvlJc w:val="left"/>
      <w:pPr>
        <w:tabs>
          <w:tab w:val="num" w:pos="720"/>
        </w:tabs>
        <w:ind w:left="720" w:hanging="360"/>
      </w:pPr>
      <w:rPr>
        <w:rFonts w:ascii="Symbol" w:hAnsi="Symbol" w:hint="default"/>
      </w:rPr>
    </w:lvl>
    <w:lvl w:ilvl="1" w:tplc="18303C8E">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165EA1"/>
    <w:multiLevelType w:val="hybridMultilevel"/>
    <w:tmpl w:val="1AC44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67029"/>
    <w:multiLevelType w:val="hybridMultilevel"/>
    <w:tmpl w:val="2884AB06"/>
    <w:lvl w:ilvl="0" w:tplc="6B2E5D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E92900"/>
    <w:multiLevelType w:val="hybridMultilevel"/>
    <w:tmpl w:val="4AA06AFE"/>
    <w:lvl w:ilvl="0" w:tplc="B2E0E8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2874AF5"/>
    <w:multiLevelType w:val="multilevel"/>
    <w:tmpl w:val="BE60DA7E"/>
    <w:lvl w:ilvl="0">
      <w:numFmt w:val="bullet"/>
      <w:lvlText w:val=""/>
      <w:lvlJc w:val="left"/>
      <w:pPr>
        <w:tabs>
          <w:tab w:val="num" w:pos="1500"/>
        </w:tabs>
        <w:ind w:left="1500" w:hanging="360"/>
      </w:pPr>
      <w:rPr>
        <w:rFonts w:ascii="Wingdings" w:eastAsia="Times New Roman"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604C1594"/>
    <w:multiLevelType w:val="hybridMultilevel"/>
    <w:tmpl w:val="25904EB8"/>
    <w:lvl w:ilvl="0" w:tplc="6B2E5D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160B00"/>
    <w:multiLevelType w:val="multilevel"/>
    <w:tmpl w:val="C83C5B94"/>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nsid w:val="6CE7208C"/>
    <w:multiLevelType w:val="hybridMultilevel"/>
    <w:tmpl w:val="C0C03B58"/>
    <w:lvl w:ilvl="0" w:tplc="6B2E5D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242049"/>
    <w:multiLevelType w:val="hybridMultilevel"/>
    <w:tmpl w:val="950ED1B4"/>
    <w:lvl w:ilvl="0" w:tplc="6B2E5D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6A7FE2"/>
    <w:multiLevelType w:val="hybridMultilevel"/>
    <w:tmpl w:val="3A9C02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5A8718B"/>
    <w:multiLevelType w:val="hybridMultilevel"/>
    <w:tmpl w:val="46DCF2AC"/>
    <w:lvl w:ilvl="0" w:tplc="6B2E5D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875C1B"/>
    <w:multiLevelType w:val="hybridMultilevel"/>
    <w:tmpl w:val="7CC286A8"/>
    <w:lvl w:ilvl="0" w:tplc="44B8C59E">
      <w:start w:val="1"/>
      <w:numFmt w:val="bullet"/>
      <w:lvlText w:val="–"/>
      <w:lvlJc w:val="left"/>
      <w:pPr>
        <w:tabs>
          <w:tab w:val="num" w:pos="720"/>
        </w:tabs>
        <w:ind w:left="720" w:hanging="360"/>
      </w:pPr>
      <w:rPr>
        <w:rFonts w:ascii="Times New Roman" w:hAnsi="Times New Roman" w:hint="default"/>
      </w:rPr>
    </w:lvl>
    <w:lvl w:ilvl="1" w:tplc="E61A2DCA">
      <w:start w:val="147"/>
      <w:numFmt w:val="bullet"/>
      <w:lvlText w:val="–"/>
      <w:lvlJc w:val="left"/>
      <w:pPr>
        <w:tabs>
          <w:tab w:val="num" w:pos="1620"/>
        </w:tabs>
        <w:ind w:left="1620" w:hanging="360"/>
      </w:pPr>
      <w:rPr>
        <w:rFonts w:ascii="Times New Roman" w:hAnsi="Times New Roman" w:hint="default"/>
      </w:rPr>
    </w:lvl>
    <w:lvl w:ilvl="2" w:tplc="1C9AAB3C" w:tentative="1">
      <w:start w:val="1"/>
      <w:numFmt w:val="bullet"/>
      <w:lvlText w:val="–"/>
      <w:lvlJc w:val="left"/>
      <w:pPr>
        <w:tabs>
          <w:tab w:val="num" w:pos="2160"/>
        </w:tabs>
        <w:ind w:left="2160" w:hanging="360"/>
      </w:pPr>
      <w:rPr>
        <w:rFonts w:ascii="Times New Roman" w:hAnsi="Times New Roman" w:hint="default"/>
      </w:rPr>
    </w:lvl>
    <w:lvl w:ilvl="3" w:tplc="B310EF80" w:tentative="1">
      <w:start w:val="1"/>
      <w:numFmt w:val="bullet"/>
      <w:lvlText w:val="–"/>
      <w:lvlJc w:val="left"/>
      <w:pPr>
        <w:tabs>
          <w:tab w:val="num" w:pos="2880"/>
        </w:tabs>
        <w:ind w:left="2880" w:hanging="360"/>
      </w:pPr>
      <w:rPr>
        <w:rFonts w:ascii="Times New Roman" w:hAnsi="Times New Roman" w:hint="default"/>
      </w:rPr>
    </w:lvl>
    <w:lvl w:ilvl="4" w:tplc="C6901F32" w:tentative="1">
      <w:start w:val="1"/>
      <w:numFmt w:val="bullet"/>
      <w:lvlText w:val="–"/>
      <w:lvlJc w:val="left"/>
      <w:pPr>
        <w:tabs>
          <w:tab w:val="num" w:pos="3600"/>
        </w:tabs>
        <w:ind w:left="3600" w:hanging="360"/>
      </w:pPr>
      <w:rPr>
        <w:rFonts w:ascii="Times New Roman" w:hAnsi="Times New Roman" w:hint="default"/>
      </w:rPr>
    </w:lvl>
    <w:lvl w:ilvl="5" w:tplc="0F42AA20" w:tentative="1">
      <w:start w:val="1"/>
      <w:numFmt w:val="bullet"/>
      <w:lvlText w:val="–"/>
      <w:lvlJc w:val="left"/>
      <w:pPr>
        <w:tabs>
          <w:tab w:val="num" w:pos="4320"/>
        </w:tabs>
        <w:ind w:left="4320" w:hanging="360"/>
      </w:pPr>
      <w:rPr>
        <w:rFonts w:ascii="Times New Roman" w:hAnsi="Times New Roman" w:hint="default"/>
      </w:rPr>
    </w:lvl>
    <w:lvl w:ilvl="6" w:tplc="3AD8EE1C" w:tentative="1">
      <w:start w:val="1"/>
      <w:numFmt w:val="bullet"/>
      <w:lvlText w:val="–"/>
      <w:lvlJc w:val="left"/>
      <w:pPr>
        <w:tabs>
          <w:tab w:val="num" w:pos="5040"/>
        </w:tabs>
        <w:ind w:left="5040" w:hanging="360"/>
      </w:pPr>
      <w:rPr>
        <w:rFonts w:ascii="Times New Roman" w:hAnsi="Times New Roman" w:hint="default"/>
      </w:rPr>
    </w:lvl>
    <w:lvl w:ilvl="7" w:tplc="5B2885F2" w:tentative="1">
      <w:start w:val="1"/>
      <w:numFmt w:val="bullet"/>
      <w:lvlText w:val="–"/>
      <w:lvlJc w:val="left"/>
      <w:pPr>
        <w:tabs>
          <w:tab w:val="num" w:pos="5760"/>
        </w:tabs>
        <w:ind w:left="5760" w:hanging="360"/>
      </w:pPr>
      <w:rPr>
        <w:rFonts w:ascii="Times New Roman" w:hAnsi="Times New Roman" w:hint="default"/>
      </w:rPr>
    </w:lvl>
    <w:lvl w:ilvl="8" w:tplc="019AD7E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8F5E89"/>
    <w:multiLevelType w:val="multilevel"/>
    <w:tmpl w:val="ECF29E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DF91998"/>
    <w:multiLevelType w:val="hybridMultilevel"/>
    <w:tmpl w:val="262E24E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425204"/>
    <w:multiLevelType w:val="multilevel"/>
    <w:tmpl w:val="42A658D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2"/>
  </w:num>
  <w:num w:numId="4">
    <w:abstractNumId w:val="32"/>
  </w:num>
  <w:num w:numId="5">
    <w:abstractNumId w:val="14"/>
  </w:num>
  <w:num w:numId="6">
    <w:abstractNumId w:val="8"/>
  </w:num>
  <w:num w:numId="7">
    <w:abstractNumId w:val="19"/>
  </w:num>
  <w:num w:numId="8">
    <w:abstractNumId w:val="4"/>
  </w:num>
  <w:num w:numId="9">
    <w:abstractNumId w:val="7"/>
  </w:num>
  <w:num w:numId="10">
    <w:abstractNumId w:val="23"/>
  </w:num>
  <w:num w:numId="11">
    <w:abstractNumId w:val="22"/>
  </w:num>
  <w:num w:numId="12">
    <w:abstractNumId w:val="17"/>
  </w:num>
  <w:num w:numId="13">
    <w:abstractNumId w:val="13"/>
  </w:num>
  <w:num w:numId="14">
    <w:abstractNumId w:val="25"/>
  </w:num>
  <w:num w:numId="15">
    <w:abstractNumId w:val="12"/>
  </w:num>
  <w:num w:numId="16">
    <w:abstractNumId w:val="27"/>
  </w:num>
  <w:num w:numId="17">
    <w:abstractNumId w:val="21"/>
  </w:num>
  <w:num w:numId="18">
    <w:abstractNumId w:val="26"/>
  </w:num>
  <w:num w:numId="19">
    <w:abstractNumId w:val="16"/>
  </w:num>
  <w:num w:numId="20">
    <w:abstractNumId w:val="20"/>
  </w:num>
  <w:num w:numId="21">
    <w:abstractNumId w:val="29"/>
  </w:num>
  <w:num w:numId="22">
    <w:abstractNumId w:val="24"/>
  </w:num>
  <w:num w:numId="23">
    <w:abstractNumId w:val="9"/>
  </w:num>
  <w:num w:numId="24">
    <w:abstractNumId w:val="10"/>
  </w:num>
  <w:num w:numId="25">
    <w:abstractNumId w:val="30"/>
  </w:num>
  <w:num w:numId="26">
    <w:abstractNumId w:val="33"/>
  </w:num>
  <w:num w:numId="27">
    <w:abstractNumId w:val="31"/>
  </w:num>
  <w:num w:numId="28">
    <w:abstractNumId w:val="1"/>
  </w:num>
  <w:num w:numId="29">
    <w:abstractNumId w:val="0"/>
  </w:num>
  <w:num w:numId="30">
    <w:abstractNumId w:val="6"/>
  </w:num>
  <w:num w:numId="31">
    <w:abstractNumId w:val="28"/>
  </w:num>
  <w:num w:numId="32">
    <w:abstractNumId w:val="18"/>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橄ㄴﾰ݁ऎ찔㈇"/>
    <w:docVar w:name="EN.Libraries" w:val="&lt;"/>
  </w:docVars>
  <w:rsids>
    <w:rsidRoot w:val="002D4989"/>
    <w:rsid w:val="000016BB"/>
    <w:rsid w:val="00001BED"/>
    <w:rsid w:val="000072A2"/>
    <w:rsid w:val="00010478"/>
    <w:rsid w:val="00012161"/>
    <w:rsid w:val="0001373F"/>
    <w:rsid w:val="00013FEB"/>
    <w:rsid w:val="0001487A"/>
    <w:rsid w:val="00016D28"/>
    <w:rsid w:val="000173BE"/>
    <w:rsid w:val="000210DD"/>
    <w:rsid w:val="00022741"/>
    <w:rsid w:val="0002455D"/>
    <w:rsid w:val="00024762"/>
    <w:rsid w:val="00025C07"/>
    <w:rsid w:val="00027353"/>
    <w:rsid w:val="000279EE"/>
    <w:rsid w:val="00027F58"/>
    <w:rsid w:val="00027F7C"/>
    <w:rsid w:val="000319FF"/>
    <w:rsid w:val="0003694A"/>
    <w:rsid w:val="00036CB4"/>
    <w:rsid w:val="0003776B"/>
    <w:rsid w:val="000409DF"/>
    <w:rsid w:val="00041B1D"/>
    <w:rsid w:val="00041EC3"/>
    <w:rsid w:val="00046097"/>
    <w:rsid w:val="00046705"/>
    <w:rsid w:val="00046F40"/>
    <w:rsid w:val="00047043"/>
    <w:rsid w:val="00047167"/>
    <w:rsid w:val="00047FB2"/>
    <w:rsid w:val="0005044A"/>
    <w:rsid w:val="00054585"/>
    <w:rsid w:val="000550B6"/>
    <w:rsid w:val="000560EA"/>
    <w:rsid w:val="00056E76"/>
    <w:rsid w:val="00057B9A"/>
    <w:rsid w:val="000629A4"/>
    <w:rsid w:val="00063761"/>
    <w:rsid w:val="000656F6"/>
    <w:rsid w:val="0006767B"/>
    <w:rsid w:val="00067884"/>
    <w:rsid w:val="00074344"/>
    <w:rsid w:val="000745B2"/>
    <w:rsid w:val="0008017D"/>
    <w:rsid w:val="00080425"/>
    <w:rsid w:val="00082382"/>
    <w:rsid w:val="0008282E"/>
    <w:rsid w:val="00083A7D"/>
    <w:rsid w:val="00084BEF"/>
    <w:rsid w:val="0008522E"/>
    <w:rsid w:val="00086324"/>
    <w:rsid w:val="00090AF7"/>
    <w:rsid w:val="00092EE0"/>
    <w:rsid w:val="000933A5"/>
    <w:rsid w:val="000934CA"/>
    <w:rsid w:val="00095218"/>
    <w:rsid w:val="000958DA"/>
    <w:rsid w:val="00097A02"/>
    <w:rsid w:val="000A1D42"/>
    <w:rsid w:val="000A1D80"/>
    <w:rsid w:val="000A29C1"/>
    <w:rsid w:val="000A4296"/>
    <w:rsid w:val="000A446B"/>
    <w:rsid w:val="000A7815"/>
    <w:rsid w:val="000A7C3E"/>
    <w:rsid w:val="000B0176"/>
    <w:rsid w:val="000B4565"/>
    <w:rsid w:val="000C1739"/>
    <w:rsid w:val="000C21E9"/>
    <w:rsid w:val="000C3553"/>
    <w:rsid w:val="000C386D"/>
    <w:rsid w:val="000C3891"/>
    <w:rsid w:val="000C4268"/>
    <w:rsid w:val="000C6F47"/>
    <w:rsid w:val="000D065F"/>
    <w:rsid w:val="000D6CB5"/>
    <w:rsid w:val="000D6F25"/>
    <w:rsid w:val="000E0CA5"/>
    <w:rsid w:val="000E1287"/>
    <w:rsid w:val="000E1C8C"/>
    <w:rsid w:val="000E325B"/>
    <w:rsid w:val="000E456E"/>
    <w:rsid w:val="000E4797"/>
    <w:rsid w:val="000E57A1"/>
    <w:rsid w:val="000E6A2F"/>
    <w:rsid w:val="000E6DE7"/>
    <w:rsid w:val="000E72A3"/>
    <w:rsid w:val="000F33C0"/>
    <w:rsid w:val="000F5221"/>
    <w:rsid w:val="000F6624"/>
    <w:rsid w:val="000F6819"/>
    <w:rsid w:val="000F714E"/>
    <w:rsid w:val="000F7ECC"/>
    <w:rsid w:val="00100034"/>
    <w:rsid w:val="00101E89"/>
    <w:rsid w:val="00102503"/>
    <w:rsid w:val="001040B9"/>
    <w:rsid w:val="00104AED"/>
    <w:rsid w:val="00104E95"/>
    <w:rsid w:val="00105BB6"/>
    <w:rsid w:val="0011092B"/>
    <w:rsid w:val="00114485"/>
    <w:rsid w:val="00114937"/>
    <w:rsid w:val="001156C8"/>
    <w:rsid w:val="00115B63"/>
    <w:rsid w:val="00122312"/>
    <w:rsid w:val="00122884"/>
    <w:rsid w:val="0012327E"/>
    <w:rsid w:val="00123DCE"/>
    <w:rsid w:val="00126499"/>
    <w:rsid w:val="001264A7"/>
    <w:rsid w:val="00130056"/>
    <w:rsid w:val="00130D7D"/>
    <w:rsid w:val="00135B13"/>
    <w:rsid w:val="00136B29"/>
    <w:rsid w:val="00136F49"/>
    <w:rsid w:val="00137417"/>
    <w:rsid w:val="0013759E"/>
    <w:rsid w:val="00141CE9"/>
    <w:rsid w:val="0014284A"/>
    <w:rsid w:val="00143269"/>
    <w:rsid w:val="001437B2"/>
    <w:rsid w:val="00144CB1"/>
    <w:rsid w:val="001465EB"/>
    <w:rsid w:val="00146B63"/>
    <w:rsid w:val="001565E0"/>
    <w:rsid w:val="0015739B"/>
    <w:rsid w:val="001578B3"/>
    <w:rsid w:val="001613E3"/>
    <w:rsid w:val="001630F9"/>
    <w:rsid w:val="00165485"/>
    <w:rsid w:val="001661AA"/>
    <w:rsid w:val="001662A4"/>
    <w:rsid w:val="00166B30"/>
    <w:rsid w:val="00166B7D"/>
    <w:rsid w:val="00167373"/>
    <w:rsid w:val="001701CF"/>
    <w:rsid w:val="001734F5"/>
    <w:rsid w:val="00173ACA"/>
    <w:rsid w:val="00174334"/>
    <w:rsid w:val="00176E59"/>
    <w:rsid w:val="0018372B"/>
    <w:rsid w:val="00183A6C"/>
    <w:rsid w:val="0019252E"/>
    <w:rsid w:val="001930C3"/>
    <w:rsid w:val="0019764E"/>
    <w:rsid w:val="00197BD2"/>
    <w:rsid w:val="001A03FF"/>
    <w:rsid w:val="001A041A"/>
    <w:rsid w:val="001A050C"/>
    <w:rsid w:val="001A3DCD"/>
    <w:rsid w:val="001A66FC"/>
    <w:rsid w:val="001A6A7C"/>
    <w:rsid w:val="001A763A"/>
    <w:rsid w:val="001B01DB"/>
    <w:rsid w:val="001B148A"/>
    <w:rsid w:val="001B2C5A"/>
    <w:rsid w:val="001B327A"/>
    <w:rsid w:val="001B3733"/>
    <w:rsid w:val="001B4861"/>
    <w:rsid w:val="001B4E17"/>
    <w:rsid w:val="001C1851"/>
    <w:rsid w:val="001C415F"/>
    <w:rsid w:val="001C5C21"/>
    <w:rsid w:val="001C5DDE"/>
    <w:rsid w:val="001C60BD"/>
    <w:rsid w:val="001C6189"/>
    <w:rsid w:val="001C71B3"/>
    <w:rsid w:val="001C7306"/>
    <w:rsid w:val="001D0833"/>
    <w:rsid w:val="001D1609"/>
    <w:rsid w:val="001D2316"/>
    <w:rsid w:val="001D249A"/>
    <w:rsid w:val="001D2881"/>
    <w:rsid w:val="001D489F"/>
    <w:rsid w:val="001D4F15"/>
    <w:rsid w:val="001D66E7"/>
    <w:rsid w:val="001E1286"/>
    <w:rsid w:val="001E12C6"/>
    <w:rsid w:val="001E4697"/>
    <w:rsid w:val="001E4D38"/>
    <w:rsid w:val="001E60E6"/>
    <w:rsid w:val="001E67DF"/>
    <w:rsid w:val="001F2DE9"/>
    <w:rsid w:val="001F36DD"/>
    <w:rsid w:val="001F3BC9"/>
    <w:rsid w:val="001F449F"/>
    <w:rsid w:val="002031AC"/>
    <w:rsid w:val="00206AC0"/>
    <w:rsid w:val="00207B86"/>
    <w:rsid w:val="00212AB4"/>
    <w:rsid w:val="00215397"/>
    <w:rsid w:val="00215C93"/>
    <w:rsid w:val="00217E6F"/>
    <w:rsid w:val="002207BA"/>
    <w:rsid w:val="00220DEA"/>
    <w:rsid w:val="00222215"/>
    <w:rsid w:val="0022586C"/>
    <w:rsid w:val="0022720D"/>
    <w:rsid w:val="0022785D"/>
    <w:rsid w:val="00227D48"/>
    <w:rsid w:val="002309A3"/>
    <w:rsid w:val="00230BB4"/>
    <w:rsid w:val="002310B8"/>
    <w:rsid w:val="00231369"/>
    <w:rsid w:val="0023208C"/>
    <w:rsid w:val="00232336"/>
    <w:rsid w:val="00233779"/>
    <w:rsid w:val="00236B0C"/>
    <w:rsid w:val="00237E36"/>
    <w:rsid w:val="00240AFE"/>
    <w:rsid w:val="00241345"/>
    <w:rsid w:val="00241C2D"/>
    <w:rsid w:val="002447DF"/>
    <w:rsid w:val="00244B6E"/>
    <w:rsid w:val="00244C44"/>
    <w:rsid w:val="00246E84"/>
    <w:rsid w:val="002473F7"/>
    <w:rsid w:val="00254E72"/>
    <w:rsid w:val="00256708"/>
    <w:rsid w:val="00257BAC"/>
    <w:rsid w:val="00257C4A"/>
    <w:rsid w:val="00261FF3"/>
    <w:rsid w:val="002641EB"/>
    <w:rsid w:val="00264E88"/>
    <w:rsid w:val="00267F99"/>
    <w:rsid w:val="002702FC"/>
    <w:rsid w:val="00271971"/>
    <w:rsid w:val="00271C15"/>
    <w:rsid w:val="0027248C"/>
    <w:rsid w:val="00273BE3"/>
    <w:rsid w:val="00273E5E"/>
    <w:rsid w:val="00275465"/>
    <w:rsid w:val="00275793"/>
    <w:rsid w:val="002763FF"/>
    <w:rsid w:val="00277CF9"/>
    <w:rsid w:val="00282D09"/>
    <w:rsid w:val="00290019"/>
    <w:rsid w:val="002919AB"/>
    <w:rsid w:val="00291C50"/>
    <w:rsid w:val="002929C3"/>
    <w:rsid w:val="0029306D"/>
    <w:rsid w:val="00294BB4"/>
    <w:rsid w:val="00295BBA"/>
    <w:rsid w:val="0029706D"/>
    <w:rsid w:val="002979BB"/>
    <w:rsid w:val="00297A6C"/>
    <w:rsid w:val="002A0211"/>
    <w:rsid w:val="002A2475"/>
    <w:rsid w:val="002A3AB0"/>
    <w:rsid w:val="002A463A"/>
    <w:rsid w:val="002A4A88"/>
    <w:rsid w:val="002B092B"/>
    <w:rsid w:val="002B167C"/>
    <w:rsid w:val="002B3E12"/>
    <w:rsid w:val="002B4683"/>
    <w:rsid w:val="002B51DD"/>
    <w:rsid w:val="002B5D18"/>
    <w:rsid w:val="002B732A"/>
    <w:rsid w:val="002C07E6"/>
    <w:rsid w:val="002C0A0B"/>
    <w:rsid w:val="002C0BE2"/>
    <w:rsid w:val="002C144B"/>
    <w:rsid w:val="002C23A8"/>
    <w:rsid w:val="002C3587"/>
    <w:rsid w:val="002C479A"/>
    <w:rsid w:val="002C4963"/>
    <w:rsid w:val="002D1FD2"/>
    <w:rsid w:val="002D35CA"/>
    <w:rsid w:val="002D4989"/>
    <w:rsid w:val="002D645D"/>
    <w:rsid w:val="002D71EE"/>
    <w:rsid w:val="002D7F4E"/>
    <w:rsid w:val="002E0523"/>
    <w:rsid w:val="002E0D49"/>
    <w:rsid w:val="002E18D5"/>
    <w:rsid w:val="002E2BE2"/>
    <w:rsid w:val="002E42CC"/>
    <w:rsid w:val="002E4F41"/>
    <w:rsid w:val="002E5334"/>
    <w:rsid w:val="002F0339"/>
    <w:rsid w:val="002F1669"/>
    <w:rsid w:val="002F330B"/>
    <w:rsid w:val="002F4D6A"/>
    <w:rsid w:val="002F52A8"/>
    <w:rsid w:val="002F59A5"/>
    <w:rsid w:val="002F693D"/>
    <w:rsid w:val="002F6DD6"/>
    <w:rsid w:val="003011FD"/>
    <w:rsid w:val="0030183F"/>
    <w:rsid w:val="00303661"/>
    <w:rsid w:val="0030636F"/>
    <w:rsid w:val="003107EE"/>
    <w:rsid w:val="0031367B"/>
    <w:rsid w:val="00314B70"/>
    <w:rsid w:val="003151E5"/>
    <w:rsid w:val="003158A8"/>
    <w:rsid w:val="00320096"/>
    <w:rsid w:val="003221F5"/>
    <w:rsid w:val="00323170"/>
    <w:rsid w:val="00327A05"/>
    <w:rsid w:val="0033151B"/>
    <w:rsid w:val="00332221"/>
    <w:rsid w:val="00334AC5"/>
    <w:rsid w:val="00335268"/>
    <w:rsid w:val="00335785"/>
    <w:rsid w:val="0033724F"/>
    <w:rsid w:val="003401D8"/>
    <w:rsid w:val="00340459"/>
    <w:rsid w:val="00342569"/>
    <w:rsid w:val="003446BB"/>
    <w:rsid w:val="00346CDA"/>
    <w:rsid w:val="00352324"/>
    <w:rsid w:val="0035243C"/>
    <w:rsid w:val="00355A0B"/>
    <w:rsid w:val="00360E83"/>
    <w:rsid w:val="0036282B"/>
    <w:rsid w:val="00362E98"/>
    <w:rsid w:val="00363998"/>
    <w:rsid w:val="00364C39"/>
    <w:rsid w:val="00364F8E"/>
    <w:rsid w:val="00365FF7"/>
    <w:rsid w:val="0036782E"/>
    <w:rsid w:val="0037266E"/>
    <w:rsid w:val="00372D43"/>
    <w:rsid w:val="00376925"/>
    <w:rsid w:val="00377A6F"/>
    <w:rsid w:val="00380CAB"/>
    <w:rsid w:val="00383A88"/>
    <w:rsid w:val="00383C0C"/>
    <w:rsid w:val="00383D3E"/>
    <w:rsid w:val="003870D5"/>
    <w:rsid w:val="00387E94"/>
    <w:rsid w:val="00392DB6"/>
    <w:rsid w:val="00393762"/>
    <w:rsid w:val="00395505"/>
    <w:rsid w:val="00396655"/>
    <w:rsid w:val="00397C1B"/>
    <w:rsid w:val="003A0B0F"/>
    <w:rsid w:val="003A0D12"/>
    <w:rsid w:val="003A341F"/>
    <w:rsid w:val="003B102A"/>
    <w:rsid w:val="003B3ED5"/>
    <w:rsid w:val="003B4863"/>
    <w:rsid w:val="003B4DE0"/>
    <w:rsid w:val="003B62A9"/>
    <w:rsid w:val="003B69EF"/>
    <w:rsid w:val="003C5026"/>
    <w:rsid w:val="003C5B19"/>
    <w:rsid w:val="003C662C"/>
    <w:rsid w:val="003D039C"/>
    <w:rsid w:val="003D2C37"/>
    <w:rsid w:val="003D2DD3"/>
    <w:rsid w:val="003D5871"/>
    <w:rsid w:val="003D5928"/>
    <w:rsid w:val="003D764E"/>
    <w:rsid w:val="003D76A3"/>
    <w:rsid w:val="003E11B6"/>
    <w:rsid w:val="003E448B"/>
    <w:rsid w:val="003E451E"/>
    <w:rsid w:val="003E748D"/>
    <w:rsid w:val="003F143E"/>
    <w:rsid w:val="003F18D4"/>
    <w:rsid w:val="003F3DF9"/>
    <w:rsid w:val="003F6888"/>
    <w:rsid w:val="003F7DAB"/>
    <w:rsid w:val="004002B7"/>
    <w:rsid w:val="00401717"/>
    <w:rsid w:val="0040368C"/>
    <w:rsid w:val="00406809"/>
    <w:rsid w:val="00411EB2"/>
    <w:rsid w:val="004131D0"/>
    <w:rsid w:val="0041358C"/>
    <w:rsid w:val="004139B6"/>
    <w:rsid w:val="004147EB"/>
    <w:rsid w:val="0041556E"/>
    <w:rsid w:val="00416207"/>
    <w:rsid w:val="00416AB0"/>
    <w:rsid w:val="004202E0"/>
    <w:rsid w:val="004212B2"/>
    <w:rsid w:val="0042405B"/>
    <w:rsid w:val="004240C1"/>
    <w:rsid w:val="00425DF6"/>
    <w:rsid w:val="00426AD1"/>
    <w:rsid w:val="00426BCF"/>
    <w:rsid w:val="00426D1A"/>
    <w:rsid w:val="004313BD"/>
    <w:rsid w:val="0043301C"/>
    <w:rsid w:val="00433A5B"/>
    <w:rsid w:val="0043510A"/>
    <w:rsid w:val="00435153"/>
    <w:rsid w:val="0043646D"/>
    <w:rsid w:val="00440A27"/>
    <w:rsid w:val="0044116F"/>
    <w:rsid w:val="004412B0"/>
    <w:rsid w:val="004417D4"/>
    <w:rsid w:val="00441E9C"/>
    <w:rsid w:val="00443759"/>
    <w:rsid w:val="00444909"/>
    <w:rsid w:val="004523CF"/>
    <w:rsid w:val="00452431"/>
    <w:rsid w:val="004529CD"/>
    <w:rsid w:val="00452D08"/>
    <w:rsid w:val="00454767"/>
    <w:rsid w:val="00454960"/>
    <w:rsid w:val="0045528F"/>
    <w:rsid w:val="0045529C"/>
    <w:rsid w:val="00455434"/>
    <w:rsid w:val="00456911"/>
    <w:rsid w:val="00461B7B"/>
    <w:rsid w:val="0046223A"/>
    <w:rsid w:val="004633B2"/>
    <w:rsid w:val="00464D0F"/>
    <w:rsid w:val="0046511A"/>
    <w:rsid w:val="00466AD3"/>
    <w:rsid w:val="00471621"/>
    <w:rsid w:val="0047336F"/>
    <w:rsid w:val="004809BE"/>
    <w:rsid w:val="00482D7E"/>
    <w:rsid w:val="00484C92"/>
    <w:rsid w:val="004863DF"/>
    <w:rsid w:val="00486E3E"/>
    <w:rsid w:val="00490351"/>
    <w:rsid w:val="0049138A"/>
    <w:rsid w:val="00493496"/>
    <w:rsid w:val="0049616E"/>
    <w:rsid w:val="00496C0B"/>
    <w:rsid w:val="00497E9A"/>
    <w:rsid w:val="004A316F"/>
    <w:rsid w:val="004B1A1D"/>
    <w:rsid w:val="004B2466"/>
    <w:rsid w:val="004B3925"/>
    <w:rsid w:val="004B3A7D"/>
    <w:rsid w:val="004B4795"/>
    <w:rsid w:val="004B4C15"/>
    <w:rsid w:val="004B57AE"/>
    <w:rsid w:val="004C066F"/>
    <w:rsid w:val="004C253B"/>
    <w:rsid w:val="004C3644"/>
    <w:rsid w:val="004C3B06"/>
    <w:rsid w:val="004C5357"/>
    <w:rsid w:val="004D0B8E"/>
    <w:rsid w:val="004D1256"/>
    <w:rsid w:val="004D1FC8"/>
    <w:rsid w:val="004D2A37"/>
    <w:rsid w:val="004D37C9"/>
    <w:rsid w:val="004D41C6"/>
    <w:rsid w:val="004D41E0"/>
    <w:rsid w:val="004D4C2A"/>
    <w:rsid w:val="004D4F45"/>
    <w:rsid w:val="004D4F49"/>
    <w:rsid w:val="004D576C"/>
    <w:rsid w:val="004D67EF"/>
    <w:rsid w:val="004D6A72"/>
    <w:rsid w:val="004D724A"/>
    <w:rsid w:val="004D7482"/>
    <w:rsid w:val="004E071E"/>
    <w:rsid w:val="004E190A"/>
    <w:rsid w:val="004E2386"/>
    <w:rsid w:val="004E35D1"/>
    <w:rsid w:val="004E385B"/>
    <w:rsid w:val="004E71DC"/>
    <w:rsid w:val="004F0C8F"/>
    <w:rsid w:val="004F1BB9"/>
    <w:rsid w:val="004F2834"/>
    <w:rsid w:val="004F3679"/>
    <w:rsid w:val="004F6D13"/>
    <w:rsid w:val="004F6E90"/>
    <w:rsid w:val="00501FE6"/>
    <w:rsid w:val="00502C1E"/>
    <w:rsid w:val="00506C6D"/>
    <w:rsid w:val="00507005"/>
    <w:rsid w:val="00513556"/>
    <w:rsid w:val="0051379B"/>
    <w:rsid w:val="00514785"/>
    <w:rsid w:val="0051786C"/>
    <w:rsid w:val="00517E75"/>
    <w:rsid w:val="005223B9"/>
    <w:rsid w:val="0052279E"/>
    <w:rsid w:val="005237A2"/>
    <w:rsid w:val="00524293"/>
    <w:rsid w:val="0052691F"/>
    <w:rsid w:val="0052777E"/>
    <w:rsid w:val="00541CA2"/>
    <w:rsid w:val="0054307E"/>
    <w:rsid w:val="00543DFB"/>
    <w:rsid w:val="00545808"/>
    <w:rsid w:val="0054688E"/>
    <w:rsid w:val="00546C2B"/>
    <w:rsid w:val="00550007"/>
    <w:rsid w:val="00550BA2"/>
    <w:rsid w:val="00551DA2"/>
    <w:rsid w:val="0055220C"/>
    <w:rsid w:val="0055253F"/>
    <w:rsid w:val="005529F0"/>
    <w:rsid w:val="005534EE"/>
    <w:rsid w:val="005548D0"/>
    <w:rsid w:val="00554BE5"/>
    <w:rsid w:val="00554D4A"/>
    <w:rsid w:val="00554DCD"/>
    <w:rsid w:val="00556931"/>
    <w:rsid w:val="00556B11"/>
    <w:rsid w:val="0055799E"/>
    <w:rsid w:val="00557C58"/>
    <w:rsid w:val="005642F5"/>
    <w:rsid w:val="005654FD"/>
    <w:rsid w:val="005657A7"/>
    <w:rsid w:val="00565AA1"/>
    <w:rsid w:val="00566CE4"/>
    <w:rsid w:val="005674D5"/>
    <w:rsid w:val="00567DD4"/>
    <w:rsid w:val="00570E30"/>
    <w:rsid w:val="0057122B"/>
    <w:rsid w:val="00571C1C"/>
    <w:rsid w:val="0057711A"/>
    <w:rsid w:val="005772FD"/>
    <w:rsid w:val="0058402F"/>
    <w:rsid w:val="00585208"/>
    <w:rsid w:val="00585AEA"/>
    <w:rsid w:val="00586F27"/>
    <w:rsid w:val="00587441"/>
    <w:rsid w:val="005917C4"/>
    <w:rsid w:val="00591AA1"/>
    <w:rsid w:val="005922DD"/>
    <w:rsid w:val="00593DCE"/>
    <w:rsid w:val="00593F1A"/>
    <w:rsid w:val="00593FEF"/>
    <w:rsid w:val="00594707"/>
    <w:rsid w:val="005A096E"/>
    <w:rsid w:val="005A0DD2"/>
    <w:rsid w:val="005B0D71"/>
    <w:rsid w:val="005B0DBE"/>
    <w:rsid w:val="005B2440"/>
    <w:rsid w:val="005B3DE2"/>
    <w:rsid w:val="005B3E7C"/>
    <w:rsid w:val="005B4364"/>
    <w:rsid w:val="005B5878"/>
    <w:rsid w:val="005C3701"/>
    <w:rsid w:val="005C3BD1"/>
    <w:rsid w:val="005C4AD7"/>
    <w:rsid w:val="005C4D2C"/>
    <w:rsid w:val="005C58F0"/>
    <w:rsid w:val="005C5F69"/>
    <w:rsid w:val="005C610D"/>
    <w:rsid w:val="005C7424"/>
    <w:rsid w:val="005C7506"/>
    <w:rsid w:val="005D017D"/>
    <w:rsid w:val="005D2962"/>
    <w:rsid w:val="005D3F17"/>
    <w:rsid w:val="005D57E5"/>
    <w:rsid w:val="005D728A"/>
    <w:rsid w:val="005E26F2"/>
    <w:rsid w:val="005E61A8"/>
    <w:rsid w:val="005E6587"/>
    <w:rsid w:val="005F33D1"/>
    <w:rsid w:val="005F3B4E"/>
    <w:rsid w:val="005F57C9"/>
    <w:rsid w:val="005F6BF5"/>
    <w:rsid w:val="005F70C6"/>
    <w:rsid w:val="006066BC"/>
    <w:rsid w:val="0061246A"/>
    <w:rsid w:val="006129FD"/>
    <w:rsid w:val="00613D1C"/>
    <w:rsid w:val="00614D98"/>
    <w:rsid w:val="00616972"/>
    <w:rsid w:val="00617A1B"/>
    <w:rsid w:val="00617DBA"/>
    <w:rsid w:val="006229F3"/>
    <w:rsid w:val="00622D2A"/>
    <w:rsid w:val="00624E68"/>
    <w:rsid w:val="00626AA3"/>
    <w:rsid w:val="00631780"/>
    <w:rsid w:val="00632C7C"/>
    <w:rsid w:val="00636212"/>
    <w:rsid w:val="00636BAF"/>
    <w:rsid w:val="0064122F"/>
    <w:rsid w:val="00641FDE"/>
    <w:rsid w:val="00641FEE"/>
    <w:rsid w:val="00645929"/>
    <w:rsid w:val="00646A25"/>
    <w:rsid w:val="0064777C"/>
    <w:rsid w:val="00651550"/>
    <w:rsid w:val="0065236D"/>
    <w:rsid w:val="006544AA"/>
    <w:rsid w:val="006544E2"/>
    <w:rsid w:val="00656917"/>
    <w:rsid w:val="006600B4"/>
    <w:rsid w:val="006633AD"/>
    <w:rsid w:val="00663428"/>
    <w:rsid w:val="006649C6"/>
    <w:rsid w:val="00665C7F"/>
    <w:rsid w:val="00671F70"/>
    <w:rsid w:val="00672217"/>
    <w:rsid w:val="006755BF"/>
    <w:rsid w:val="00675E8D"/>
    <w:rsid w:val="0067663A"/>
    <w:rsid w:val="00677992"/>
    <w:rsid w:val="006812D1"/>
    <w:rsid w:val="00681BC2"/>
    <w:rsid w:val="00685BC6"/>
    <w:rsid w:val="00686AAC"/>
    <w:rsid w:val="00690276"/>
    <w:rsid w:val="00692540"/>
    <w:rsid w:val="006940C8"/>
    <w:rsid w:val="00694BEA"/>
    <w:rsid w:val="00695C49"/>
    <w:rsid w:val="00696033"/>
    <w:rsid w:val="00696BFB"/>
    <w:rsid w:val="0069779D"/>
    <w:rsid w:val="00697CCC"/>
    <w:rsid w:val="006A141F"/>
    <w:rsid w:val="006A19BE"/>
    <w:rsid w:val="006A1B23"/>
    <w:rsid w:val="006A7FCE"/>
    <w:rsid w:val="006B073F"/>
    <w:rsid w:val="006B0ED9"/>
    <w:rsid w:val="006B2B98"/>
    <w:rsid w:val="006B319B"/>
    <w:rsid w:val="006C0B4B"/>
    <w:rsid w:val="006C289D"/>
    <w:rsid w:val="006C2D3C"/>
    <w:rsid w:val="006C6203"/>
    <w:rsid w:val="006C6A25"/>
    <w:rsid w:val="006D1446"/>
    <w:rsid w:val="006D2B7E"/>
    <w:rsid w:val="006D392D"/>
    <w:rsid w:val="006D3E5C"/>
    <w:rsid w:val="006D635D"/>
    <w:rsid w:val="006E00B5"/>
    <w:rsid w:val="006E35E3"/>
    <w:rsid w:val="006E3A16"/>
    <w:rsid w:val="006E4AA2"/>
    <w:rsid w:val="006E4F30"/>
    <w:rsid w:val="006E5ECE"/>
    <w:rsid w:val="006E65F2"/>
    <w:rsid w:val="006E69A8"/>
    <w:rsid w:val="006F1BEA"/>
    <w:rsid w:val="006F1E62"/>
    <w:rsid w:val="006F3681"/>
    <w:rsid w:val="006F45F7"/>
    <w:rsid w:val="006F6764"/>
    <w:rsid w:val="0070048A"/>
    <w:rsid w:val="00703C7A"/>
    <w:rsid w:val="00704036"/>
    <w:rsid w:val="00706018"/>
    <w:rsid w:val="00706514"/>
    <w:rsid w:val="00706B14"/>
    <w:rsid w:val="00707837"/>
    <w:rsid w:val="00707DEB"/>
    <w:rsid w:val="0071031A"/>
    <w:rsid w:val="00712BBA"/>
    <w:rsid w:val="00713251"/>
    <w:rsid w:val="00713680"/>
    <w:rsid w:val="00714EA9"/>
    <w:rsid w:val="007170C0"/>
    <w:rsid w:val="00717D39"/>
    <w:rsid w:val="00717D54"/>
    <w:rsid w:val="007201EB"/>
    <w:rsid w:val="00724037"/>
    <w:rsid w:val="00725F37"/>
    <w:rsid w:val="00727933"/>
    <w:rsid w:val="00730D96"/>
    <w:rsid w:val="00732045"/>
    <w:rsid w:val="007351C6"/>
    <w:rsid w:val="00736389"/>
    <w:rsid w:val="0073733A"/>
    <w:rsid w:val="007409D6"/>
    <w:rsid w:val="007421A7"/>
    <w:rsid w:val="0074321E"/>
    <w:rsid w:val="00745F59"/>
    <w:rsid w:val="00746D7F"/>
    <w:rsid w:val="0074737F"/>
    <w:rsid w:val="007500B1"/>
    <w:rsid w:val="00751FCA"/>
    <w:rsid w:val="00752054"/>
    <w:rsid w:val="00752C3E"/>
    <w:rsid w:val="00755715"/>
    <w:rsid w:val="00757B6E"/>
    <w:rsid w:val="0076000B"/>
    <w:rsid w:val="00761CE7"/>
    <w:rsid w:val="00763364"/>
    <w:rsid w:val="00764AE2"/>
    <w:rsid w:val="00764CF0"/>
    <w:rsid w:val="00767003"/>
    <w:rsid w:val="00770618"/>
    <w:rsid w:val="00772FC6"/>
    <w:rsid w:val="00773B9A"/>
    <w:rsid w:val="007808BD"/>
    <w:rsid w:val="00781C69"/>
    <w:rsid w:val="00781D29"/>
    <w:rsid w:val="0078405E"/>
    <w:rsid w:val="00784968"/>
    <w:rsid w:val="00785017"/>
    <w:rsid w:val="007863E9"/>
    <w:rsid w:val="00792023"/>
    <w:rsid w:val="007924A4"/>
    <w:rsid w:val="0079310A"/>
    <w:rsid w:val="00794828"/>
    <w:rsid w:val="00794EE0"/>
    <w:rsid w:val="0079552E"/>
    <w:rsid w:val="007A29C4"/>
    <w:rsid w:val="007A3D60"/>
    <w:rsid w:val="007A5E5A"/>
    <w:rsid w:val="007A64B7"/>
    <w:rsid w:val="007B03EF"/>
    <w:rsid w:val="007B0930"/>
    <w:rsid w:val="007B0A24"/>
    <w:rsid w:val="007B276C"/>
    <w:rsid w:val="007B379A"/>
    <w:rsid w:val="007B4E8F"/>
    <w:rsid w:val="007B71B1"/>
    <w:rsid w:val="007B75DD"/>
    <w:rsid w:val="007B7D43"/>
    <w:rsid w:val="007C1086"/>
    <w:rsid w:val="007C1C48"/>
    <w:rsid w:val="007C1E16"/>
    <w:rsid w:val="007C3E82"/>
    <w:rsid w:val="007C3E8D"/>
    <w:rsid w:val="007C74B7"/>
    <w:rsid w:val="007D3E0F"/>
    <w:rsid w:val="007E26C2"/>
    <w:rsid w:val="007E42CD"/>
    <w:rsid w:val="007E5224"/>
    <w:rsid w:val="007E5ED9"/>
    <w:rsid w:val="007E682A"/>
    <w:rsid w:val="007E6E7A"/>
    <w:rsid w:val="007F04A3"/>
    <w:rsid w:val="007F22CC"/>
    <w:rsid w:val="007F4DD4"/>
    <w:rsid w:val="007F6E69"/>
    <w:rsid w:val="007F761D"/>
    <w:rsid w:val="008017E9"/>
    <w:rsid w:val="00804A61"/>
    <w:rsid w:val="00811AFE"/>
    <w:rsid w:val="00811C61"/>
    <w:rsid w:val="00812D0C"/>
    <w:rsid w:val="00813E2B"/>
    <w:rsid w:val="00815EDC"/>
    <w:rsid w:val="0081611B"/>
    <w:rsid w:val="00816C4F"/>
    <w:rsid w:val="00816D96"/>
    <w:rsid w:val="00820148"/>
    <w:rsid w:val="008234DD"/>
    <w:rsid w:val="0082721E"/>
    <w:rsid w:val="00827885"/>
    <w:rsid w:val="00827ABC"/>
    <w:rsid w:val="008308AA"/>
    <w:rsid w:val="0083118B"/>
    <w:rsid w:val="008311BA"/>
    <w:rsid w:val="008323F8"/>
    <w:rsid w:val="008345D0"/>
    <w:rsid w:val="00834B84"/>
    <w:rsid w:val="008358EB"/>
    <w:rsid w:val="00841C34"/>
    <w:rsid w:val="0084748F"/>
    <w:rsid w:val="00847E93"/>
    <w:rsid w:val="00851105"/>
    <w:rsid w:val="008512FD"/>
    <w:rsid w:val="008528D9"/>
    <w:rsid w:val="0085366B"/>
    <w:rsid w:val="00854E9C"/>
    <w:rsid w:val="00855696"/>
    <w:rsid w:val="00855CE9"/>
    <w:rsid w:val="00855E6E"/>
    <w:rsid w:val="008564C7"/>
    <w:rsid w:val="00862063"/>
    <w:rsid w:val="00862DBB"/>
    <w:rsid w:val="0086366B"/>
    <w:rsid w:val="00863C2F"/>
    <w:rsid w:val="00865654"/>
    <w:rsid w:val="00872157"/>
    <w:rsid w:val="0087365E"/>
    <w:rsid w:val="008738B9"/>
    <w:rsid w:val="008748D3"/>
    <w:rsid w:val="00876E3D"/>
    <w:rsid w:val="00877607"/>
    <w:rsid w:val="008817E8"/>
    <w:rsid w:val="00883124"/>
    <w:rsid w:val="008879ED"/>
    <w:rsid w:val="008922C2"/>
    <w:rsid w:val="00895697"/>
    <w:rsid w:val="008A0749"/>
    <w:rsid w:val="008A092B"/>
    <w:rsid w:val="008A1455"/>
    <w:rsid w:val="008A18B1"/>
    <w:rsid w:val="008A31D5"/>
    <w:rsid w:val="008A3436"/>
    <w:rsid w:val="008B0C75"/>
    <w:rsid w:val="008B1648"/>
    <w:rsid w:val="008B1E4F"/>
    <w:rsid w:val="008B476B"/>
    <w:rsid w:val="008B6DAB"/>
    <w:rsid w:val="008B7724"/>
    <w:rsid w:val="008C007D"/>
    <w:rsid w:val="008C1B3F"/>
    <w:rsid w:val="008C2C72"/>
    <w:rsid w:val="008C3804"/>
    <w:rsid w:val="008C67FA"/>
    <w:rsid w:val="008C681A"/>
    <w:rsid w:val="008D7150"/>
    <w:rsid w:val="008D78B2"/>
    <w:rsid w:val="008E0552"/>
    <w:rsid w:val="008E19A2"/>
    <w:rsid w:val="008E2871"/>
    <w:rsid w:val="008E2A37"/>
    <w:rsid w:val="008E3BC8"/>
    <w:rsid w:val="008E4786"/>
    <w:rsid w:val="008E7453"/>
    <w:rsid w:val="008E7D00"/>
    <w:rsid w:val="008F0BEF"/>
    <w:rsid w:val="008F2022"/>
    <w:rsid w:val="008F543D"/>
    <w:rsid w:val="008F5A13"/>
    <w:rsid w:val="008F5F2F"/>
    <w:rsid w:val="008F7A14"/>
    <w:rsid w:val="009009DD"/>
    <w:rsid w:val="009014C9"/>
    <w:rsid w:val="00903C83"/>
    <w:rsid w:val="0090566E"/>
    <w:rsid w:val="00905CA5"/>
    <w:rsid w:val="00906C25"/>
    <w:rsid w:val="009118A3"/>
    <w:rsid w:val="009138C5"/>
    <w:rsid w:val="00913F73"/>
    <w:rsid w:val="00914657"/>
    <w:rsid w:val="009149DE"/>
    <w:rsid w:val="0091520E"/>
    <w:rsid w:val="0091605A"/>
    <w:rsid w:val="009233C5"/>
    <w:rsid w:val="009244BF"/>
    <w:rsid w:val="009262D9"/>
    <w:rsid w:val="0092681B"/>
    <w:rsid w:val="00932B4C"/>
    <w:rsid w:val="00933496"/>
    <w:rsid w:val="00933EA8"/>
    <w:rsid w:val="0093418A"/>
    <w:rsid w:val="009367CB"/>
    <w:rsid w:val="00937303"/>
    <w:rsid w:val="0094054C"/>
    <w:rsid w:val="00943931"/>
    <w:rsid w:val="009451D3"/>
    <w:rsid w:val="00946123"/>
    <w:rsid w:val="009461DC"/>
    <w:rsid w:val="009526BD"/>
    <w:rsid w:val="00953EC2"/>
    <w:rsid w:val="00954882"/>
    <w:rsid w:val="00955553"/>
    <w:rsid w:val="0096201F"/>
    <w:rsid w:val="00963150"/>
    <w:rsid w:val="00963F42"/>
    <w:rsid w:val="00965781"/>
    <w:rsid w:val="00966E7B"/>
    <w:rsid w:val="00967312"/>
    <w:rsid w:val="00967CBC"/>
    <w:rsid w:val="0097042E"/>
    <w:rsid w:val="00972128"/>
    <w:rsid w:val="0097350D"/>
    <w:rsid w:val="0097414E"/>
    <w:rsid w:val="00980A93"/>
    <w:rsid w:val="009813A7"/>
    <w:rsid w:val="00983F06"/>
    <w:rsid w:val="00985BB3"/>
    <w:rsid w:val="00986E27"/>
    <w:rsid w:val="00987B15"/>
    <w:rsid w:val="00987CDC"/>
    <w:rsid w:val="00991FD3"/>
    <w:rsid w:val="009924DA"/>
    <w:rsid w:val="00993A56"/>
    <w:rsid w:val="00994CAC"/>
    <w:rsid w:val="0099638C"/>
    <w:rsid w:val="009A0A29"/>
    <w:rsid w:val="009A2611"/>
    <w:rsid w:val="009A3AC8"/>
    <w:rsid w:val="009A4F4C"/>
    <w:rsid w:val="009A5EF6"/>
    <w:rsid w:val="009B0368"/>
    <w:rsid w:val="009B09D6"/>
    <w:rsid w:val="009B45DE"/>
    <w:rsid w:val="009B52F4"/>
    <w:rsid w:val="009B5718"/>
    <w:rsid w:val="009B6C2D"/>
    <w:rsid w:val="009B6E3B"/>
    <w:rsid w:val="009C0254"/>
    <w:rsid w:val="009C37B8"/>
    <w:rsid w:val="009C3CEA"/>
    <w:rsid w:val="009C5DFB"/>
    <w:rsid w:val="009C75EF"/>
    <w:rsid w:val="009C76F4"/>
    <w:rsid w:val="009D1517"/>
    <w:rsid w:val="009D32D6"/>
    <w:rsid w:val="009D6300"/>
    <w:rsid w:val="009E30EC"/>
    <w:rsid w:val="009E6EF4"/>
    <w:rsid w:val="009E78D7"/>
    <w:rsid w:val="009E7B40"/>
    <w:rsid w:val="009F0200"/>
    <w:rsid w:val="009F0FE1"/>
    <w:rsid w:val="009F127B"/>
    <w:rsid w:val="009F2A51"/>
    <w:rsid w:val="009F2E25"/>
    <w:rsid w:val="009F3EB6"/>
    <w:rsid w:val="009F4368"/>
    <w:rsid w:val="009F663E"/>
    <w:rsid w:val="00A0141B"/>
    <w:rsid w:val="00A048DF"/>
    <w:rsid w:val="00A0713A"/>
    <w:rsid w:val="00A1014A"/>
    <w:rsid w:val="00A115D5"/>
    <w:rsid w:val="00A13F6F"/>
    <w:rsid w:val="00A15051"/>
    <w:rsid w:val="00A150E4"/>
    <w:rsid w:val="00A15792"/>
    <w:rsid w:val="00A169FB"/>
    <w:rsid w:val="00A17BD1"/>
    <w:rsid w:val="00A21928"/>
    <w:rsid w:val="00A2371F"/>
    <w:rsid w:val="00A23EC5"/>
    <w:rsid w:val="00A25409"/>
    <w:rsid w:val="00A30117"/>
    <w:rsid w:val="00A32BE7"/>
    <w:rsid w:val="00A3316B"/>
    <w:rsid w:val="00A379E6"/>
    <w:rsid w:val="00A43F7C"/>
    <w:rsid w:val="00A4594E"/>
    <w:rsid w:val="00A473D5"/>
    <w:rsid w:val="00A50DD2"/>
    <w:rsid w:val="00A5217C"/>
    <w:rsid w:val="00A602BC"/>
    <w:rsid w:val="00A60617"/>
    <w:rsid w:val="00A60B0E"/>
    <w:rsid w:val="00A63121"/>
    <w:rsid w:val="00A65825"/>
    <w:rsid w:val="00A6596C"/>
    <w:rsid w:val="00A66275"/>
    <w:rsid w:val="00A67551"/>
    <w:rsid w:val="00A701C4"/>
    <w:rsid w:val="00A7119A"/>
    <w:rsid w:val="00A711D3"/>
    <w:rsid w:val="00A720FB"/>
    <w:rsid w:val="00A724D9"/>
    <w:rsid w:val="00A72508"/>
    <w:rsid w:val="00A72EB0"/>
    <w:rsid w:val="00A7380E"/>
    <w:rsid w:val="00A748ED"/>
    <w:rsid w:val="00A801EA"/>
    <w:rsid w:val="00A80292"/>
    <w:rsid w:val="00A80335"/>
    <w:rsid w:val="00A80CD2"/>
    <w:rsid w:val="00A8160B"/>
    <w:rsid w:val="00A81A2C"/>
    <w:rsid w:val="00A826AD"/>
    <w:rsid w:val="00A84358"/>
    <w:rsid w:val="00A849FD"/>
    <w:rsid w:val="00A86B7A"/>
    <w:rsid w:val="00A86D83"/>
    <w:rsid w:val="00A8760F"/>
    <w:rsid w:val="00A87903"/>
    <w:rsid w:val="00A90759"/>
    <w:rsid w:val="00A943FE"/>
    <w:rsid w:val="00A947E6"/>
    <w:rsid w:val="00A95016"/>
    <w:rsid w:val="00A963DC"/>
    <w:rsid w:val="00A96BC4"/>
    <w:rsid w:val="00A97FA3"/>
    <w:rsid w:val="00AA1349"/>
    <w:rsid w:val="00AA143F"/>
    <w:rsid w:val="00AA25FD"/>
    <w:rsid w:val="00AA2D8E"/>
    <w:rsid w:val="00AA3499"/>
    <w:rsid w:val="00AA5E65"/>
    <w:rsid w:val="00AA7899"/>
    <w:rsid w:val="00AB1473"/>
    <w:rsid w:val="00AB1867"/>
    <w:rsid w:val="00AB2A66"/>
    <w:rsid w:val="00AB3605"/>
    <w:rsid w:val="00AB44C2"/>
    <w:rsid w:val="00AB6681"/>
    <w:rsid w:val="00AB6ACC"/>
    <w:rsid w:val="00AB6D79"/>
    <w:rsid w:val="00AB6F95"/>
    <w:rsid w:val="00AC0108"/>
    <w:rsid w:val="00AC2CE8"/>
    <w:rsid w:val="00AC2D4C"/>
    <w:rsid w:val="00AC53DA"/>
    <w:rsid w:val="00AC7A60"/>
    <w:rsid w:val="00AD31AE"/>
    <w:rsid w:val="00AD5001"/>
    <w:rsid w:val="00AE1211"/>
    <w:rsid w:val="00AE44BF"/>
    <w:rsid w:val="00AE5D28"/>
    <w:rsid w:val="00AE624D"/>
    <w:rsid w:val="00AE628A"/>
    <w:rsid w:val="00AF0EE9"/>
    <w:rsid w:val="00AF2E7F"/>
    <w:rsid w:val="00AF40A7"/>
    <w:rsid w:val="00AF5D03"/>
    <w:rsid w:val="00AF67D4"/>
    <w:rsid w:val="00AF72E8"/>
    <w:rsid w:val="00AF78E6"/>
    <w:rsid w:val="00B002C1"/>
    <w:rsid w:val="00B0117C"/>
    <w:rsid w:val="00B013C6"/>
    <w:rsid w:val="00B01F00"/>
    <w:rsid w:val="00B059DE"/>
    <w:rsid w:val="00B06268"/>
    <w:rsid w:val="00B153B1"/>
    <w:rsid w:val="00B15E4F"/>
    <w:rsid w:val="00B16C5A"/>
    <w:rsid w:val="00B203FB"/>
    <w:rsid w:val="00B26FCE"/>
    <w:rsid w:val="00B30921"/>
    <w:rsid w:val="00B31298"/>
    <w:rsid w:val="00B313C5"/>
    <w:rsid w:val="00B313F5"/>
    <w:rsid w:val="00B3259E"/>
    <w:rsid w:val="00B33981"/>
    <w:rsid w:val="00B345B4"/>
    <w:rsid w:val="00B34687"/>
    <w:rsid w:val="00B35658"/>
    <w:rsid w:val="00B3749A"/>
    <w:rsid w:val="00B37902"/>
    <w:rsid w:val="00B40E7D"/>
    <w:rsid w:val="00B415C9"/>
    <w:rsid w:val="00B41A45"/>
    <w:rsid w:val="00B42CEC"/>
    <w:rsid w:val="00B43FEA"/>
    <w:rsid w:val="00B45724"/>
    <w:rsid w:val="00B45AEF"/>
    <w:rsid w:val="00B5368D"/>
    <w:rsid w:val="00B552F8"/>
    <w:rsid w:val="00B55D4D"/>
    <w:rsid w:val="00B62428"/>
    <w:rsid w:val="00B632E4"/>
    <w:rsid w:val="00B63B93"/>
    <w:rsid w:val="00B674BF"/>
    <w:rsid w:val="00B67E88"/>
    <w:rsid w:val="00B71E17"/>
    <w:rsid w:val="00B71EDE"/>
    <w:rsid w:val="00B81B39"/>
    <w:rsid w:val="00B834FA"/>
    <w:rsid w:val="00B84134"/>
    <w:rsid w:val="00B84DC8"/>
    <w:rsid w:val="00B8587A"/>
    <w:rsid w:val="00B85FD5"/>
    <w:rsid w:val="00B86554"/>
    <w:rsid w:val="00B86D95"/>
    <w:rsid w:val="00B941A4"/>
    <w:rsid w:val="00B942EC"/>
    <w:rsid w:val="00B96371"/>
    <w:rsid w:val="00B971B4"/>
    <w:rsid w:val="00BA01D7"/>
    <w:rsid w:val="00BA0806"/>
    <w:rsid w:val="00BA43E7"/>
    <w:rsid w:val="00BA5EC2"/>
    <w:rsid w:val="00BB1620"/>
    <w:rsid w:val="00BB27D7"/>
    <w:rsid w:val="00BB3C46"/>
    <w:rsid w:val="00BB5D84"/>
    <w:rsid w:val="00BB6F89"/>
    <w:rsid w:val="00BC0531"/>
    <w:rsid w:val="00BC0545"/>
    <w:rsid w:val="00BC1A30"/>
    <w:rsid w:val="00BC2DF1"/>
    <w:rsid w:val="00BC3A7A"/>
    <w:rsid w:val="00BC4659"/>
    <w:rsid w:val="00BD0987"/>
    <w:rsid w:val="00BD3224"/>
    <w:rsid w:val="00BD3E3B"/>
    <w:rsid w:val="00BD5008"/>
    <w:rsid w:val="00BD50CA"/>
    <w:rsid w:val="00BE007C"/>
    <w:rsid w:val="00BE0361"/>
    <w:rsid w:val="00BE6578"/>
    <w:rsid w:val="00BE7518"/>
    <w:rsid w:val="00BF0313"/>
    <w:rsid w:val="00BF10D5"/>
    <w:rsid w:val="00BF1DFB"/>
    <w:rsid w:val="00BF6193"/>
    <w:rsid w:val="00BF68B5"/>
    <w:rsid w:val="00C005EC"/>
    <w:rsid w:val="00C01700"/>
    <w:rsid w:val="00C03C0C"/>
    <w:rsid w:val="00C06585"/>
    <w:rsid w:val="00C122FE"/>
    <w:rsid w:val="00C14F76"/>
    <w:rsid w:val="00C151B2"/>
    <w:rsid w:val="00C15B47"/>
    <w:rsid w:val="00C15DFF"/>
    <w:rsid w:val="00C1601A"/>
    <w:rsid w:val="00C16AF6"/>
    <w:rsid w:val="00C20054"/>
    <w:rsid w:val="00C22119"/>
    <w:rsid w:val="00C2481D"/>
    <w:rsid w:val="00C25C94"/>
    <w:rsid w:val="00C26254"/>
    <w:rsid w:val="00C27A59"/>
    <w:rsid w:val="00C31A65"/>
    <w:rsid w:val="00C33FB1"/>
    <w:rsid w:val="00C37739"/>
    <w:rsid w:val="00C37A01"/>
    <w:rsid w:val="00C402E6"/>
    <w:rsid w:val="00C42412"/>
    <w:rsid w:val="00C42A23"/>
    <w:rsid w:val="00C44831"/>
    <w:rsid w:val="00C474C9"/>
    <w:rsid w:val="00C47CAC"/>
    <w:rsid w:val="00C518C4"/>
    <w:rsid w:val="00C5227E"/>
    <w:rsid w:val="00C53784"/>
    <w:rsid w:val="00C53E78"/>
    <w:rsid w:val="00C54D82"/>
    <w:rsid w:val="00C554D5"/>
    <w:rsid w:val="00C560D5"/>
    <w:rsid w:val="00C57546"/>
    <w:rsid w:val="00C57EF6"/>
    <w:rsid w:val="00C616BD"/>
    <w:rsid w:val="00C61A21"/>
    <w:rsid w:val="00C644D7"/>
    <w:rsid w:val="00C702FE"/>
    <w:rsid w:val="00C70BC2"/>
    <w:rsid w:val="00C73810"/>
    <w:rsid w:val="00C821F4"/>
    <w:rsid w:val="00C82851"/>
    <w:rsid w:val="00C83903"/>
    <w:rsid w:val="00C84A92"/>
    <w:rsid w:val="00C8580A"/>
    <w:rsid w:val="00C8614B"/>
    <w:rsid w:val="00C862D2"/>
    <w:rsid w:val="00C875C3"/>
    <w:rsid w:val="00C87AC5"/>
    <w:rsid w:val="00C90887"/>
    <w:rsid w:val="00C9602C"/>
    <w:rsid w:val="00C96861"/>
    <w:rsid w:val="00C96D9A"/>
    <w:rsid w:val="00CA118A"/>
    <w:rsid w:val="00CA250C"/>
    <w:rsid w:val="00CA45B5"/>
    <w:rsid w:val="00CA535D"/>
    <w:rsid w:val="00CA686D"/>
    <w:rsid w:val="00CB3CF2"/>
    <w:rsid w:val="00CB4959"/>
    <w:rsid w:val="00CB52F1"/>
    <w:rsid w:val="00CB57DD"/>
    <w:rsid w:val="00CB5FE7"/>
    <w:rsid w:val="00CC020F"/>
    <w:rsid w:val="00CC142D"/>
    <w:rsid w:val="00CC2666"/>
    <w:rsid w:val="00CC3EBF"/>
    <w:rsid w:val="00CC7216"/>
    <w:rsid w:val="00CC770A"/>
    <w:rsid w:val="00CD2655"/>
    <w:rsid w:val="00CD36B3"/>
    <w:rsid w:val="00CD5B02"/>
    <w:rsid w:val="00CE04B8"/>
    <w:rsid w:val="00CE09A0"/>
    <w:rsid w:val="00CE0B9F"/>
    <w:rsid w:val="00CE33E7"/>
    <w:rsid w:val="00CE5424"/>
    <w:rsid w:val="00CE72B7"/>
    <w:rsid w:val="00CE7716"/>
    <w:rsid w:val="00CF1F21"/>
    <w:rsid w:val="00CF3B21"/>
    <w:rsid w:val="00CF5F7B"/>
    <w:rsid w:val="00CF74A9"/>
    <w:rsid w:val="00D00599"/>
    <w:rsid w:val="00D00787"/>
    <w:rsid w:val="00D02160"/>
    <w:rsid w:val="00D02D7A"/>
    <w:rsid w:val="00D05AE7"/>
    <w:rsid w:val="00D073CB"/>
    <w:rsid w:val="00D1051A"/>
    <w:rsid w:val="00D10589"/>
    <w:rsid w:val="00D1076B"/>
    <w:rsid w:val="00D1144A"/>
    <w:rsid w:val="00D13651"/>
    <w:rsid w:val="00D20091"/>
    <w:rsid w:val="00D2258B"/>
    <w:rsid w:val="00D238BC"/>
    <w:rsid w:val="00D26AE8"/>
    <w:rsid w:val="00D30DC2"/>
    <w:rsid w:val="00D329E7"/>
    <w:rsid w:val="00D32CE5"/>
    <w:rsid w:val="00D333E1"/>
    <w:rsid w:val="00D34374"/>
    <w:rsid w:val="00D34BE2"/>
    <w:rsid w:val="00D37CAF"/>
    <w:rsid w:val="00D37DAA"/>
    <w:rsid w:val="00D403D0"/>
    <w:rsid w:val="00D41634"/>
    <w:rsid w:val="00D45B30"/>
    <w:rsid w:val="00D47B74"/>
    <w:rsid w:val="00D507B4"/>
    <w:rsid w:val="00D50E1F"/>
    <w:rsid w:val="00D51C27"/>
    <w:rsid w:val="00D51DF0"/>
    <w:rsid w:val="00D5301E"/>
    <w:rsid w:val="00D543BF"/>
    <w:rsid w:val="00D57B8D"/>
    <w:rsid w:val="00D57E59"/>
    <w:rsid w:val="00D62178"/>
    <w:rsid w:val="00D63319"/>
    <w:rsid w:val="00D63D3E"/>
    <w:rsid w:val="00D643F6"/>
    <w:rsid w:val="00D65971"/>
    <w:rsid w:val="00D663AD"/>
    <w:rsid w:val="00D667EC"/>
    <w:rsid w:val="00D70198"/>
    <w:rsid w:val="00D7037E"/>
    <w:rsid w:val="00D71ACE"/>
    <w:rsid w:val="00D72670"/>
    <w:rsid w:val="00D756E0"/>
    <w:rsid w:val="00D758CE"/>
    <w:rsid w:val="00D759AF"/>
    <w:rsid w:val="00D7727B"/>
    <w:rsid w:val="00D77DA7"/>
    <w:rsid w:val="00D85A5A"/>
    <w:rsid w:val="00D92D95"/>
    <w:rsid w:val="00D93535"/>
    <w:rsid w:val="00D937C2"/>
    <w:rsid w:val="00D9438F"/>
    <w:rsid w:val="00D957A3"/>
    <w:rsid w:val="00D95D8C"/>
    <w:rsid w:val="00D96B47"/>
    <w:rsid w:val="00D97E7F"/>
    <w:rsid w:val="00DA0CDF"/>
    <w:rsid w:val="00DA0D98"/>
    <w:rsid w:val="00DA3E27"/>
    <w:rsid w:val="00DA4913"/>
    <w:rsid w:val="00DA4D2B"/>
    <w:rsid w:val="00DA531F"/>
    <w:rsid w:val="00DA58F1"/>
    <w:rsid w:val="00DA6D21"/>
    <w:rsid w:val="00DB1C95"/>
    <w:rsid w:val="00DC2612"/>
    <w:rsid w:val="00DC2AE9"/>
    <w:rsid w:val="00DC2C18"/>
    <w:rsid w:val="00DC6BC4"/>
    <w:rsid w:val="00DD697E"/>
    <w:rsid w:val="00DD74AC"/>
    <w:rsid w:val="00DE2D33"/>
    <w:rsid w:val="00DE37B0"/>
    <w:rsid w:val="00DE3CFF"/>
    <w:rsid w:val="00DE4C05"/>
    <w:rsid w:val="00DE4EA2"/>
    <w:rsid w:val="00DE634D"/>
    <w:rsid w:val="00DE6AEB"/>
    <w:rsid w:val="00DE6E4C"/>
    <w:rsid w:val="00DF05C0"/>
    <w:rsid w:val="00DF0938"/>
    <w:rsid w:val="00DF1B40"/>
    <w:rsid w:val="00DF2D94"/>
    <w:rsid w:val="00DF3B8B"/>
    <w:rsid w:val="00DF3F41"/>
    <w:rsid w:val="00DF48EA"/>
    <w:rsid w:val="00DF52BB"/>
    <w:rsid w:val="00DF5ABB"/>
    <w:rsid w:val="00DF7A71"/>
    <w:rsid w:val="00E0028F"/>
    <w:rsid w:val="00E0076C"/>
    <w:rsid w:val="00E00D0A"/>
    <w:rsid w:val="00E01222"/>
    <w:rsid w:val="00E01244"/>
    <w:rsid w:val="00E04739"/>
    <w:rsid w:val="00E06955"/>
    <w:rsid w:val="00E07B75"/>
    <w:rsid w:val="00E10371"/>
    <w:rsid w:val="00E10825"/>
    <w:rsid w:val="00E169B9"/>
    <w:rsid w:val="00E205F0"/>
    <w:rsid w:val="00E2076F"/>
    <w:rsid w:val="00E20FFA"/>
    <w:rsid w:val="00E21100"/>
    <w:rsid w:val="00E21479"/>
    <w:rsid w:val="00E21501"/>
    <w:rsid w:val="00E216E8"/>
    <w:rsid w:val="00E21795"/>
    <w:rsid w:val="00E2208A"/>
    <w:rsid w:val="00E235FA"/>
    <w:rsid w:val="00E23B71"/>
    <w:rsid w:val="00E241AF"/>
    <w:rsid w:val="00E261AB"/>
    <w:rsid w:val="00E26788"/>
    <w:rsid w:val="00E269EA"/>
    <w:rsid w:val="00E307D6"/>
    <w:rsid w:val="00E30FC9"/>
    <w:rsid w:val="00E34241"/>
    <w:rsid w:val="00E34583"/>
    <w:rsid w:val="00E357E2"/>
    <w:rsid w:val="00E35D20"/>
    <w:rsid w:val="00E37227"/>
    <w:rsid w:val="00E379C2"/>
    <w:rsid w:val="00E4057A"/>
    <w:rsid w:val="00E41275"/>
    <w:rsid w:val="00E44606"/>
    <w:rsid w:val="00E45BC8"/>
    <w:rsid w:val="00E468A2"/>
    <w:rsid w:val="00E479E0"/>
    <w:rsid w:val="00E47F4E"/>
    <w:rsid w:val="00E5018F"/>
    <w:rsid w:val="00E508A3"/>
    <w:rsid w:val="00E50B03"/>
    <w:rsid w:val="00E51DD2"/>
    <w:rsid w:val="00E51DD6"/>
    <w:rsid w:val="00E52656"/>
    <w:rsid w:val="00E53E22"/>
    <w:rsid w:val="00E55470"/>
    <w:rsid w:val="00E56537"/>
    <w:rsid w:val="00E6374C"/>
    <w:rsid w:val="00E63AB2"/>
    <w:rsid w:val="00E65AB0"/>
    <w:rsid w:val="00E66B30"/>
    <w:rsid w:val="00E67100"/>
    <w:rsid w:val="00E67A53"/>
    <w:rsid w:val="00E721A8"/>
    <w:rsid w:val="00E72B37"/>
    <w:rsid w:val="00E73154"/>
    <w:rsid w:val="00E7446F"/>
    <w:rsid w:val="00E749EC"/>
    <w:rsid w:val="00E759D4"/>
    <w:rsid w:val="00E76379"/>
    <w:rsid w:val="00E76990"/>
    <w:rsid w:val="00E77471"/>
    <w:rsid w:val="00E777AC"/>
    <w:rsid w:val="00E82874"/>
    <w:rsid w:val="00E82BB7"/>
    <w:rsid w:val="00E834B3"/>
    <w:rsid w:val="00E83DC0"/>
    <w:rsid w:val="00E83FBA"/>
    <w:rsid w:val="00E8519D"/>
    <w:rsid w:val="00E85E9A"/>
    <w:rsid w:val="00E87729"/>
    <w:rsid w:val="00E90CF3"/>
    <w:rsid w:val="00E91827"/>
    <w:rsid w:val="00E93B48"/>
    <w:rsid w:val="00E93BEA"/>
    <w:rsid w:val="00E979A4"/>
    <w:rsid w:val="00E97B3D"/>
    <w:rsid w:val="00E97C22"/>
    <w:rsid w:val="00E97E51"/>
    <w:rsid w:val="00EA012F"/>
    <w:rsid w:val="00EA19BC"/>
    <w:rsid w:val="00EA3ACE"/>
    <w:rsid w:val="00EA53D9"/>
    <w:rsid w:val="00EA5CFD"/>
    <w:rsid w:val="00EA6293"/>
    <w:rsid w:val="00EB31DC"/>
    <w:rsid w:val="00EB3337"/>
    <w:rsid w:val="00EB5022"/>
    <w:rsid w:val="00EB5E9D"/>
    <w:rsid w:val="00EB5FE2"/>
    <w:rsid w:val="00EB60CA"/>
    <w:rsid w:val="00EB6129"/>
    <w:rsid w:val="00EB6261"/>
    <w:rsid w:val="00EB6591"/>
    <w:rsid w:val="00EC00F7"/>
    <w:rsid w:val="00EC190E"/>
    <w:rsid w:val="00EC1C4E"/>
    <w:rsid w:val="00EC35DF"/>
    <w:rsid w:val="00EC4104"/>
    <w:rsid w:val="00EC52D6"/>
    <w:rsid w:val="00EC61D5"/>
    <w:rsid w:val="00ED036F"/>
    <w:rsid w:val="00ED17A1"/>
    <w:rsid w:val="00ED29AC"/>
    <w:rsid w:val="00ED4E48"/>
    <w:rsid w:val="00ED55B6"/>
    <w:rsid w:val="00ED5927"/>
    <w:rsid w:val="00ED63D6"/>
    <w:rsid w:val="00EE164F"/>
    <w:rsid w:val="00EE1EC8"/>
    <w:rsid w:val="00EE296F"/>
    <w:rsid w:val="00EE6F78"/>
    <w:rsid w:val="00EF0504"/>
    <w:rsid w:val="00EF22E6"/>
    <w:rsid w:val="00EF36BB"/>
    <w:rsid w:val="00EF37F0"/>
    <w:rsid w:val="00EF41D8"/>
    <w:rsid w:val="00EF4991"/>
    <w:rsid w:val="00EF5894"/>
    <w:rsid w:val="00EF68CE"/>
    <w:rsid w:val="00EF6B67"/>
    <w:rsid w:val="00F01C5E"/>
    <w:rsid w:val="00F03F1A"/>
    <w:rsid w:val="00F03F2A"/>
    <w:rsid w:val="00F06BF2"/>
    <w:rsid w:val="00F148A2"/>
    <w:rsid w:val="00F200D8"/>
    <w:rsid w:val="00F20EBC"/>
    <w:rsid w:val="00F21DD4"/>
    <w:rsid w:val="00F24057"/>
    <w:rsid w:val="00F2447A"/>
    <w:rsid w:val="00F24A15"/>
    <w:rsid w:val="00F26546"/>
    <w:rsid w:val="00F27477"/>
    <w:rsid w:val="00F27A6C"/>
    <w:rsid w:val="00F30EA3"/>
    <w:rsid w:val="00F3403B"/>
    <w:rsid w:val="00F35AC3"/>
    <w:rsid w:val="00F36C1B"/>
    <w:rsid w:val="00F37D36"/>
    <w:rsid w:val="00F40090"/>
    <w:rsid w:val="00F42884"/>
    <w:rsid w:val="00F43360"/>
    <w:rsid w:val="00F45156"/>
    <w:rsid w:val="00F5018C"/>
    <w:rsid w:val="00F51F92"/>
    <w:rsid w:val="00F552F0"/>
    <w:rsid w:val="00F555F2"/>
    <w:rsid w:val="00F558DC"/>
    <w:rsid w:val="00F57623"/>
    <w:rsid w:val="00F608C8"/>
    <w:rsid w:val="00F62854"/>
    <w:rsid w:val="00F63001"/>
    <w:rsid w:val="00F64D51"/>
    <w:rsid w:val="00F657F2"/>
    <w:rsid w:val="00F71049"/>
    <w:rsid w:val="00F74003"/>
    <w:rsid w:val="00F75535"/>
    <w:rsid w:val="00F76089"/>
    <w:rsid w:val="00F77628"/>
    <w:rsid w:val="00F82712"/>
    <w:rsid w:val="00F84D6A"/>
    <w:rsid w:val="00F85978"/>
    <w:rsid w:val="00F86D8F"/>
    <w:rsid w:val="00F90040"/>
    <w:rsid w:val="00F947B5"/>
    <w:rsid w:val="00F975C5"/>
    <w:rsid w:val="00FA3474"/>
    <w:rsid w:val="00FA4ED9"/>
    <w:rsid w:val="00FA5392"/>
    <w:rsid w:val="00FA74BF"/>
    <w:rsid w:val="00FA759B"/>
    <w:rsid w:val="00FB1035"/>
    <w:rsid w:val="00FB3043"/>
    <w:rsid w:val="00FB387F"/>
    <w:rsid w:val="00FB4B3D"/>
    <w:rsid w:val="00FB58DE"/>
    <w:rsid w:val="00FB7371"/>
    <w:rsid w:val="00FB7703"/>
    <w:rsid w:val="00FC075C"/>
    <w:rsid w:val="00FC2CE5"/>
    <w:rsid w:val="00FC34D5"/>
    <w:rsid w:val="00FC3EED"/>
    <w:rsid w:val="00FC4E2D"/>
    <w:rsid w:val="00FC724A"/>
    <w:rsid w:val="00FC73D7"/>
    <w:rsid w:val="00FC7799"/>
    <w:rsid w:val="00FC77F7"/>
    <w:rsid w:val="00FD0CFA"/>
    <w:rsid w:val="00FD16F4"/>
    <w:rsid w:val="00FD3B74"/>
    <w:rsid w:val="00FD7712"/>
    <w:rsid w:val="00FD7C0C"/>
    <w:rsid w:val="00FE17A0"/>
    <w:rsid w:val="00FE3277"/>
    <w:rsid w:val="00FE53FF"/>
    <w:rsid w:val="00FE6AC1"/>
    <w:rsid w:val="00FE7085"/>
    <w:rsid w:val="00FE75B4"/>
    <w:rsid w:val="00FF00E3"/>
    <w:rsid w:val="00FF1741"/>
    <w:rsid w:val="00FF31F4"/>
    <w:rsid w:val="00FF3682"/>
    <w:rsid w:val="00FF5256"/>
    <w:rsid w:val="00FF562D"/>
    <w:rsid w:val="00FF5A8A"/>
    <w:rsid w:val="00FF5AF2"/>
    <w:rsid w:val="00FF68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C1B"/>
    <w:rPr>
      <w:sz w:val="24"/>
      <w:szCs w:val="24"/>
    </w:rPr>
  </w:style>
  <w:style w:type="paragraph" w:styleId="Heading2">
    <w:name w:val="heading 2"/>
    <w:basedOn w:val="Normal"/>
    <w:qFormat/>
    <w:rsid w:val="00F36C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43F7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rsid w:val="00E979A4"/>
    <w:rPr>
      <w:lang w:val="en-US" w:eastAsia="en-US"/>
    </w:rPr>
  </w:style>
  <w:style w:type="paragraph" w:styleId="PlainText">
    <w:name w:val="Plain Text"/>
    <w:basedOn w:val="Normal"/>
    <w:link w:val="PlainTextChar"/>
    <w:uiPriority w:val="99"/>
    <w:rsid w:val="00F36C1B"/>
    <w:rPr>
      <w:rFonts w:ascii="Courier New" w:hAnsi="Courier New" w:cs="Courier New"/>
      <w:sz w:val="20"/>
      <w:szCs w:val="20"/>
    </w:rPr>
  </w:style>
  <w:style w:type="paragraph" w:styleId="z-BottomofForm">
    <w:name w:val="HTML Bottom of Form"/>
    <w:basedOn w:val="Normal"/>
    <w:next w:val="Normal"/>
    <w:hidden/>
    <w:rsid w:val="00F36C1B"/>
    <w:pPr>
      <w:pBdr>
        <w:top w:val="single" w:sz="6" w:space="1" w:color="auto"/>
      </w:pBdr>
      <w:jc w:val="center"/>
    </w:pPr>
    <w:rPr>
      <w:rFonts w:ascii="Arial" w:hAnsi="Arial" w:cs="Arial"/>
      <w:vanish/>
      <w:sz w:val="16"/>
      <w:szCs w:val="16"/>
    </w:rPr>
  </w:style>
  <w:style w:type="paragraph" w:styleId="HTMLPreformatted">
    <w:name w:val="HTML Preformatted"/>
    <w:basedOn w:val="Normal"/>
    <w:link w:val="HTMLPreformattedChar"/>
    <w:uiPriority w:val="99"/>
    <w:rsid w:val="00F3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semiHidden/>
    <w:rsid w:val="00F36C1B"/>
    <w:rPr>
      <w:sz w:val="20"/>
      <w:szCs w:val="20"/>
    </w:rPr>
  </w:style>
  <w:style w:type="character" w:styleId="FootnoteReference">
    <w:name w:val="footnote reference"/>
    <w:basedOn w:val="DefaultParagraphFont"/>
    <w:semiHidden/>
    <w:rsid w:val="00F36C1B"/>
    <w:rPr>
      <w:vertAlign w:val="superscript"/>
    </w:rPr>
  </w:style>
  <w:style w:type="paragraph" w:styleId="BalloonText">
    <w:name w:val="Balloon Text"/>
    <w:basedOn w:val="Normal"/>
    <w:semiHidden/>
    <w:rsid w:val="00F36C1B"/>
    <w:rPr>
      <w:rFonts w:ascii="Tahoma" w:hAnsi="Tahoma" w:cs="Tahoma"/>
      <w:sz w:val="16"/>
      <w:szCs w:val="16"/>
    </w:rPr>
  </w:style>
  <w:style w:type="character" w:styleId="CommentReference">
    <w:name w:val="annotation reference"/>
    <w:basedOn w:val="DefaultParagraphFont"/>
    <w:semiHidden/>
    <w:rsid w:val="00F36C1B"/>
    <w:rPr>
      <w:sz w:val="16"/>
      <w:szCs w:val="16"/>
    </w:rPr>
  </w:style>
  <w:style w:type="paragraph" w:styleId="CommentText">
    <w:name w:val="annotation text"/>
    <w:basedOn w:val="Normal"/>
    <w:link w:val="CommentTextChar"/>
    <w:semiHidden/>
    <w:rsid w:val="00550007"/>
    <w:rPr>
      <w:sz w:val="20"/>
      <w:szCs w:val="20"/>
    </w:rPr>
  </w:style>
  <w:style w:type="paragraph" w:styleId="CommentSubject">
    <w:name w:val="annotation subject"/>
    <w:basedOn w:val="CommentText"/>
    <w:next w:val="CommentText"/>
    <w:semiHidden/>
    <w:rsid w:val="00F36C1B"/>
    <w:rPr>
      <w:b/>
      <w:bCs/>
    </w:rPr>
  </w:style>
  <w:style w:type="character" w:styleId="Hyperlink">
    <w:name w:val="Hyperlink"/>
    <w:basedOn w:val="DefaultParagraphFont"/>
    <w:uiPriority w:val="99"/>
    <w:rsid w:val="00F36C1B"/>
    <w:rPr>
      <w:color w:val="0000FF"/>
      <w:u w:val="single"/>
    </w:rPr>
  </w:style>
  <w:style w:type="character" w:customStyle="1" w:styleId="CharChar1">
    <w:name w:val="Char Char1"/>
    <w:basedOn w:val="DefaultParagraphFont"/>
    <w:semiHidden/>
    <w:rsid w:val="00F36C1B"/>
    <w:rPr>
      <w:lang w:val="en-US" w:eastAsia="en-US"/>
    </w:rPr>
  </w:style>
  <w:style w:type="paragraph" w:styleId="Footer">
    <w:name w:val="footer"/>
    <w:basedOn w:val="Normal"/>
    <w:rsid w:val="00F36C1B"/>
    <w:pPr>
      <w:tabs>
        <w:tab w:val="center" w:pos="4320"/>
        <w:tab w:val="right" w:pos="8640"/>
      </w:tabs>
    </w:pPr>
  </w:style>
  <w:style w:type="character" w:styleId="PageNumber">
    <w:name w:val="page number"/>
    <w:basedOn w:val="DefaultParagraphFont"/>
    <w:rsid w:val="00F36C1B"/>
  </w:style>
  <w:style w:type="character" w:customStyle="1" w:styleId="ptbrand4">
    <w:name w:val="ptbrand4"/>
    <w:basedOn w:val="DefaultParagraphFont"/>
    <w:rsid w:val="00F36C1B"/>
  </w:style>
  <w:style w:type="character" w:customStyle="1" w:styleId="binding4">
    <w:name w:val="binding4"/>
    <w:basedOn w:val="DefaultParagraphFont"/>
    <w:rsid w:val="00F36C1B"/>
  </w:style>
  <w:style w:type="character" w:customStyle="1" w:styleId="format4">
    <w:name w:val="format4"/>
    <w:basedOn w:val="DefaultParagraphFont"/>
    <w:rsid w:val="00F36C1B"/>
  </w:style>
  <w:style w:type="paragraph" w:customStyle="1" w:styleId="Default">
    <w:name w:val="Default"/>
    <w:rsid w:val="00F36C1B"/>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F36C1B"/>
    <w:pPr>
      <w:tabs>
        <w:tab w:val="center" w:pos="4320"/>
        <w:tab w:val="right" w:pos="8640"/>
      </w:tabs>
    </w:pPr>
  </w:style>
  <w:style w:type="character" w:styleId="Emphasis">
    <w:name w:val="Emphasis"/>
    <w:basedOn w:val="DefaultParagraphFont"/>
    <w:uiPriority w:val="20"/>
    <w:qFormat/>
    <w:rsid w:val="00F36C1B"/>
    <w:rPr>
      <w:i/>
      <w:iCs/>
    </w:rPr>
  </w:style>
  <w:style w:type="paragraph" w:styleId="Revision">
    <w:name w:val="Revision"/>
    <w:hidden/>
    <w:semiHidden/>
    <w:rsid w:val="00F36C1B"/>
    <w:rPr>
      <w:sz w:val="24"/>
      <w:szCs w:val="24"/>
    </w:rPr>
  </w:style>
  <w:style w:type="character" w:customStyle="1" w:styleId="CharChar">
    <w:name w:val="Char Char"/>
    <w:basedOn w:val="DefaultParagraphFont"/>
    <w:rsid w:val="00F36C1B"/>
    <w:rPr>
      <w:sz w:val="24"/>
      <w:szCs w:val="24"/>
      <w:lang w:val="en-US" w:eastAsia="en-US"/>
    </w:rPr>
  </w:style>
  <w:style w:type="character" w:customStyle="1" w:styleId="searchword">
    <w:name w:val="searchword"/>
    <w:basedOn w:val="DefaultParagraphFont"/>
    <w:rsid w:val="00F36C1B"/>
    <w:rPr>
      <w:shd w:val="clear" w:color="auto" w:fill="FFFF00"/>
    </w:rPr>
  </w:style>
  <w:style w:type="character" w:customStyle="1" w:styleId="CommentTextChar">
    <w:name w:val="Comment Text Char"/>
    <w:basedOn w:val="DefaultParagraphFont"/>
    <w:link w:val="CommentText"/>
    <w:semiHidden/>
    <w:rsid w:val="00550007"/>
  </w:style>
  <w:style w:type="character" w:customStyle="1" w:styleId="hithilite1">
    <w:name w:val="hithilite1"/>
    <w:basedOn w:val="DefaultParagraphFont"/>
    <w:rsid w:val="00EF36BB"/>
    <w:rPr>
      <w:shd w:val="clear" w:color="auto" w:fill="FFF3C6"/>
    </w:rPr>
  </w:style>
  <w:style w:type="table" w:styleId="TableGrid">
    <w:name w:val="Table Grid"/>
    <w:basedOn w:val="TableNormal"/>
    <w:rsid w:val="00915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717D54"/>
    <w:rPr>
      <w:rFonts w:ascii="Courier New" w:hAnsi="Courier New" w:cs="Courier New"/>
    </w:rPr>
  </w:style>
  <w:style w:type="character" w:customStyle="1" w:styleId="PlainTextChar">
    <w:name w:val="Plain Text Char"/>
    <w:basedOn w:val="DefaultParagraphFont"/>
    <w:link w:val="PlainText"/>
    <w:uiPriority w:val="99"/>
    <w:rsid w:val="00CA250C"/>
    <w:rPr>
      <w:rFonts w:ascii="Courier New" w:hAnsi="Courier New" w:cs="Courier New"/>
    </w:rPr>
  </w:style>
  <w:style w:type="character" w:customStyle="1" w:styleId="apple-style-span">
    <w:name w:val="apple-style-span"/>
    <w:basedOn w:val="DefaultParagraphFont"/>
    <w:rsid w:val="00B86D95"/>
  </w:style>
  <w:style w:type="character" w:customStyle="1" w:styleId="apple-converted-space">
    <w:name w:val="apple-converted-space"/>
    <w:basedOn w:val="DefaultParagraphFont"/>
    <w:rsid w:val="00B86D95"/>
  </w:style>
  <w:style w:type="character" w:styleId="Strong">
    <w:name w:val="Strong"/>
    <w:basedOn w:val="DefaultParagraphFont"/>
    <w:qFormat/>
    <w:rsid w:val="00B86D95"/>
    <w:rPr>
      <w:b/>
      <w:bCs/>
    </w:rPr>
  </w:style>
  <w:style w:type="character" w:customStyle="1" w:styleId="Heading3Char">
    <w:name w:val="Heading 3 Char"/>
    <w:basedOn w:val="DefaultParagraphFont"/>
    <w:link w:val="Heading3"/>
    <w:uiPriority w:val="9"/>
    <w:rsid w:val="00A43F7C"/>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C1B"/>
    <w:rPr>
      <w:sz w:val="24"/>
      <w:szCs w:val="24"/>
    </w:rPr>
  </w:style>
  <w:style w:type="paragraph" w:styleId="Heading2">
    <w:name w:val="heading 2"/>
    <w:basedOn w:val="Normal"/>
    <w:qFormat/>
    <w:rsid w:val="00F36C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43F7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rsid w:val="00E979A4"/>
    <w:rPr>
      <w:lang w:val="en-US" w:eastAsia="en-US"/>
    </w:rPr>
  </w:style>
  <w:style w:type="paragraph" w:styleId="PlainText">
    <w:name w:val="Plain Text"/>
    <w:basedOn w:val="Normal"/>
    <w:link w:val="PlainTextChar"/>
    <w:uiPriority w:val="99"/>
    <w:rsid w:val="00F36C1B"/>
    <w:rPr>
      <w:rFonts w:ascii="Courier New" w:hAnsi="Courier New" w:cs="Courier New"/>
      <w:sz w:val="20"/>
      <w:szCs w:val="20"/>
    </w:rPr>
  </w:style>
  <w:style w:type="paragraph" w:styleId="z-BottomofForm">
    <w:name w:val="HTML Bottom of Form"/>
    <w:basedOn w:val="Normal"/>
    <w:next w:val="Normal"/>
    <w:hidden/>
    <w:rsid w:val="00F36C1B"/>
    <w:pPr>
      <w:pBdr>
        <w:top w:val="single" w:sz="6" w:space="1" w:color="auto"/>
      </w:pBdr>
      <w:jc w:val="center"/>
    </w:pPr>
    <w:rPr>
      <w:rFonts w:ascii="Arial" w:hAnsi="Arial" w:cs="Arial"/>
      <w:vanish/>
      <w:sz w:val="16"/>
      <w:szCs w:val="16"/>
    </w:rPr>
  </w:style>
  <w:style w:type="paragraph" w:styleId="HTMLPreformatted">
    <w:name w:val="HTML Preformatted"/>
    <w:basedOn w:val="Normal"/>
    <w:link w:val="HTMLPreformattedChar"/>
    <w:uiPriority w:val="99"/>
    <w:rsid w:val="00F3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semiHidden/>
    <w:rsid w:val="00F36C1B"/>
    <w:rPr>
      <w:sz w:val="20"/>
      <w:szCs w:val="20"/>
    </w:rPr>
  </w:style>
  <w:style w:type="character" w:styleId="FootnoteReference">
    <w:name w:val="footnote reference"/>
    <w:basedOn w:val="DefaultParagraphFont"/>
    <w:semiHidden/>
    <w:rsid w:val="00F36C1B"/>
    <w:rPr>
      <w:vertAlign w:val="superscript"/>
    </w:rPr>
  </w:style>
  <w:style w:type="paragraph" w:styleId="BalloonText">
    <w:name w:val="Balloon Text"/>
    <w:basedOn w:val="Normal"/>
    <w:semiHidden/>
    <w:rsid w:val="00F36C1B"/>
    <w:rPr>
      <w:rFonts w:ascii="Tahoma" w:hAnsi="Tahoma" w:cs="Tahoma"/>
      <w:sz w:val="16"/>
      <w:szCs w:val="16"/>
    </w:rPr>
  </w:style>
  <w:style w:type="character" w:styleId="CommentReference">
    <w:name w:val="annotation reference"/>
    <w:basedOn w:val="DefaultParagraphFont"/>
    <w:semiHidden/>
    <w:rsid w:val="00F36C1B"/>
    <w:rPr>
      <w:sz w:val="16"/>
      <w:szCs w:val="16"/>
    </w:rPr>
  </w:style>
  <w:style w:type="paragraph" w:styleId="CommentText">
    <w:name w:val="annotation text"/>
    <w:basedOn w:val="Normal"/>
    <w:link w:val="CommentTextChar"/>
    <w:semiHidden/>
    <w:rsid w:val="00550007"/>
    <w:rPr>
      <w:sz w:val="20"/>
      <w:szCs w:val="20"/>
    </w:rPr>
  </w:style>
  <w:style w:type="paragraph" w:styleId="CommentSubject">
    <w:name w:val="annotation subject"/>
    <w:basedOn w:val="CommentText"/>
    <w:next w:val="CommentText"/>
    <w:semiHidden/>
    <w:rsid w:val="00F36C1B"/>
    <w:rPr>
      <w:b/>
      <w:bCs/>
    </w:rPr>
  </w:style>
  <w:style w:type="character" w:styleId="Hyperlink">
    <w:name w:val="Hyperlink"/>
    <w:basedOn w:val="DefaultParagraphFont"/>
    <w:uiPriority w:val="99"/>
    <w:rsid w:val="00F36C1B"/>
    <w:rPr>
      <w:color w:val="0000FF"/>
      <w:u w:val="single"/>
    </w:rPr>
  </w:style>
  <w:style w:type="character" w:customStyle="1" w:styleId="CharChar1">
    <w:name w:val="Char Char1"/>
    <w:basedOn w:val="DefaultParagraphFont"/>
    <w:semiHidden/>
    <w:rsid w:val="00F36C1B"/>
    <w:rPr>
      <w:lang w:val="en-US" w:eastAsia="en-US"/>
    </w:rPr>
  </w:style>
  <w:style w:type="paragraph" w:styleId="Footer">
    <w:name w:val="footer"/>
    <w:basedOn w:val="Normal"/>
    <w:rsid w:val="00F36C1B"/>
    <w:pPr>
      <w:tabs>
        <w:tab w:val="center" w:pos="4320"/>
        <w:tab w:val="right" w:pos="8640"/>
      </w:tabs>
    </w:pPr>
  </w:style>
  <w:style w:type="character" w:styleId="PageNumber">
    <w:name w:val="page number"/>
    <w:basedOn w:val="DefaultParagraphFont"/>
    <w:rsid w:val="00F36C1B"/>
  </w:style>
  <w:style w:type="character" w:customStyle="1" w:styleId="ptbrand4">
    <w:name w:val="ptbrand4"/>
    <w:basedOn w:val="DefaultParagraphFont"/>
    <w:rsid w:val="00F36C1B"/>
  </w:style>
  <w:style w:type="character" w:customStyle="1" w:styleId="binding4">
    <w:name w:val="binding4"/>
    <w:basedOn w:val="DefaultParagraphFont"/>
    <w:rsid w:val="00F36C1B"/>
  </w:style>
  <w:style w:type="character" w:customStyle="1" w:styleId="format4">
    <w:name w:val="format4"/>
    <w:basedOn w:val="DefaultParagraphFont"/>
    <w:rsid w:val="00F36C1B"/>
  </w:style>
  <w:style w:type="paragraph" w:customStyle="1" w:styleId="Default">
    <w:name w:val="Default"/>
    <w:rsid w:val="00F36C1B"/>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rsid w:val="00F36C1B"/>
    <w:pPr>
      <w:tabs>
        <w:tab w:val="center" w:pos="4320"/>
        <w:tab w:val="right" w:pos="8640"/>
      </w:tabs>
    </w:pPr>
  </w:style>
  <w:style w:type="character" w:styleId="Emphasis">
    <w:name w:val="Emphasis"/>
    <w:basedOn w:val="DefaultParagraphFont"/>
    <w:uiPriority w:val="20"/>
    <w:qFormat/>
    <w:rsid w:val="00F36C1B"/>
    <w:rPr>
      <w:i/>
      <w:iCs/>
    </w:rPr>
  </w:style>
  <w:style w:type="paragraph" w:styleId="Revision">
    <w:name w:val="Revision"/>
    <w:hidden/>
    <w:semiHidden/>
    <w:rsid w:val="00F36C1B"/>
    <w:rPr>
      <w:sz w:val="24"/>
      <w:szCs w:val="24"/>
    </w:rPr>
  </w:style>
  <w:style w:type="character" w:customStyle="1" w:styleId="CharChar">
    <w:name w:val="Char Char"/>
    <w:basedOn w:val="DefaultParagraphFont"/>
    <w:rsid w:val="00F36C1B"/>
    <w:rPr>
      <w:sz w:val="24"/>
      <w:szCs w:val="24"/>
      <w:lang w:val="en-US" w:eastAsia="en-US"/>
    </w:rPr>
  </w:style>
  <w:style w:type="character" w:customStyle="1" w:styleId="searchword">
    <w:name w:val="searchword"/>
    <w:basedOn w:val="DefaultParagraphFont"/>
    <w:rsid w:val="00F36C1B"/>
    <w:rPr>
      <w:shd w:val="clear" w:color="auto" w:fill="FFFF00"/>
    </w:rPr>
  </w:style>
  <w:style w:type="character" w:customStyle="1" w:styleId="CommentTextChar">
    <w:name w:val="Comment Text Char"/>
    <w:basedOn w:val="DefaultParagraphFont"/>
    <w:link w:val="CommentText"/>
    <w:semiHidden/>
    <w:rsid w:val="00550007"/>
  </w:style>
  <w:style w:type="character" w:customStyle="1" w:styleId="hithilite1">
    <w:name w:val="hithilite1"/>
    <w:basedOn w:val="DefaultParagraphFont"/>
    <w:rsid w:val="00EF36BB"/>
    <w:rPr>
      <w:shd w:val="clear" w:color="auto" w:fill="FFF3C6"/>
    </w:rPr>
  </w:style>
  <w:style w:type="table" w:styleId="TableGrid">
    <w:name w:val="Table Grid"/>
    <w:basedOn w:val="TableNormal"/>
    <w:rsid w:val="009152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717D54"/>
    <w:rPr>
      <w:rFonts w:ascii="Courier New" w:hAnsi="Courier New" w:cs="Courier New"/>
    </w:rPr>
  </w:style>
  <w:style w:type="character" w:customStyle="1" w:styleId="PlainTextChar">
    <w:name w:val="Plain Text Char"/>
    <w:basedOn w:val="DefaultParagraphFont"/>
    <w:link w:val="PlainText"/>
    <w:uiPriority w:val="99"/>
    <w:rsid w:val="00CA250C"/>
    <w:rPr>
      <w:rFonts w:ascii="Courier New" w:hAnsi="Courier New" w:cs="Courier New"/>
    </w:rPr>
  </w:style>
  <w:style w:type="character" w:customStyle="1" w:styleId="apple-style-span">
    <w:name w:val="apple-style-span"/>
    <w:basedOn w:val="DefaultParagraphFont"/>
    <w:rsid w:val="00B86D95"/>
  </w:style>
  <w:style w:type="character" w:customStyle="1" w:styleId="apple-converted-space">
    <w:name w:val="apple-converted-space"/>
    <w:basedOn w:val="DefaultParagraphFont"/>
    <w:rsid w:val="00B86D95"/>
  </w:style>
  <w:style w:type="character" w:styleId="Strong">
    <w:name w:val="Strong"/>
    <w:basedOn w:val="DefaultParagraphFont"/>
    <w:qFormat/>
    <w:rsid w:val="00B86D95"/>
    <w:rPr>
      <w:b/>
      <w:bCs/>
    </w:rPr>
  </w:style>
  <w:style w:type="character" w:customStyle="1" w:styleId="Heading3Char">
    <w:name w:val="Heading 3 Char"/>
    <w:basedOn w:val="DefaultParagraphFont"/>
    <w:link w:val="Heading3"/>
    <w:uiPriority w:val="9"/>
    <w:rsid w:val="00A43F7C"/>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860">
      <w:bodyDiv w:val="1"/>
      <w:marLeft w:val="0"/>
      <w:marRight w:val="0"/>
      <w:marTop w:val="0"/>
      <w:marBottom w:val="0"/>
      <w:divBdr>
        <w:top w:val="none" w:sz="0" w:space="0" w:color="auto"/>
        <w:left w:val="none" w:sz="0" w:space="0" w:color="auto"/>
        <w:bottom w:val="none" w:sz="0" w:space="0" w:color="auto"/>
        <w:right w:val="none" w:sz="0" w:space="0" w:color="auto"/>
      </w:divBdr>
      <w:divsChild>
        <w:div w:id="15162141">
          <w:marLeft w:val="0"/>
          <w:marRight w:val="0"/>
          <w:marTop w:val="0"/>
          <w:marBottom w:val="0"/>
          <w:divBdr>
            <w:top w:val="none" w:sz="0" w:space="0" w:color="auto"/>
            <w:left w:val="none" w:sz="0" w:space="0" w:color="auto"/>
            <w:bottom w:val="none" w:sz="0" w:space="0" w:color="auto"/>
            <w:right w:val="none" w:sz="0" w:space="0" w:color="auto"/>
          </w:divBdr>
          <w:divsChild>
            <w:div w:id="2085759346">
              <w:marLeft w:val="0"/>
              <w:marRight w:val="0"/>
              <w:marTop w:val="0"/>
              <w:marBottom w:val="0"/>
              <w:divBdr>
                <w:top w:val="none" w:sz="0" w:space="0" w:color="auto"/>
                <w:left w:val="none" w:sz="0" w:space="0" w:color="auto"/>
                <w:bottom w:val="none" w:sz="0" w:space="0" w:color="auto"/>
                <w:right w:val="none" w:sz="0" w:space="0" w:color="auto"/>
              </w:divBdr>
              <w:divsChild>
                <w:div w:id="1278492012">
                  <w:marLeft w:val="0"/>
                  <w:marRight w:val="0"/>
                  <w:marTop w:val="0"/>
                  <w:marBottom w:val="0"/>
                  <w:divBdr>
                    <w:top w:val="none" w:sz="0" w:space="0" w:color="auto"/>
                    <w:left w:val="none" w:sz="0" w:space="0" w:color="auto"/>
                    <w:bottom w:val="none" w:sz="0" w:space="0" w:color="auto"/>
                    <w:right w:val="none" w:sz="0" w:space="0" w:color="auto"/>
                  </w:divBdr>
                  <w:divsChild>
                    <w:div w:id="1290671357">
                      <w:marLeft w:val="0"/>
                      <w:marRight w:val="0"/>
                      <w:marTop w:val="0"/>
                      <w:marBottom w:val="0"/>
                      <w:divBdr>
                        <w:top w:val="none" w:sz="0" w:space="0" w:color="auto"/>
                        <w:left w:val="none" w:sz="0" w:space="0" w:color="auto"/>
                        <w:bottom w:val="none" w:sz="0" w:space="0" w:color="auto"/>
                        <w:right w:val="none" w:sz="0" w:space="0" w:color="auto"/>
                      </w:divBdr>
                      <w:divsChild>
                        <w:div w:id="409474468">
                          <w:marLeft w:val="0"/>
                          <w:marRight w:val="0"/>
                          <w:marTop w:val="0"/>
                          <w:marBottom w:val="0"/>
                          <w:divBdr>
                            <w:top w:val="none" w:sz="0" w:space="0" w:color="auto"/>
                            <w:left w:val="none" w:sz="0" w:space="0" w:color="auto"/>
                            <w:bottom w:val="none" w:sz="0" w:space="0" w:color="auto"/>
                            <w:right w:val="none" w:sz="0" w:space="0" w:color="auto"/>
                          </w:divBdr>
                          <w:divsChild>
                            <w:div w:id="1461722510">
                              <w:marLeft w:val="0"/>
                              <w:marRight w:val="0"/>
                              <w:marTop w:val="0"/>
                              <w:marBottom w:val="0"/>
                              <w:divBdr>
                                <w:top w:val="none" w:sz="0" w:space="0" w:color="auto"/>
                                <w:left w:val="none" w:sz="0" w:space="0" w:color="auto"/>
                                <w:bottom w:val="none" w:sz="0" w:space="0" w:color="auto"/>
                                <w:right w:val="none" w:sz="0" w:space="0" w:color="auto"/>
                              </w:divBdr>
                            </w:div>
                            <w:div w:id="1915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3248">
      <w:bodyDiv w:val="1"/>
      <w:marLeft w:val="0"/>
      <w:marRight w:val="0"/>
      <w:marTop w:val="0"/>
      <w:marBottom w:val="0"/>
      <w:divBdr>
        <w:top w:val="none" w:sz="0" w:space="0" w:color="auto"/>
        <w:left w:val="none" w:sz="0" w:space="0" w:color="auto"/>
        <w:bottom w:val="none" w:sz="0" w:space="0" w:color="auto"/>
        <w:right w:val="none" w:sz="0" w:space="0" w:color="auto"/>
      </w:divBdr>
      <w:divsChild>
        <w:div w:id="406879711">
          <w:marLeft w:val="950"/>
          <w:marRight w:val="0"/>
          <w:marTop w:val="173"/>
          <w:marBottom w:val="0"/>
          <w:divBdr>
            <w:top w:val="none" w:sz="0" w:space="0" w:color="auto"/>
            <w:left w:val="none" w:sz="0" w:space="0" w:color="auto"/>
            <w:bottom w:val="none" w:sz="0" w:space="0" w:color="auto"/>
            <w:right w:val="none" w:sz="0" w:space="0" w:color="auto"/>
          </w:divBdr>
        </w:div>
      </w:divsChild>
    </w:div>
    <w:div w:id="461505770">
      <w:bodyDiv w:val="1"/>
      <w:marLeft w:val="0"/>
      <w:marRight w:val="0"/>
      <w:marTop w:val="0"/>
      <w:marBottom w:val="0"/>
      <w:divBdr>
        <w:top w:val="none" w:sz="0" w:space="0" w:color="auto"/>
        <w:left w:val="none" w:sz="0" w:space="0" w:color="auto"/>
        <w:bottom w:val="none" w:sz="0" w:space="0" w:color="auto"/>
        <w:right w:val="none" w:sz="0" w:space="0" w:color="auto"/>
      </w:divBdr>
      <w:divsChild>
        <w:div w:id="704645875">
          <w:marLeft w:val="0"/>
          <w:marRight w:val="0"/>
          <w:marTop w:val="0"/>
          <w:marBottom w:val="0"/>
          <w:divBdr>
            <w:top w:val="none" w:sz="0" w:space="0" w:color="auto"/>
            <w:left w:val="none" w:sz="0" w:space="0" w:color="auto"/>
            <w:bottom w:val="none" w:sz="0" w:space="0" w:color="auto"/>
            <w:right w:val="none" w:sz="0" w:space="0" w:color="auto"/>
          </w:divBdr>
          <w:divsChild>
            <w:div w:id="7500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53">
      <w:bodyDiv w:val="1"/>
      <w:marLeft w:val="0"/>
      <w:marRight w:val="0"/>
      <w:marTop w:val="0"/>
      <w:marBottom w:val="0"/>
      <w:divBdr>
        <w:top w:val="none" w:sz="0" w:space="0" w:color="auto"/>
        <w:left w:val="none" w:sz="0" w:space="0" w:color="auto"/>
        <w:bottom w:val="none" w:sz="0" w:space="0" w:color="auto"/>
        <w:right w:val="none" w:sz="0" w:space="0" w:color="auto"/>
      </w:divBdr>
    </w:div>
    <w:div w:id="552889279">
      <w:bodyDiv w:val="1"/>
      <w:marLeft w:val="0"/>
      <w:marRight w:val="0"/>
      <w:marTop w:val="0"/>
      <w:marBottom w:val="0"/>
      <w:divBdr>
        <w:top w:val="none" w:sz="0" w:space="0" w:color="auto"/>
        <w:left w:val="none" w:sz="0" w:space="0" w:color="auto"/>
        <w:bottom w:val="none" w:sz="0" w:space="0" w:color="auto"/>
        <w:right w:val="none" w:sz="0" w:space="0" w:color="auto"/>
      </w:divBdr>
      <w:divsChild>
        <w:div w:id="916980954">
          <w:marLeft w:val="120"/>
          <w:marRight w:val="75"/>
          <w:marTop w:val="0"/>
          <w:marBottom w:val="0"/>
          <w:divBdr>
            <w:top w:val="none" w:sz="0" w:space="0" w:color="auto"/>
            <w:left w:val="none" w:sz="0" w:space="0" w:color="auto"/>
            <w:bottom w:val="none" w:sz="0" w:space="0" w:color="auto"/>
            <w:right w:val="none" w:sz="0" w:space="0" w:color="auto"/>
          </w:divBdr>
          <w:divsChild>
            <w:div w:id="628896946">
              <w:marLeft w:val="0"/>
              <w:marRight w:val="0"/>
              <w:marTop w:val="0"/>
              <w:marBottom w:val="0"/>
              <w:divBdr>
                <w:top w:val="none" w:sz="0" w:space="0" w:color="auto"/>
                <w:left w:val="none" w:sz="0" w:space="0" w:color="auto"/>
                <w:bottom w:val="none" w:sz="0" w:space="0" w:color="auto"/>
                <w:right w:val="none" w:sz="0" w:space="0" w:color="auto"/>
              </w:divBdr>
              <w:divsChild>
                <w:div w:id="220362177">
                  <w:marLeft w:val="0"/>
                  <w:marRight w:val="0"/>
                  <w:marTop w:val="0"/>
                  <w:marBottom w:val="0"/>
                  <w:divBdr>
                    <w:top w:val="none" w:sz="0" w:space="0" w:color="auto"/>
                    <w:left w:val="none" w:sz="0" w:space="0" w:color="auto"/>
                    <w:bottom w:val="none" w:sz="0" w:space="0" w:color="auto"/>
                    <w:right w:val="none" w:sz="0" w:space="0" w:color="auto"/>
                  </w:divBdr>
                  <w:divsChild>
                    <w:div w:id="101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2788">
      <w:bodyDiv w:val="1"/>
      <w:marLeft w:val="0"/>
      <w:marRight w:val="0"/>
      <w:marTop w:val="0"/>
      <w:marBottom w:val="0"/>
      <w:divBdr>
        <w:top w:val="none" w:sz="0" w:space="0" w:color="auto"/>
        <w:left w:val="none" w:sz="0" w:space="0" w:color="auto"/>
        <w:bottom w:val="none" w:sz="0" w:space="0" w:color="auto"/>
        <w:right w:val="none" w:sz="0" w:space="0" w:color="auto"/>
      </w:divBdr>
      <w:divsChild>
        <w:div w:id="1851095797">
          <w:marLeft w:val="0"/>
          <w:marRight w:val="0"/>
          <w:marTop w:val="0"/>
          <w:marBottom w:val="0"/>
          <w:divBdr>
            <w:top w:val="none" w:sz="0" w:space="0" w:color="auto"/>
            <w:left w:val="none" w:sz="0" w:space="0" w:color="auto"/>
            <w:bottom w:val="none" w:sz="0" w:space="0" w:color="auto"/>
            <w:right w:val="none" w:sz="0" w:space="0" w:color="auto"/>
          </w:divBdr>
          <w:divsChild>
            <w:div w:id="164784238">
              <w:marLeft w:val="0"/>
              <w:marRight w:val="0"/>
              <w:marTop w:val="0"/>
              <w:marBottom w:val="0"/>
              <w:divBdr>
                <w:top w:val="none" w:sz="0" w:space="0" w:color="auto"/>
                <w:left w:val="none" w:sz="0" w:space="0" w:color="auto"/>
                <w:bottom w:val="none" w:sz="0" w:space="0" w:color="auto"/>
                <w:right w:val="none" w:sz="0" w:space="0" w:color="auto"/>
              </w:divBdr>
              <w:divsChild>
                <w:div w:id="2113669888">
                  <w:marLeft w:val="0"/>
                  <w:marRight w:val="0"/>
                  <w:marTop w:val="0"/>
                  <w:marBottom w:val="0"/>
                  <w:divBdr>
                    <w:top w:val="none" w:sz="0" w:space="0" w:color="auto"/>
                    <w:left w:val="none" w:sz="0" w:space="0" w:color="auto"/>
                    <w:bottom w:val="none" w:sz="0" w:space="0" w:color="auto"/>
                    <w:right w:val="none" w:sz="0" w:space="0" w:color="auto"/>
                  </w:divBdr>
                  <w:divsChild>
                    <w:div w:id="2036423619">
                      <w:marLeft w:val="0"/>
                      <w:marRight w:val="0"/>
                      <w:marTop w:val="0"/>
                      <w:marBottom w:val="0"/>
                      <w:divBdr>
                        <w:top w:val="none" w:sz="0" w:space="0" w:color="auto"/>
                        <w:left w:val="none" w:sz="0" w:space="0" w:color="auto"/>
                        <w:bottom w:val="none" w:sz="0" w:space="0" w:color="auto"/>
                        <w:right w:val="none" w:sz="0" w:space="0" w:color="auto"/>
                      </w:divBdr>
                      <w:divsChild>
                        <w:div w:id="1826051074">
                          <w:marLeft w:val="0"/>
                          <w:marRight w:val="0"/>
                          <w:marTop w:val="0"/>
                          <w:marBottom w:val="0"/>
                          <w:divBdr>
                            <w:top w:val="none" w:sz="0" w:space="0" w:color="auto"/>
                            <w:left w:val="none" w:sz="0" w:space="0" w:color="auto"/>
                            <w:bottom w:val="none" w:sz="0" w:space="0" w:color="auto"/>
                            <w:right w:val="none" w:sz="0" w:space="0" w:color="auto"/>
                          </w:divBdr>
                          <w:divsChild>
                            <w:div w:id="1190921078">
                              <w:marLeft w:val="0"/>
                              <w:marRight w:val="0"/>
                              <w:marTop w:val="0"/>
                              <w:marBottom w:val="0"/>
                              <w:divBdr>
                                <w:top w:val="none" w:sz="0" w:space="0" w:color="auto"/>
                                <w:left w:val="none" w:sz="0" w:space="0" w:color="auto"/>
                                <w:bottom w:val="none" w:sz="0" w:space="0" w:color="auto"/>
                                <w:right w:val="none" w:sz="0" w:space="0" w:color="auto"/>
                              </w:divBdr>
                            </w:div>
                            <w:div w:id="13316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3386">
      <w:bodyDiv w:val="1"/>
      <w:marLeft w:val="0"/>
      <w:marRight w:val="0"/>
      <w:marTop w:val="0"/>
      <w:marBottom w:val="0"/>
      <w:divBdr>
        <w:top w:val="none" w:sz="0" w:space="0" w:color="auto"/>
        <w:left w:val="none" w:sz="0" w:space="0" w:color="auto"/>
        <w:bottom w:val="none" w:sz="0" w:space="0" w:color="auto"/>
        <w:right w:val="none" w:sz="0" w:space="0" w:color="auto"/>
      </w:divBdr>
    </w:div>
    <w:div w:id="1159231103">
      <w:bodyDiv w:val="1"/>
      <w:marLeft w:val="0"/>
      <w:marRight w:val="0"/>
      <w:marTop w:val="0"/>
      <w:marBottom w:val="0"/>
      <w:divBdr>
        <w:top w:val="none" w:sz="0" w:space="0" w:color="auto"/>
        <w:left w:val="none" w:sz="0" w:space="0" w:color="auto"/>
        <w:bottom w:val="none" w:sz="0" w:space="0" w:color="auto"/>
        <w:right w:val="none" w:sz="0" w:space="0" w:color="auto"/>
      </w:divBdr>
      <w:divsChild>
        <w:div w:id="1120759127">
          <w:marLeft w:val="0"/>
          <w:marRight w:val="0"/>
          <w:marTop w:val="0"/>
          <w:marBottom w:val="0"/>
          <w:divBdr>
            <w:top w:val="none" w:sz="0" w:space="0" w:color="auto"/>
            <w:left w:val="none" w:sz="0" w:space="0" w:color="auto"/>
            <w:bottom w:val="none" w:sz="0" w:space="0" w:color="auto"/>
            <w:right w:val="none" w:sz="0" w:space="0" w:color="auto"/>
          </w:divBdr>
          <w:divsChild>
            <w:div w:id="933628887">
              <w:marLeft w:val="0"/>
              <w:marRight w:val="0"/>
              <w:marTop w:val="0"/>
              <w:marBottom w:val="0"/>
              <w:divBdr>
                <w:top w:val="none" w:sz="0" w:space="0" w:color="auto"/>
                <w:left w:val="none" w:sz="0" w:space="0" w:color="auto"/>
                <w:bottom w:val="none" w:sz="0" w:space="0" w:color="auto"/>
                <w:right w:val="none" w:sz="0" w:space="0" w:color="auto"/>
              </w:divBdr>
              <w:divsChild>
                <w:div w:id="1069578096">
                  <w:marLeft w:val="0"/>
                  <w:marRight w:val="0"/>
                  <w:marTop w:val="0"/>
                  <w:marBottom w:val="0"/>
                  <w:divBdr>
                    <w:top w:val="none" w:sz="0" w:space="0" w:color="auto"/>
                    <w:left w:val="none" w:sz="0" w:space="0" w:color="auto"/>
                    <w:bottom w:val="none" w:sz="0" w:space="0" w:color="auto"/>
                    <w:right w:val="none" w:sz="0" w:space="0" w:color="auto"/>
                  </w:divBdr>
                  <w:divsChild>
                    <w:div w:id="96366418">
                      <w:marLeft w:val="0"/>
                      <w:marRight w:val="0"/>
                      <w:marTop w:val="0"/>
                      <w:marBottom w:val="0"/>
                      <w:divBdr>
                        <w:top w:val="none" w:sz="0" w:space="0" w:color="auto"/>
                        <w:left w:val="none" w:sz="0" w:space="0" w:color="auto"/>
                        <w:bottom w:val="none" w:sz="0" w:space="0" w:color="auto"/>
                        <w:right w:val="none" w:sz="0" w:space="0" w:color="auto"/>
                      </w:divBdr>
                      <w:divsChild>
                        <w:div w:id="2017076981">
                          <w:marLeft w:val="0"/>
                          <w:marRight w:val="0"/>
                          <w:marTop w:val="0"/>
                          <w:marBottom w:val="0"/>
                          <w:divBdr>
                            <w:top w:val="none" w:sz="0" w:space="0" w:color="auto"/>
                            <w:left w:val="none" w:sz="0" w:space="0" w:color="auto"/>
                            <w:bottom w:val="none" w:sz="0" w:space="0" w:color="auto"/>
                            <w:right w:val="none" w:sz="0" w:space="0" w:color="auto"/>
                          </w:divBdr>
                          <w:divsChild>
                            <w:div w:id="759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61581">
      <w:bodyDiv w:val="1"/>
      <w:marLeft w:val="0"/>
      <w:marRight w:val="0"/>
      <w:marTop w:val="0"/>
      <w:marBottom w:val="0"/>
      <w:divBdr>
        <w:top w:val="none" w:sz="0" w:space="0" w:color="auto"/>
        <w:left w:val="none" w:sz="0" w:space="0" w:color="auto"/>
        <w:bottom w:val="none" w:sz="0" w:space="0" w:color="auto"/>
        <w:right w:val="none" w:sz="0" w:space="0" w:color="auto"/>
      </w:divBdr>
      <w:divsChild>
        <w:div w:id="1069771392">
          <w:marLeft w:val="950"/>
          <w:marRight w:val="0"/>
          <w:marTop w:val="173"/>
          <w:marBottom w:val="0"/>
          <w:divBdr>
            <w:top w:val="none" w:sz="0" w:space="0" w:color="auto"/>
            <w:left w:val="none" w:sz="0" w:space="0" w:color="auto"/>
            <w:bottom w:val="none" w:sz="0" w:space="0" w:color="auto"/>
            <w:right w:val="none" w:sz="0" w:space="0" w:color="auto"/>
          </w:divBdr>
        </w:div>
      </w:divsChild>
    </w:div>
    <w:div w:id="1342732492">
      <w:bodyDiv w:val="1"/>
      <w:marLeft w:val="3"/>
      <w:marRight w:val="3"/>
      <w:marTop w:val="0"/>
      <w:marBottom w:val="0"/>
      <w:divBdr>
        <w:top w:val="none" w:sz="0" w:space="0" w:color="auto"/>
        <w:left w:val="none" w:sz="0" w:space="0" w:color="auto"/>
        <w:bottom w:val="none" w:sz="0" w:space="0" w:color="auto"/>
        <w:right w:val="none" w:sz="0" w:space="0" w:color="auto"/>
      </w:divBdr>
      <w:divsChild>
        <w:div w:id="1117335781">
          <w:marLeft w:val="0"/>
          <w:marRight w:val="0"/>
          <w:marTop w:val="90"/>
          <w:marBottom w:val="0"/>
          <w:divBdr>
            <w:top w:val="none" w:sz="0" w:space="0" w:color="auto"/>
            <w:left w:val="none" w:sz="0" w:space="0" w:color="auto"/>
            <w:bottom w:val="none" w:sz="0" w:space="0" w:color="auto"/>
            <w:right w:val="none" w:sz="0" w:space="0" w:color="auto"/>
          </w:divBdr>
          <w:divsChild>
            <w:div w:id="785739472">
              <w:marLeft w:val="0"/>
              <w:marRight w:val="0"/>
              <w:marTop w:val="0"/>
              <w:marBottom w:val="0"/>
              <w:divBdr>
                <w:top w:val="none" w:sz="0" w:space="0" w:color="auto"/>
                <w:left w:val="none" w:sz="0" w:space="0" w:color="auto"/>
                <w:bottom w:val="none" w:sz="0" w:space="0" w:color="auto"/>
                <w:right w:val="none" w:sz="0" w:space="0" w:color="auto"/>
              </w:divBdr>
              <w:divsChild>
                <w:div w:id="516768911">
                  <w:marLeft w:val="0"/>
                  <w:marRight w:val="0"/>
                  <w:marTop w:val="0"/>
                  <w:marBottom w:val="0"/>
                  <w:divBdr>
                    <w:top w:val="none" w:sz="0" w:space="0" w:color="auto"/>
                    <w:left w:val="none" w:sz="0" w:space="0" w:color="auto"/>
                    <w:bottom w:val="none" w:sz="0" w:space="0" w:color="auto"/>
                    <w:right w:val="none" w:sz="0" w:space="0" w:color="auto"/>
                  </w:divBdr>
                  <w:divsChild>
                    <w:div w:id="459566749">
                      <w:marLeft w:val="0"/>
                      <w:marRight w:val="0"/>
                      <w:marTop w:val="0"/>
                      <w:marBottom w:val="0"/>
                      <w:divBdr>
                        <w:top w:val="none" w:sz="0" w:space="0" w:color="auto"/>
                        <w:left w:val="none" w:sz="0" w:space="0" w:color="auto"/>
                        <w:bottom w:val="none" w:sz="0" w:space="0" w:color="auto"/>
                        <w:right w:val="none" w:sz="0" w:space="0" w:color="auto"/>
                      </w:divBdr>
                      <w:divsChild>
                        <w:div w:id="479925197">
                          <w:marLeft w:val="0"/>
                          <w:marRight w:val="0"/>
                          <w:marTop w:val="0"/>
                          <w:marBottom w:val="0"/>
                          <w:divBdr>
                            <w:top w:val="none" w:sz="0" w:space="0" w:color="auto"/>
                            <w:left w:val="none" w:sz="0" w:space="0" w:color="auto"/>
                            <w:bottom w:val="none" w:sz="0" w:space="0" w:color="auto"/>
                            <w:right w:val="none" w:sz="0" w:space="0" w:color="auto"/>
                          </w:divBdr>
                          <w:divsChild>
                            <w:div w:id="144588375">
                              <w:marLeft w:val="1650"/>
                              <w:marRight w:val="0"/>
                              <w:marTop w:val="0"/>
                              <w:marBottom w:val="0"/>
                              <w:divBdr>
                                <w:top w:val="none" w:sz="0" w:space="0" w:color="auto"/>
                                <w:left w:val="none" w:sz="0" w:space="0" w:color="auto"/>
                                <w:bottom w:val="none" w:sz="0" w:space="0" w:color="auto"/>
                                <w:right w:val="none" w:sz="0" w:space="0" w:color="auto"/>
                              </w:divBdr>
                              <w:divsChild>
                                <w:div w:id="2129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49885">
      <w:bodyDiv w:val="1"/>
      <w:marLeft w:val="0"/>
      <w:marRight w:val="0"/>
      <w:marTop w:val="0"/>
      <w:marBottom w:val="0"/>
      <w:divBdr>
        <w:top w:val="none" w:sz="0" w:space="0" w:color="auto"/>
        <w:left w:val="none" w:sz="0" w:space="0" w:color="auto"/>
        <w:bottom w:val="none" w:sz="0" w:space="0" w:color="auto"/>
        <w:right w:val="none" w:sz="0" w:space="0" w:color="auto"/>
      </w:divBdr>
      <w:divsChild>
        <w:div w:id="1292514263">
          <w:marLeft w:val="0"/>
          <w:marRight w:val="0"/>
          <w:marTop w:val="0"/>
          <w:marBottom w:val="0"/>
          <w:divBdr>
            <w:top w:val="none" w:sz="0" w:space="0" w:color="auto"/>
            <w:left w:val="none" w:sz="0" w:space="0" w:color="auto"/>
            <w:bottom w:val="none" w:sz="0" w:space="0" w:color="auto"/>
            <w:right w:val="none" w:sz="0" w:space="0" w:color="auto"/>
          </w:divBdr>
          <w:divsChild>
            <w:div w:id="1707441490">
              <w:marLeft w:val="0"/>
              <w:marRight w:val="0"/>
              <w:marTop w:val="0"/>
              <w:marBottom w:val="0"/>
              <w:divBdr>
                <w:top w:val="none" w:sz="0" w:space="0" w:color="auto"/>
                <w:left w:val="none" w:sz="0" w:space="0" w:color="auto"/>
                <w:bottom w:val="none" w:sz="0" w:space="0" w:color="auto"/>
                <w:right w:val="none" w:sz="0" w:space="0" w:color="auto"/>
              </w:divBdr>
              <w:divsChild>
                <w:div w:id="532693713">
                  <w:marLeft w:val="0"/>
                  <w:marRight w:val="0"/>
                  <w:marTop w:val="0"/>
                  <w:marBottom w:val="0"/>
                  <w:divBdr>
                    <w:top w:val="none" w:sz="0" w:space="0" w:color="auto"/>
                    <w:left w:val="none" w:sz="0" w:space="0" w:color="auto"/>
                    <w:bottom w:val="none" w:sz="0" w:space="0" w:color="auto"/>
                    <w:right w:val="none" w:sz="0" w:space="0" w:color="auto"/>
                  </w:divBdr>
                  <w:divsChild>
                    <w:div w:id="1897205094">
                      <w:marLeft w:val="0"/>
                      <w:marRight w:val="0"/>
                      <w:marTop w:val="0"/>
                      <w:marBottom w:val="0"/>
                      <w:divBdr>
                        <w:top w:val="none" w:sz="0" w:space="0" w:color="auto"/>
                        <w:left w:val="none" w:sz="0" w:space="0" w:color="auto"/>
                        <w:bottom w:val="none" w:sz="0" w:space="0" w:color="auto"/>
                        <w:right w:val="none" w:sz="0" w:space="0" w:color="auto"/>
                      </w:divBdr>
                      <w:divsChild>
                        <w:div w:id="1583562589">
                          <w:marLeft w:val="0"/>
                          <w:marRight w:val="0"/>
                          <w:marTop w:val="0"/>
                          <w:marBottom w:val="0"/>
                          <w:divBdr>
                            <w:top w:val="none" w:sz="0" w:space="0" w:color="auto"/>
                            <w:left w:val="none" w:sz="0" w:space="0" w:color="auto"/>
                            <w:bottom w:val="none" w:sz="0" w:space="0" w:color="auto"/>
                            <w:right w:val="none" w:sz="0" w:space="0" w:color="auto"/>
                          </w:divBdr>
                          <w:divsChild>
                            <w:div w:id="1107848512">
                              <w:marLeft w:val="0"/>
                              <w:marRight w:val="0"/>
                              <w:marTop w:val="0"/>
                              <w:marBottom w:val="0"/>
                              <w:divBdr>
                                <w:top w:val="none" w:sz="0" w:space="0" w:color="auto"/>
                                <w:left w:val="none" w:sz="0" w:space="0" w:color="auto"/>
                                <w:bottom w:val="none" w:sz="0" w:space="0" w:color="auto"/>
                                <w:right w:val="none" w:sz="0" w:space="0" w:color="auto"/>
                              </w:divBdr>
                            </w:div>
                            <w:div w:id="1489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3217">
      <w:bodyDiv w:val="1"/>
      <w:marLeft w:val="0"/>
      <w:marRight w:val="0"/>
      <w:marTop w:val="0"/>
      <w:marBottom w:val="0"/>
      <w:divBdr>
        <w:top w:val="none" w:sz="0" w:space="0" w:color="auto"/>
        <w:left w:val="none" w:sz="0" w:space="0" w:color="auto"/>
        <w:bottom w:val="none" w:sz="0" w:space="0" w:color="auto"/>
        <w:right w:val="none" w:sz="0" w:space="0" w:color="auto"/>
      </w:divBdr>
      <w:divsChild>
        <w:div w:id="1710841651">
          <w:marLeft w:val="0"/>
          <w:marRight w:val="0"/>
          <w:marTop w:val="0"/>
          <w:marBottom w:val="0"/>
          <w:divBdr>
            <w:top w:val="none" w:sz="0" w:space="0" w:color="auto"/>
            <w:left w:val="none" w:sz="0" w:space="0" w:color="auto"/>
            <w:bottom w:val="none" w:sz="0" w:space="0" w:color="auto"/>
            <w:right w:val="none" w:sz="0" w:space="0" w:color="auto"/>
          </w:divBdr>
          <w:divsChild>
            <w:div w:id="2049138097">
              <w:marLeft w:val="0"/>
              <w:marRight w:val="0"/>
              <w:marTop w:val="0"/>
              <w:marBottom w:val="0"/>
              <w:divBdr>
                <w:top w:val="none" w:sz="0" w:space="0" w:color="auto"/>
                <w:left w:val="none" w:sz="0" w:space="0" w:color="auto"/>
                <w:bottom w:val="none" w:sz="0" w:space="0" w:color="auto"/>
                <w:right w:val="none" w:sz="0" w:space="0" w:color="auto"/>
              </w:divBdr>
              <w:divsChild>
                <w:div w:id="623269687">
                  <w:marLeft w:val="0"/>
                  <w:marRight w:val="0"/>
                  <w:marTop w:val="0"/>
                  <w:marBottom w:val="0"/>
                  <w:divBdr>
                    <w:top w:val="none" w:sz="0" w:space="0" w:color="auto"/>
                    <w:left w:val="none" w:sz="0" w:space="0" w:color="auto"/>
                    <w:bottom w:val="none" w:sz="0" w:space="0" w:color="auto"/>
                    <w:right w:val="none" w:sz="0" w:space="0" w:color="auto"/>
                  </w:divBdr>
                  <w:divsChild>
                    <w:div w:id="2002390004">
                      <w:marLeft w:val="0"/>
                      <w:marRight w:val="0"/>
                      <w:marTop w:val="0"/>
                      <w:marBottom w:val="0"/>
                      <w:divBdr>
                        <w:top w:val="none" w:sz="0" w:space="0" w:color="auto"/>
                        <w:left w:val="none" w:sz="0" w:space="0" w:color="auto"/>
                        <w:bottom w:val="none" w:sz="0" w:space="0" w:color="auto"/>
                        <w:right w:val="none" w:sz="0" w:space="0" w:color="auto"/>
                      </w:divBdr>
                      <w:divsChild>
                        <w:div w:id="762071755">
                          <w:marLeft w:val="0"/>
                          <w:marRight w:val="0"/>
                          <w:marTop w:val="0"/>
                          <w:marBottom w:val="0"/>
                          <w:divBdr>
                            <w:top w:val="none" w:sz="0" w:space="0" w:color="auto"/>
                            <w:left w:val="none" w:sz="0" w:space="0" w:color="auto"/>
                            <w:bottom w:val="none" w:sz="0" w:space="0" w:color="auto"/>
                            <w:right w:val="none" w:sz="0" w:space="0" w:color="auto"/>
                          </w:divBdr>
                          <w:divsChild>
                            <w:div w:id="1588808224">
                              <w:marLeft w:val="0"/>
                              <w:marRight w:val="0"/>
                              <w:marTop w:val="0"/>
                              <w:marBottom w:val="0"/>
                              <w:divBdr>
                                <w:top w:val="none" w:sz="0" w:space="0" w:color="auto"/>
                                <w:left w:val="none" w:sz="0" w:space="0" w:color="auto"/>
                                <w:bottom w:val="none" w:sz="0" w:space="0" w:color="auto"/>
                                <w:right w:val="none" w:sz="0" w:space="0" w:color="auto"/>
                              </w:divBdr>
                            </w:div>
                            <w:div w:id="1075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2838">
      <w:bodyDiv w:val="1"/>
      <w:marLeft w:val="3"/>
      <w:marRight w:val="3"/>
      <w:marTop w:val="0"/>
      <w:marBottom w:val="0"/>
      <w:divBdr>
        <w:top w:val="none" w:sz="0" w:space="0" w:color="auto"/>
        <w:left w:val="none" w:sz="0" w:space="0" w:color="auto"/>
        <w:bottom w:val="none" w:sz="0" w:space="0" w:color="auto"/>
        <w:right w:val="none" w:sz="0" w:space="0" w:color="auto"/>
      </w:divBdr>
      <w:divsChild>
        <w:div w:id="540942604">
          <w:marLeft w:val="0"/>
          <w:marRight w:val="0"/>
          <w:marTop w:val="90"/>
          <w:marBottom w:val="0"/>
          <w:divBdr>
            <w:top w:val="none" w:sz="0" w:space="0" w:color="auto"/>
            <w:left w:val="none" w:sz="0" w:space="0" w:color="auto"/>
            <w:bottom w:val="none" w:sz="0" w:space="0" w:color="auto"/>
            <w:right w:val="none" w:sz="0" w:space="0" w:color="auto"/>
          </w:divBdr>
          <w:divsChild>
            <w:div w:id="2027058475">
              <w:marLeft w:val="0"/>
              <w:marRight w:val="0"/>
              <w:marTop w:val="0"/>
              <w:marBottom w:val="0"/>
              <w:divBdr>
                <w:top w:val="none" w:sz="0" w:space="0" w:color="auto"/>
                <w:left w:val="none" w:sz="0" w:space="0" w:color="auto"/>
                <w:bottom w:val="none" w:sz="0" w:space="0" w:color="auto"/>
                <w:right w:val="none" w:sz="0" w:space="0" w:color="auto"/>
              </w:divBdr>
              <w:divsChild>
                <w:div w:id="1042097915">
                  <w:marLeft w:val="0"/>
                  <w:marRight w:val="0"/>
                  <w:marTop w:val="0"/>
                  <w:marBottom w:val="0"/>
                  <w:divBdr>
                    <w:top w:val="none" w:sz="0" w:space="0" w:color="auto"/>
                    <w:left w:val="none" w:sz="0" w:space="0" w:color="auto"/>
                    <w:bottom w:val="none" w:sz="0" w:space="0" w:color="auto"/>
                    <w:right w:val="none" w:sz="0" w:space="0" w:color="auto"/>
                  </w:divBdr>
                  <w:divsChild>
                    <w:div w:id="1762024970">
                      <w:marLeft w:val="0"/>
                      <w:marRight w:val="0"/>
                      <w:marTop w:val="0"/>
                      <w:marBottom w:val="0"/>
                      <w:divBdr>
                        <w:top w:val="none" w:sz="0" w:space="0" w:color="auto"/>
                        <w:left w:val="none" w:sz="0" w:space="0" w:color="auto"/>
                        <w:bottom w:val="none" w:sz="0" w:space="0" w:color="auto"/>
                        <w:right w:val="none" w:sz="0" w:space="0" w:color="auto"/>
                      </w:divBdr>
                      <w:divsChild>
                        <w:div w:id="171842334">
                          <w:marLeft w:val="0"/>
                          <w:marRight w:val="0"/>
                          <w:marTop w:val="0"/>
                          <w:marBottom w:val="0"/>
                          <w:divBdr>
                            <w:top w:val="none" w:sz="0" w:space="0" w:color="auto"/>
                            <w:left w:val="none" w:sz="0" w:space="0" w:color="auto"/>
                            <w:bottom w:val="none" w:sz="0" w:space="0" w:color="auto"/>
                            <w:right w:val="none" w:sz="0" w:space="0" w:color="auto"/>
                          </w:divBdr>
                          <w:divsChild>
                            <w:div w:id="1671250532">
                              <w:marLeft w:val="0"/>
                              <w:marRight w:val="0"/>
                              <w:marTop w:val="0"/>
                              <w:marBottom w:val="240"/>
                              <w:divBdr>
                                <w:top w:val="none" w:sz="0" w:space="0" w:color="auto"/>
                                <w:left w:val="none" w:sz="0" w:space="0" w:color="auto"/>
                                <w:bottom w:val="none" w:sz="0" w:space="0" w:color="auto"/>
                                <w:right w:val="none" w:sz="0" w:space="0" w:color="auto"/>
                              </w:divBdr>
                              <w:divsChild>
                                <w:div w:id="10647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65431">
      <w:bodyDiv w:val="1"/>
      <w:marLeft w:val="0"/>
      <w:marRight w:val="0"/>
      <w:marTop w:val="0"/>
      <w:marBottom w:val="0"/>
      <w:divBdr>
        <w:top w:val="none" w:sz="0" w:space="0" w:color="auto"/>
        <w:left w:val="none" w:sz="0" w:space="0" w:color="auto"/>
        <w:bottom w:val="none" w:sz="0" w:space="0" w:color="auto"/>
        <w:right w:val="none" w:sz="0" w:space="0" w:color="auto"/>
      </w:divBdr>
    </w:div>
    <w:div w:id="1697847115">
      <w:bodyDiv w:val="1"/>
      <w:marLeft w:val="0"/>
      <w:marRight w:val="0"/>
      <w:marTop w:val="0"/>
      <w:marBottom w:val="0"/>
      <w:divBdr>
        <w:top w:val="none" w:sz="0" w:space="0" w:color="auto"/>
        <w:left w:val="none" w:sz="0" w:space="0" w:color="auto"/>
        <w:bottom w:val="none" w:sz="0" w:space="0" w:color="auto"/>
        <w:right w:val="none" w:sz="0" w:space="0" w:color="auto"/>
      </w:divBdr>
    </w:div>
    <w:div w:id="1771655916">
      <w:bodyDiv w:val="1"/>
      <w:marLeft w:val="0"/>
      <w:marRight w:val="0"/>
      <w:marTop w:val="0"/>
      <w:marBottom w:val="0"/>
      <w:divBdr>
        <w:top w:val="none" w:sz="0" w:space="0" w:color="auto"/>
        <w:left w:val="none" w:sz="0" w:space="0" w:color="auto"/>
        <w:bottom w:val="none" w:sz="0" w:space="0" w:color="auto"/>
        <w:right w:val="none" w:sz="0" w:space="0" w:color="auto"/>
      </w:divBdr>
    </w:div>
    <w:div w:id="2022857431">
      <w:bodyDiv w:val="1"/>
      <w:marLeft w:val="0"/>
      <w:marRight w:val="0"/>
      <w:marTop w:val="0"/>
      <w:marBottom w:val="0"/>
      <w:divBdr>
        <w:top w:val="none" w:sz="0" w:space="0" w:color="auto"/>
        <w:left w:val="none" w:sz="0" w:space="0" w:color="auto"/>
        <w:bottom w:val="none" w:sz="0" w:space="0" w:color="auto"/>
        <w:right w:val="none" w:sz="0" w:space="0" w:color="auto"/>
      </w:divBdr>
      <w:divsChild>
        <w:div w:id="961771341">
          <w:marLeft w:val="120"/>
          <w:marRight w:val="75"/>
          <w:marTop w:val="0"/>
          <w:marBottom w:val="0"/>
          <w:divBdr>
            <w:top w:val="none" w:sz="0" w:space="0" w:color="auto"/>
            <w:left w:val="none" w:sz="0" w:space="0" w:color="auto"/>
            <w:bottom w:val="none" w:sz="0" w:space="0" w:color="auto"/>
            <w:right w:val="none" w:sz="0" w:space="0" w:color="auto"/>
          </w:divBdr>
          <w:divsChild>
            <w:div w:id="39088541">
              <w:marLeft w:val="0"/>
              <w:marRight w:val="0"/>
              <w:marTop w:val="0"/>
              <w:marBottom w:val="0"/>
              <w:divBdr>
                <w:top w:val="none" w:sz="0" w:space="0" w:color="auto"/>
                <w:left w:val="none" w:sz="0" w:space="0" w:color="auto"/>
                <w:bottom w:val="none" w:sz="0" w:space="0" w:color="auto"/>
                <w:right w:val="none" w:sz="0" w:space="0" w:color="auto"/>
              </w:divBdr>
              <w:divsChild>
                <w:div w:id="147522730">
                  <w:marLeft w:val="0"/>
                  <w:marRight w:val="0"/>
                  <w:marTop w:val="0"/>
                  <w:marBottom w:val="0"/>
                  <w:divBdr>
                    <w:top w:val="none" w:sz="0" w:space="0" w:color="auto"/>
                    <w:left w:val="none" w:sz="0" w:space="0" w:color="auto"/>
                    <w:bottom w:val="none" w:sz="0" w:space="0" w:color="auto"/>
                    <w:right w:val="none" w:sz="0" w:space="0" w:color="auto"/>
                  </w:divBdr>
                  <w:divsChild>
                    <w:div w:id="1356350255">
                      <w:marLeft w:val="0"/>
                      <w:marRight w:val="0"/>
                      <w:marTop w:val="0"/>
                      <w:marBottom w:val="0"/>
                      <w:divBdr>
                        <w:top w:val="none" w:sz="0" w:space="0" w:color="auto"/>
                        <w:left w:val="none" w:sz="0" w:space="0" w:color="auto"/>
                        <w:bottom w:val="none" w:sz="0" w:space="0" w:color="auto"/>
                        <w:right w:val="none" w:sz="0" w:space="0" w:color="auto"/>
                      </w:divBdr>
                      <w:divsChild>
                        <w:div w:id="1918981455">
                          <w:marLeft w:val="0"/>
                          <w:marRight w:val="0"/>
                          <w:marTop w:val="0"/>
                          <w:marBottom w:val="0"/>
                          <w:divBdr>
                            <w:top w:val="single" w:sz="6" w:space="4" w:color="999999"/>
                            <w:left w:val="single" w:sz="6" w:space="4" w:color="999999"/>
                            <w:bottom w:val="single" w:sz="6" w:space="4" w:color="999999"/>
                            <w:right w:val="single" w:sz="6" w:space="4" w:color="999999"/>
                          </w:divBdr>
                          <w:divsChild>
                            <w:div w:id="2126078842">
                              <w:marLeft w:val="0"/>
                              <w:marRight w:val="0"/>
                              <w:marTop w:val="0"/>
                              <w:marBottom w:val="0"/>
                              <w:divBdr>
                                <w:top w:val="none" w:sz="0" w:space="0" w:color="auto"/>
                                <w:left w:val="none" w:sz="0" w:space="0" w:color="auto"/>
                                <w:bottom w:val="none" w:sz="0" w:space="0" w:color="auto"/>
                                <w:right w:val="none" w:sz="0" w:space="0" w:color="auto"/>
                              </w:divBdr>
                              <w:divsChild>
                                <w:div w:id="1026753376">
                                  <w:marLeft w:val="0"/>
                                  <w:marRight w:val="5250"/>
                                  <w:marTop w:val="0"/>
                                  <w:marBottom w:val="0"/>
                                  <w:divBdr>
                                    <w:top w:val="none" w:sz="0" w:space="0" w:color="auto"/>
                                    <w:left w:val="none" w:sz="0" w:space="0" w:color="auto"/>
                                    <w:bottom w:val="none" w:sz="0" w:space="0" w:color="auto"/>
                                    <w:right w:val="none" w:sz="0" w:space="0" w:color="auto"/>
                                  </w:divBdr>
                                  <w:divsChild>
                                    <w:div w:id="733284989">
                                      <w:marLeft w:val="0"/>
                                      <w:marRight w:val="0"/>
                                      <w:marTop w:val="0"/>
                                      <w:marBottom w:val="0"/>
                                      <w:divBdr>
                                        <w:top w:val="none" w:sz="0" w:space="0" w:color="auto"/>
                                        <w:left w:val="none" w:sz="0" w:space="0" w:color="auto"/>
                                        <w:bottom w:val="none" w:sz="0" w:space="0" w:color="auto"/>
                                        <w:right w:val="none" w:sz="0" w:space="0" w:color="auto"/>
                                      </w:divBdr>
                                    </w:div>
                                    <w:div w:id="1798790292">
                                      <w:marLeft w:val="0"/>
                                      <w:marRight w:val="0"/>
                                      <w:marTop w:val="0"/>
                                      <w:marBottom w:val="0"/>
                                      <w:divBdr>
                                        <w:top w:val="none" w:sz="0" w:space="0" w:color="auto"/>
                                        <w:left w:val="none" w:sz="0" w:space="0" w:color="auto"/>
                                        <w:bottom w:val="none" w:sz="0" w:space="0" w:color="auto"/>
                                        <w:right w:val="none" w:sz="0" w:space="0" w:color="auto"/>
                                      </w:divBdr>
                                      <w:divsChild>
                                        <w:div w:id="123429871">
                                          <w:marLeft w:val="0"/>
                                          <w:marRight w:val="0"/>
                                          <w:marTop w:val="0"/>
                                          <w:marBottom w:val="0"/>
                                          <w:divBdr>
                                            <w:top w:val="none" w:sz="0" w:space="0" w:color="auto"/>
                                            <w:left w:val="none" w:sz="0" w:space="0" w:color="auto"/>
                                            <w:bottom w:val="none" w:sz="0" w:space="0" w:color="auto"/>
                                            <w:right w:val="none" w:sz="0" w:space="0" w:color="auto"/>
                                          </w:divBdr>
                                        </w:div>
                                        <w:div w:id="1849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80856">
      <w:bodyDiv w:val="1"/>
      <w:marLeft w:val="0"/>
      <w:marRight w:val="0"/>
      <w:marTop w:val="0"/>
      <w:marBottom w:val="0"/>
      <w:divBdr>
        <w:top w:val="none" w:sz="0" w:space="0" w:color="auto"/>
        <w:left w:val="none" w:sz="0" w:space="0" w:color="auto"/>
        <w:bottom w:val="none" w:sz="0" w:space="0" w:color="auto"/>
        <w:right w:val="none" w:sz="0" w:space="0" w:color="auto"/>
      </w:divBdr>
    </w:div>
    <w:div w:id="20980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chart" Target="charts/chart1.xml"/><Relationship Id="rId33" Type="http://schemas.openxmlformats.org/officeDocument/2006/relationships/hyperlink" Target="http://ideas.repec.org/s/eee/jjieco.html"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ideas.repec.org/s/bin/bpeajo.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32" Type="http://schemas.openxmlformats.org/officeDocument/2006/relationships/hyperlink" Target="http://ideas.repec.org/a/eee/jjieco/v6y1992i4p383-405.htm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hyperlink" Target="http://ideas.repec.org/a/bin/bpeajo/v38y2007i2007-2p169-192.html"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ideas.repec.org/s/aea/aecrev.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chart" Target="charts/chart3.xml"/><Relationship Id="rId30" Type="http://schemas.openxmlformats.org/officeDocument/2006/relationships/hyperlink" Target="http://ideas.repec.org/a/aea/aecrev/v76y1986i5p984-1001.html" TargetMode="Externa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avuz\Documents\2010%2011%20-07%20Figure%201_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avuz\Documents\2010%2011%20-07%20Figure%201_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yavuz\Documents\2010%2011%20-07%20Figure%201_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30067152076398"/>
          <c:y val="3.2795253233890938E-2"/>
          <c:w val="0.6879216702991332"/>
          <c:h val="0.88980545234230868"/>
        </c:manualLayout>
      </c:layout>
      <c:scatterChart>
        <c:scatterStyle val="lineMarker"/>
        <c:varyColors val="0"/>
        <c:ser>
          <c:idx val="0"/>
          <c:order val="0"/>
          <c:spPr>
            <a:ln w="28575">
              <a:noFill/>
            </a:ln>
          </c:spPr>
          <c:marker>
            <c:symbol val="square"/>
            <c:size val="6"/>
            <c:spPr>
              <a:solidFill>
                <a:schemeClr val="tx1"/>
              </a:solidFill>
            </c:spPr>
          </c:marker>
          <c:dLbls>
            <c:dLbl>
              <c:idx val="0"/>
              <c:layout>
                <c:manualLayout>
                  <c:x val="-4.2074919206527804E-2"/>
                  <c:y val="-2.7478660567769826E-2"/>
                </c:manualLayout>
              </c:layout>
              <c:tx>
                <c:strRef>
                  <c:f>figure1!$A$2</c:f>
                  <c:strCache>
                    <c:ptCount val="1"/>
                    <c:pt idx="0">
                      <c:v>AU</c:v>
                    </c:pt>
                  </c:strCache>
                </c:strRef>
              </c:tx>
              <c:dLblPos val="r"/>
              <c:showLegendKey val="0"/>
              <c:showVal val="0"/>
              <c:showCatName val="0"/>
              <c:showSerName val="0"/>
              <c:showPercent val="0"/>
              <c:showBubbleSize val="0"/>
            </c:dLbl>
            <c:dLbl>
              <c:idx val="1"/>
              <c:layout>
                <c:manualLayout>
                  <c:x val="-3.8798185941043083E-2"/>
                  <c:y val="-2.066435051666245E-2"/>
                </c:manualLayout>
              </c:layout>
              <c:tx>
                <c:strRef>
                  <c:f>figure1!$A$3</c:f>
                  <c:strCache>
                    <c:ptCount val="1"/>
                    <c:pt idx="0">
                      <c:v>AT</c:v>
                    </c:pt>
                  </c:strCache>
                </c:strRef>
              </c:tx>
              <c:dLblPos val="r"/>
              <c:showLegendKey val="0"/>
              <c:showVal val="0"/>
              <c:showCatName val="0"/>
              <c:showSerName val="0"/>
              <c:showPercent val="0"/>
              <c:showBubbleSize val="0"/>
            </c:dLbl>
            <c:dLbl>
              <c:idx val="2"/>
              <c:layout>
                <c:manualLayout>
                  <c:x val="-4.6610066598818015E-2"/>
                  <c:y val="-2.7478660567769826E-2"/>
                </c:manualLayout>
              </c:layout>
              <c:tx>
                <c:strRef>
                  <c:f>figure1!$A$4</c:f>
                  <c:strCache>
                    <c:ptCount val="1"/>
                    <c:pt idx="0">
                      <c:v>CA</c:v>
                    </c:pt>
                  </c:strCache>
                </c:strRef>
              </c:tx>
              <c:dLblPos val="r"/>
              <c:showLegendKey val="0"/>
              <c:showVal val="0"/>
              <c:showCatName val="0"/>
              <c:showSerName val="0"/>
              <c:showPercent val="0"/>
              <c:showBubbleSize val="0"/>
            </c:dLbl>
            <c:dLbl>
              <c:idx val="3"/>
              <c:layout>
                <c:manualLayout>
                  <c:x val="-1.3860588854964591E-2"/>
                  <c:y val="-2.7478660567769826E-2"/>
                </c:manualLayout>
              </c:layout>
              <c:tx>
                <c:strRef>
                  <c:f>figure1!$A$5</c:f>
                  <c:strCache>
                    <c:ptCount val="1"/>
                    <c:pt idx="0">
                      <c:v>CL</c:v>
                    </c:pt>
                  </c:strCache>
                </c:strRef>
              </c:tx>
              <c:dLblPos val="r"/>
              <c:showLegendKey val="0"/>
              <c:showVal val="0"/>
              <c:showCatName val="0"/>
              <c:showSerName val="0"/>
              <c:showPercent val="0"/>
              <c:showBubbleSize val="0"/>
            </c:dLbl>
            <c:dLbl>
              <c:idx val="4"/>
              <c:layout>
                <c:manualLayout>
                  <c:x val="-5.7426981280870579E-2"/>
                  <c:y val="2.9476282730829678E-2"/>
                </c:manualLayout>
              </c:layout>
              <c:tx>
                <c:strRef>
                  <c:f>figure1!$A$6</c:f>
                  <c:strCache>
                    <c:ptCount val="1"/>
                    <c:pt idx="0">
                      <c:v>CO</c:v>
                    </c:pt>
                  </c:strCache>
                </c:strRef>
              </c:tx>
              <c:dLblPos val="r"/>
              <c:showLegendKey val="0"/>
              <c:showVal val="0"/>
              <c:showCatName val="0"/>
              <c:showSerName val="0"/>
              <c:showPercent val="0"/>
              <c:showBubbleSize val="0"/>
            </c:dLbl>
            <c:dLbl>
              <c:idx val="5"/>
              <c:tx>
                <c:strRef>
                  <c:f>figure1!$A$7</c:f>
                  <c:strCache>
                    <c:ptCount val="1"/>
                    <c:pt idx="0">
                      <c:v>DK</c:v>
                    </c:pt>
                  </c:strCache>
                </c:strRef>
              </c:tx>
              <c:dLblPos val="t"/>
              <c:showLegendKey val="0"/>
              <c:showVal val="0"/>
              <c:showCatName val="0"/>
              <c:showSerName val="0"/>
              <c:showPercent val="0"/>
              <c:showBubbleSize val="0"/>
            </c:dLbl>
            <c:dLbl>
              <c:idx val="6"/>
              <c:layout>
                <c:manualLayout>
                  <c:x val="-0.10637071152698524"/>
                  <c:y val="1.5791277089631E-2"/>
                </c:manualLayout>
              </c:layout>
              <c:tx>
                <c:strRef>
                  <c:f>figure1!$A$8</c:f>
                  <c:strCache>
                    <c:ptCount val="1"/>
                    <c:pt idx="0">
                      <c:v>EG</c:v>
                    </c:pt>
                  </c:strCache>
                </c:strRef>
              </c:tx>
              <c:dLblPos val="r"/>
              <c:showLegendKey val="0"/>
              <c:showVal val="0"/>
              <c:showCatName val="0"/>
              <c:showSerName val="0"/>
              <c:showPercent val="0"/>
              <c:showBubbleSize val="0"/>
            </c:dLbl>
            <c:dLbl>
              <c:idx val="7"/>
              <c:layout>
                <c:manualLayout>
                  <c:x val="-1.2586303881473608E-3"/>
                  <c:y val="-4.0445786665271755E-3"/>
                </c:manualLayout>
              </c:layout>
              <c:tx>
                <c:strRef>
                  <c:f>figure1!$A$9</c:f>
                  <c:strCache>
                    <c:ptCount val="1"/>
                    <c:pt idx="0">
                      <c:v>FI</c:v>
                    </c:pt>
                  </c:strCache>
                </c:strRef>
              </c:tx>
              <c:dLblPos val="r"/>
              <c:showLegendKey val="0"/>
              <c:showVal val="0"/>
              <c:showCatName val="0"/>
              <c:showSerName val="0"/>
              <c:showPercent val="0"/>
              <c:showBubbleSize val="0"/>
            </c:dLbl>
            <c:dLbl>
              <c:idx val="8"/>
              <c:layout>
                <c:manualLayout>
                  <c:x val="-3.0158730158730191E-3"/>
                  <c:y val="-1.6673597231351221E-2"/>
                </c:manualLayout>
              </c:layout>
              <c:tx>
                <c:strRef>
                  <c:f>figure1!$A$10</c:f>
                  <c:strCache>
                    <c:ptCount val="1"/>
                    <c:pt idx="0">
                      <c:v>FR</c:v>
                    </c:pt>
                  </c:strCache>
                </c:strRef>
              </c:tx>
              <c:dLblPos val="r"/>
              <c:showLegendKey val="0"/>
              <c:showVal val="0"/>
              <c:showCatName val="0"/>
              <c:showSerName val="0"/>
              <c:showPercent val="0"/>
              <c:showBubbleSize val="0"/>
            </c:dLbl>
            <c:dLbl>
              <c:idx val="9"/>
              <c:tx>
                <c:strRef>
                  <c:f>figure1!$A$11</c:f>
                  <c:strCache>
                    <c:ptCount val="1"/>
                    <c:pt idx="0">
                      <c:v>DE</c:v>
                    </c:pt>
                  </c:strCache>
                </c:strRef>
              </c:tx>
              <c:dLblPos val="t"/>
              <c:showLegendKey val="0"/>
              <c:showVal val="0"/>
              <c:showCatName val="0"/>
              <c:showSerName val="0"/>
              <c:showPercent val="0"/>
              <c:showBubbleSize val="0"/>
            </c:dLbl>
            <c:dLbl>
              <c:idx val="10"/>
              <c:layout>
                <c:manualLayout>
                  <c:x val="-3.4013605442176957E-2"/>
                  <c:y val="-2.7478660567769857E-2"/>
                </c:manualLayout>
              </c:layout>
              <c:tx>
                <c:strRef>
                  <c:f>figure1!$A$12</c:f>
                  <c:strCache>
                    <c:ptCount val="1"/>
                    <c:pt idx="0">
                      <c:v>GR</c:v>
                    </c:pt>
                  </c:strCache>
                </c:strRef>
              </c:tx>
              <c:dLblPos val="r"/>
              <c:showLegendKey val="0"/>
              <c:showVal val="0"/>
              <c:showCatName val="0"/>
              <c:showSerName val="0"/>
              <c:showPercent val="0"/>
              <c:showBubbleSize val="0"/>
            </c:dLbl>
            <c:dLbl>
              <c:idx val="11"/>
              <c:layout>
                <c:manualLayout>
                  <c:x val="2.2675736961451308E-3"/>
                  <c:y val="-2.2142036334044283E-4"/>
                </c:manualLayout>
              </c:layout>
              <c:tx>
                <c:strRef>
                  <c:f>figure1!$A$13</c:f>
                  <c:strCache>
                    <c:ptCount val="1"/>
                    <c:pt idx="0">
                      <c:v>IN</c:v>
                    </c:pt>
                  </c:strCache>
                </c:strRef>
              </c:tx>
              <c:dLblPos val="r"/>
              <c:showLegendKey val="0"/>
              <c:showVal val="0"/>
              <c:showCatName val="0"/>
              <c:showSerName val="0"/>
              <c:showPercent val="0"/>
              <c:showBubbleSize val="0"/>
            </c:dLbl>
            <c:dLbl>
              <c:idx val="12"/>
              <c:tx>
                <c:strRef>
                  <c:f>figure1!$A$14</c:f>
                  <c:strCache>
                    <c:ptCount val="1"/>
                    <c:pt idx="0">
                      <c:v>ID</c:v>
                    </c:pt>
                  </c:strCache>
                </c:strRef>
              </c:tx>
              <c:dLblPos val="t"/>
              <c:showLegendKey val="0"/>
              <c:showVal val="0"/>
              <c:showCatName val="0"/>
              <c:showSerName val="0"/>
              <c:showPercent val="0"/>
              <c:showBubbleSize val="0"/>
            </c:dLbl>
            <c:dLbl>
              <c:idx val="13"/>
              <c:layout>
                <c:manualLayout>
                  <c:x val="-9.2710769203363033E-2"/>
                  <c:y val="2.5484012924607662E-2"/>
                </c:manualLayout>
              </c:layout>
              <c:tx>
                <c:strRef>
                  <c:f>figure1!$A$15</c:f>
                  <c:strCache>
                    <c:ptCount val="1"/>
                    <c:pt idx="0">
                      <c:v>IE</c:v>
                    </c:pt>
                  </c:strCache>
                </c:strRef>
              </c:tx>
              <c:dLblPos val="r"/>
              <c:showLegendKey val="0"/>
              <c:showVal val="0"/>
              <c:showCatName val="0"/>
              <c:showSerName val="0"/>
              <c:showPercent val="0"/>
              <c:showBubbleSize val="0"/>
            </c:dLbl>
            <c:dLbl>
              <c:idx val="14"/>
              <c:layout>
                <c:manualLayout>
                  <c:x val="-3.0330137304265606E-3"/>
                  <c:y val="-2.2142036334044283E-4"/>
                </c:manualLayout>
              </c:layout>
              <c:tx>
                <c:strRef>
                  <c:f>figure1!$A$16</c:f>
                  <c:strCache>
                    <c:ptCount val="1"/>
                    <c:pt idx="0">
                      <c:v>IL</c:v>
                    </c:pt>
                  </c:strCache>
                </c:strRef>
              </c:tx>
              <c:dLblPos val="r"/>
              <c:showLegendKey val="0"/>
              <c:showVal val="0"/>
              <c:showCatName val="0"/>
              <c:showSerName val="0"/>
              <c:showPercent val="0"/>
              <c:showBubbleSize val="0"/>
            </c:dLbl>
            <c:dLbl>
              <c:idx val="15"/>
              <c:tx>
                <c:strRef>
                  <c:f>figure1!$A$17</c:f>
                  <c:strCache>
                    <c:ptCount val="1"/>
                    <c:pt idx="0">
                      <c:v>IT</c:v>
                    </c:pt>
                  </c:strCache>
                </c:strRef>
              </c:tx>
              <c:dLblPos val="t"/>
              <c:showLegendKey val="0"/>
              <c:showVal val="0"/>
              <c:showCatName val="0"/>
              <c:showSerName val="0"/>
              <c:showPercent val="0"/>
              <c:showBubbleSize val="0"/>
            </c:dLbl>
            <c:dLbl>
              <c:idx val="16"/>
              <c:tx>
                <c:strRef>
                  <c:f>figure1!$A$18</c:f>
                  <c:strCache>
                    <c:ptCount val="1"/>
                    <c:pt idx="0">
                      <c:v>JP</c:v>
                    </c:pt>
                  </c:strCache>
                </c:strRef>
              </c:tx>
              <c:dLblPos val="t"/>
              <c:showLegendKey val="0"/>
              <c:showVal val="0"/>
              <c:showCatName val="0"/>
              <c:showSerName val="0"/>
              <c:showPercent val="0"/>
              <c:showBubbleSize val="0"/>
            </c:dLbl>
            <c:dLbl>
              <c:idx val="17"/>
              <c:layout>
                <c:manualLayout>
                  <c:x val="-1.1593015158819445E-2"/>
                  <c:y val="-2.5207223884067379E-2"/>
                </c:manualLayout>
              </c:layout>
              <c:tx>
                <c:strRef>
                  <c:f>figure1!$A$19</c:f>
                  <c:strCache>
                    <c:ptCount val="1"/>
                    <c:pt idx="0">
                      <c:v>JO</c:v>
                    </c:pt>
                  </c:strCache>
                </c:strRef>
              </c:tx>
              <c:dLblPos val="r"/>
              <c:showLegendKey val="0"/>
              <c:showVal val="0"/>
              <c:showCatName val="0"/>
              <c:showSerName val="0"/>
              <c:showPercent val="0"/>
              <c:showBubbleSize val="0"/>
            </c:dLbl>
            <c:dLbl>
              <c:idx val="18"/>
              <c:layout>
                <c:manualLayout>
                  <c:x val="-5.3462329815974131E-2"/>
                  <c:y val="2.424011782450812E-2"/>
                </c:manualLayout>
              </c:layout>
              <c:tx>
                <c:strRef>
                  <c:f>figure1!$A$20</c:f>
                  <c:strCache>
                    <c:ptCount val="1"/>
                    <c:pt idx="0">
                      <c:v>KE</c:v>
                    </c:pt>
                  </c:strCache>
                </c:strRef>
              </c:tx>
              <c:dLblPos val="r"/>
              <c:showLegendKey val="0"/>
              <c:showVal val="0"/>
              <c:showCatName val="0"/>
              <c:showSerName val="0"/>
              <c:showPercent val="0"/>
              <c:showBubbleSize val="0"/>
            </c:dLbl>
            <c:dLbl>
              <c:idx val="19"/>
              <c:layout>
                <c:manualLayout>
                  <c:x val="-3.3004624421947258E-2"/>
                  <c:y val="-2.9750097251472207E-2"/>
                </c:manualLayout>
              </c:layout>
              <c:tx>
                <c:strRef>
                  <c:f>figure1!$A$21</c:f>
                  <c:strCache>
                    <c:ptCount val="1"/>
                    <c:pt idx="0">
                      <c:v>KR</c:v>
                    </c:pt>
                  </c:strCache>
                </c:strRef>
              </c:tx>
              <c:dLblPos val="r"/>
              <c:showLegendKey val="0"/>
              <c:showVal val="0"/>
              <c:showCatName val="0"/>
              <c:showSerName val="0"/>
              <c:showPercent val="0"/>
              <c:showBubbleSize val="0"/>
            </c:dLbl>
            <c:dLbl>
              <c:idx val="20"/>
              <c:layout>
                <c:manualLayout>
                  <c:x val="-4.1331996823619835E-2"/>
                  <c:y val="-2.4218762372365192E-2"/>
                </c:manualLayout>
              </c:layout>
              <c:tx>
                <c:strRef>
                  <c:f>figure1!$A$22</c:f>
                  <c:strCache>
                    <c:ptCount val="1"/>
                    <c:pt idx="0">
                      <c:v>MY</c:v>
                    </c:pt>
                  </c:strCache>
                </c:strRef>
              </c:tx>
              <c:dLblPos val="r"/>
              <c:showLegendKey val="0"/>
              <c:showVal val="0"/>
              <c:showCatName val="0"/>
              <c:showSerName val="0"/>
              <c:showPercent val="0"/>
              <c:showBubbleSize val="0"/>
            </c:dLbl>
            <c:dLbl>
              <c:idx val="21"/>
              <c:layout>
                <c:manualLayout>
                  <c:x val="2.1753682538747246E-3"/>
                  <c:y val="3.2073969527448938E-3"/>
                </c:manualLayout>
              </c:layout>
              <c:tx>
                <c:strRef>
                  <c:f>figure1!$A$23</c:f>
                  <c:strCache>
                    <c:ptCount val="1"/>
                    <c:pt idx="0">
                      <c:v>MX</c:v>
                    </c:pt>
                  </c:strCache>
                </c:strRef>
              </c:tx>
              <c:dLblPos val="r"/>
              <c:showLegendKey val="0"/>
              <c:showVal val="0"/>
              <c:showCatName val="0"/>
              <c:showSerName val="0"/>
              <c:showPercent val="0"/>
              <c:showBubbleSize val="0"/>
            </c:dLbl>
            <c:dLbl>
              <c:idx val="22"/>
              <c:tx>
                <c:strRef>
                  <c:f>figure1!$A$24</c:f>
                  <c:strCache>
                    <c:ptCount val="1"/>
                    <c:pt idx="0">
                      <c:v>NL</c:v>
                    </c:pt>
                  </c:strCache>
                </c:strRef>
              </c:tx>
              <c:dLblPos val="t"/>
              <c:showLegendKey val="0"/>
              <c:showVal val="0"/>
              <c:showCatName val="0"/>
              <c:showSerName val="0"/>
              <c:showPercent val="0"/>
              <c:showBubbleSize val="0"/>
            </c:dLbl>
            <c:dLbl>
              <c:idx val="23"/>
              <c:tx>
                <c:strRef>
                  <c:f>figure1!$A$25</c:f>
                  <c:strCache>
                    <c:ptCount val="1"/>
                    <c:pt idx="0">
                      <c:v>NO</c:v>
                    </c:pt>
                  </c:strCache>
                </c:strRef>
              </c:tx>
              <c:dLblPos val="t"/>
              <c:showLegendKey val="0"/>
              <c:showVal val="0"/>
              <c:showCatName val="0"/>
              <c:showSerName val="0"/>
              <c:showPercent val="0"/>
              <c:showBubbleSize val="0"/>
            </c:dLbl>
            <c:dLbl>
              <c:idx val="24"/>
              <c:layout>
                <c:manualLayout>
                  <c:x val="-3.0273001589087157E-3"/>
                  <c:y val="2.0500163203620012E-3"/>
                </c:manualLayout>
              </c:layout>
              <c:tx>
                <c:strRef>
                  <c:f>figure1!$A$26</c:f>
                  <c:strCache>
                    <c:ptCount val="1"/>
                    <c:pt idx="0">
                      <c:v>PK</c:v>
                    </c:pt>
                  </c:strCache>
                </c:strRef>
              </c:tx>
              <c:dLblPos val="r"/>
              <c:showLegendKey val="0"/>
              <c:showVal val="0"/>
              <c:showCatName val="0"/>
              <c:showSerName val="0"/>
              <c:showPercent val="0"/>
              <c:showBubbleSize val="0"/>
            </c:dLbl>
            <c:dLbl>
              <c:idx val="25"/>
              <c:tx>
                <c:strRef>
                  <c:f>figure1!$A$27</c:f>
                  <c:strCache>
                    <c:ptCount val="1"/>
                    <c:pt idx="0">
                      <c:v>PE</c:v>
                    </c:pt>
                  </c:strCache>
                </c:strRef>
              </c:tx>
              <c:dLblPos val="t"/>
              <c:showLegendKey val="0"/>
              <c:showVal val="0"/>
              <c:showCatName val="0"/>
              <c:showSerName val="0"/>
              <c:showPercent val="0"/>
              <c:showBubbleSize val="0"/>
            </c:dLbl>
            <c:dLbl>
              <c:idx val="26"/>
              <c:layout>
                <c:manualLayout>
                  <c:x val="-5.7937400682057634E-3"/>
                  <c:y val="-1.6121477149257671E-2"/>
                </c:manualLayout>
              </c:layout>
              <c:tx>
                <c:strRef>
                  <c:f>figure1!$A$28</c:f>
                  <c:strCache>
                    <c:ptCount val="1"/>
                    <c:pt idx="0">
                      <c:v>PH</c:v>
                    </c:pt>
                  </c:strCache>
                </c:strRef>
              </c:tx>
              <c:dLblPos val="r"/>
              <c:showLegendKey val="0"/>
              <c:showVal val="0"/>
              <c:showCatName val="0"/>
              <c:showSerName val="0"/>
              <c:showPercent val="0"/>
              <c:showBubbleSize val="0"/>
            </c:dLbl>
            <c:dLbl>
              <c:idx val="27"/>
              <c:tx>
                <c:strRef>
                  <c:f>figure1!$A$29</c:f>
                  <c:strCache>
                    <c:ptCount val="1"/>
                    <c:pt idx="0">
                      <c:v>PT</c:v>
                    </c:pt>
                  </c:strCache>
                </c:strRef>
              </c:tx>
              <c:dLblPos val="t"/>
              <c:showLegendKey val="0"/>
              <c:showVal val="0"/>
              <c:showCatName val="0"/>
              <c:showSerName val="0"/>
              <c:showPercent val="0"/>
              <c:showBubbleSize val="0"/>
            </c:dLbl>
            <c:dLbl>
              <c:idx val="28"/>
              <c:layout>
                <c:manualLayout>
                  <c:x val="-0.10882288254450256"/>
                  <c:y val="-2.0664399309523056E-2"/>
                </c:manualLayout>
              </c:layout>
              <c:tx>
                <c:strRef>
                  <c:f>figure1!$A$30</c:f>
                  <c:strCache>
                    <c:ptCount val="1"/>
                    <c:pt idx="0">
                      <c:v>SG</c:v>
                    </c:pt>
                  </c:strCache>
                </c:strRef>
              </c:tx>
              <c:dLblPos val="r"/>
              <c:showLegendKey val="0"/>
              <c:showVal val="0"/>
              <c:showCatName val="0"/>
              <c:showSerName val="0"/>
              <c:showPercent val="0"/>
              <c:showBubbleSize val="0"/>
            </c:dLbl>
            <c:dLbl>
              <c:idx val="29"/>
              <c:tx>
                <c:strRef>
                  <c:f>figure1!$A$31</c:f>
                  <c:strCache>
                    <c:ptCount val="1"/>
                    <c:pt idx="0">
                      <c:v>ZA</c:v>
                    </c:pt>
                  </c:strCache>
                </c:strRef>
              </c:tx>
              <c:dLblPos val="t"/>
              <c:showLegendKey val="0"/>
              <c:showVal val="0"/>
              <c:showCatName val="0"/>
              <c:showSerName val="0"/>
              <c:showPercent val="0"/>
              <c:showBubbleSize val="0"/>
            </c:dLbl>
            <c:dLbl>
              <c:idx val="30"/>
              <c:tx>
                <c:strRef>
                  <c:f>figure1!$A$32</c:f>
                  <c:strCache>
                    <c:ptCount val="1"/>
                    <c:pt idx="0">
                      <c:v>ES</c:v>
                    </c:pt>
                  </c:strCache>
                </c:strRef>
              </c:tx>
              <c:dLblPos val="t"/>
              <c:showLegendKey val="0"/>
              <c:showVal val="0"/>
              <c:showCatName val="0"/>
              <c:showSerName val="0"/>
              <c:showPercent val="0"/>
              <c:showBubbleSize val="0"/>
            </c:dLbl>
            <c:dLbl>
              <c:idx val="31"/>
              <c:tx>
                <c:strRef>
                  <c:f>figure1!$A$33</c:f>
                  <c:strCache>
                    <c:ptCount val="1"/>
                    <c:pt idx="0">
                      <c:v>LK</c:v>
                    </c:pt>
                  </c:strCache>
                </c:strRef>
              </c:tx>
              <c:dLblPos val="t"/>
              <c:showLegendKey val="0"/>
              <c:showVal val="0"/>
              <c:showCatName val="0"/>
              <c:showSerName val="0"/>
              <c:showPercent val="0"/>
              <c:showBubbleSize val="0"/>
            </c:dLbl>
            <c:dLbl>
              <c:idx val="32"/>
              <c:tx>
                <c:strRef>
                  <c:f>figure1!$A$34</c:f>
                  <c:strCache>
                    <c:ptCount val="1"/>
                    <c:pt idx="0">
                      <c:v>SE</c:v>
                    </c:pt>
                  </c:strCache>
                </c:strRef>
              </c:tx>
              <c:dLblPos val="t"/>
              <c:showLegendKey val="0"/>
              <c:showVal val="0"/>
              <c:showCatName val="0"/>
              <c:showSerName val="0"/>
              <c:showPercent val="0"/>
              <c:showBubbleSize val="0"/>
            </c:dLbl>
            <c:dLbl>
              <c:idx val="33"/>
              <c:layout>
                <c:manualLayout>
                  <c:x val="-3.0158730158730191E-3"/>
                  <c:y val="-2.2142036334044283E-4"/>
                </c:manualLayout>
              </c:layout>
              <c:tx>
                <c:strRef>
                  <c:f>figure1!$A$35</c:f>
                  <c:strCache>
                    <c:ptCount val="1"/>
                    <c:pt idx="0">
                      <c:v>TH</c:v>
                    </c:pt>
                  </c:strCache>
                </c:strRef>
              </c:tx>
              <c:dLblPos val="r"/>
              <c:showLegendKey val="0"/>
              <c:showVal val="0"/>
              <c:showCatName val="0"/>
              <c:showSerName val="0"/>
              <c:showPercent val="0"/>
              <c:showBubbleSize val="0"/>
            </c:dLbl>
            <c:dLbl>
              <c:idx val="34"/>
              <c:tx>
                <c:strRef>
                  <c:f>figure1!$A$36</c:f>
                  <c:strCache>
                    <c:ptCount val="1"/>
                    <c:pt idx="0">
                      <c:v>TR</c:v>
                    </c:pt>
                  </c:strCache>
                </c:strRef>
              </c:tx>
              <c:dLblPos val="t"/>
              <c:showLegendKey val="0"/>
              <c:showVal val="0"/>
              <c:showCatName val="0"/>
              <c:showSerName val="0"/>
              <c:showPercent val="0"/>
              <c:showBubbleSize val="0"/>
            </c:dLbl>
            <c:dLbl>
              <c:idx val="35"/>
              <c:tx>
                <c:strRef>
                  <c:f>figure1!$A$37</c:f>
                  <c:strCache>
                    <c:ptCount val="1"/>
                    <c:pt idx="0">
                      <c:v>GB</c:v>
                    </c:pt>
                  </c:strCache>
                </c:strRef>
              </c:tx>
              <c:dLblPos val="t"/>
              <c:showLegendKey val="0"/>
              <c:showVal val="0"/>
              <c:showCatName val="0"/>
              <c:showSerName val="0"/>
              <c:showPercent val="0"/>
              <c:showBubbleSize val="0"/>
            </c:dLbl>
            <c:dLbl>
              <c:idx val="36"/>
              <c:layout>
                <c:manualLayout>
                  <c:x val="-0.11563024357958061"/>
                  <c:y val="-1.7734623234635977E-3"/>
                </c:manualLayout>
              </c:layout>
              <c:tx>
                <c:strRef>
                  <c:f>figure1!$A$38</c:f>
                  <c:strCache>
                    <c:ptCount val="1"/>
                    <c:pt idx="0">
                      <c:v>US</c:v>
                    </c:pt>
                  </c:strCache>
                </c:strRef>
              </c:tx>
              <c:dLblPos val="r"/>
              <c:showLegendKey val="0"/>
              <c:showVal val="0"/>
              <c:showCatName val="0"/>
              <c:showSerName val="0"/>
              <c:showPercent val="0"/>
              <c:showBubbleSize val="0"/>
            </c:dLbl>
            <c:dLbl>
              <c:idx val="37"/>
              <c:tx>
                <c:strRef>
                  <c:f>figure1!$A$39</c:f>
                  <c:strCache>
                    <c:ptCount val="1"/>
                    <c:pt idx="0">
                      <c:v>ZM</c:v>
                    </c:pt>
                  </c:strCache>
                </c:strRef>
              </c:tx>
              <c:dLblPos val="t"/>
              <c:showLegendKey val="0"/>
              <c:showVal val="0"/>
              <c:showCatName val="0"/>
              <c:showSerName val="0"/>
              <c:showPercent val="0"/>
              <c:showBubbleSize val="0"/>
            </c:dLbl>
            <c:dLbl>
              <c:idx val="38"/>
              <c:layout>
                <c:manualLayout>
                  <c:x val="-5.0286571321442094E-3"/>
                  <c:y val="2.0221509789981551E-2"/>
                </c:manualLayout>
              </c:layout>
              <c:tx>
                <c:rich>
                  <a:bodyPr/>
                  <a:lstStyle/>
                  <a:p>
                    <a:r>
                      <a:rPr lang="en-US" sz="600"/>
                      <a:t>ZW</a:t>
                    </a:r>
                  </a:p>
                </c:rich>
              </c:tx>
              <c:dLblPos val="r"/>
              <c:showLegendKey val="0"/>
              <c:showVal val="0"/>
              <c:showCatName val="0"/>
              <c:showSerName val="0"/>
              <c:showPercent val="0"/>
              <c:showBubbleSize val="0"/>
            </c:dLbl>
            <c:spPr>
              <a:noFill/>
              <a:ln w="25400">
                <a:noFill/>
              </a:ln>
            </c:spPr>
            <c:txPr>
              <a:bodyPr/>
              <a:lstStyle/>
              <a:p>
                <a:pPr>
                  <a:defRPr sz="6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dLbls>
          <c:trendline>
            <c:spPr>
              <a:ln w="25400">
                <a:solidFill>
                  <a:srgbClr val="000000"/>
                </a:solidFill>
                <a:prstDash val="solid"/>
              </a:ln>
            </c:spPr>
            <c:trendlineType val="linear"/>
            <c:dispRSqr val="0"/>
            <c:dispEq val="0"/>
          </c:trendline>
          <c:xVal>
            <c:numRef>
              <c:f>figure1!$D$2:$D$40</c:f>
              <c:numCache>
                <c:formatCode>_(* #,##0.00_);_(* \(#,##0.00\);_(* "-"??_);_(@_)</c:formatCode>
                <c:ptCount val="39"/>
                <c:pt idx="0">
                  <c:v>0.99449309999999957</c:v>
                </c:pt>
                <c:pt idx="1">
                  <c:v>1</c:v>
                </c:pt>
                <c:pt idx="2">
                  <c:v>1</c:v>
                </c:pt>
                <c:pt idx="3" formatCode="_(* #,##0_);_(* \(#,##0\);_(* &quot;-&quot;??_);_(@_)">
                  <c:v>0</c:v>
                </c:pt>
                <c:pt idx="4">
                  <c:v>0.41469600000000001</c:v>
                </c:pt>
                <c:pt idx="5">
                  <c:v>0.99206549999999949</c:v>
                </c:pt>
                <c:pt idx="6">
                  <c:v>0</c:v>
                </c:pt>
                <c:pt idx="7">
                  <c:v>1</c:v>
                </c:pt>
                <c:pt idx="8">
                  <c:v>1</c:v>
                </c:pt>
                <c:pt idx="9">
                  <c:v>0.61635819999999997</c:v>
                </c:pt>
                <c:pt idx="10">
                  <c:v>7.9637000000000069E-2</c:v>
                </c:pt>
                <c:pt idx="11">
                  <c:v>0</c:v>
                </c:pt>
                <c:pt idx="12">
                  <c:v>4.8252800000000005E-2</c:v>
                </c:pt>
                <c:pt idx="13">
                  <c:v>1</c:v>
                </c:pt>
                <c:pt idx="14">
                  <c:v>8.8608000000000089E-2</c:v>
                </c:pt>
                <c:pt idx="15">
                  <c:v>0.89084900000000078</c:v>
                </c:pt>
                <c:pt idx="16">
                  <c:v>0.77934770000000042</c:v>
                </c:pt>
                <c:pt idx="17">
                  <c:v>0</c:v>
                </c:pt>
                <c:pt idx="18">
                  <c:v>0.14558170000000001</c:v>
                </c:pt>
                <c:pt idx="19">
                  <c:v>0.59228219999999887</c:v>
                </c:pt>
                <c:pt idx="20">
                  <c:v>6.5510500000000069E-2</c:v>
                </c:pt>
                <c:pt idx="21">
                  <c:v>0.29579030000000001</c:v>
                </c:pt>
                <c:pt idx="22">
                  <c:v>0.78441729999999932</c:v>
                </c:pt>
                <c:pt idx="23">
                  <c:v>0.56698990000000005</c:v>
                </c:pt>
                <c:pt idx="24">
                  <c:v>0</c:v>
                </c:pt>
                <c:pt idx="25">
                  <c:v>0.3270194000000004</c:v>
                </c:pt>
                <c:pt idx="26">
                  <c:v>0.11460260000000008</c:v>
                </c:pt>
                <c:pt idx="27">
                  <c:v>0.28876240000000025</c:v>
                </c:pt>
                <c:pt idx="28">
                  <c:v>0</c:v>
                </c:pt>
                <c:pt idx="29">
                  <c:v>0.34161110000000006</c:v>
                </c:pt>
                <c:pt idx="30">
                  <c:v>0.64773730000000052</c:v>
                </c:pt>
                <c:pt idx="31">
                  <c:v>0.41194490000000028</c:v>
                </c:pt>
                <c:pt idx="32">
                  <c:v>0.70358180000000003</c:v>
                </c:pt>
                <c:pt idx="33">
                  <c:v>0</c:v>
                </c:pt>
                <c:pt idx="34">
                  <c:v>0.20518639999999999</c:v>
                </c:pt>
                <c:pt idx="35">
                  <c:v>0.79463430000000002</c:v>
                </c:pt>
                <c:pt idx="36">
                  <c:v>0.9837329999999993</c:v>
                </c:pt>
                <c:pt idx="37">
                  <c:v>0.24064150000000001</c:v>
                </c:pt>
                <c:pt idx="38">
                  <c:v>1</c:v>
                </c:pt>
              </c:numCache>
            </c:numRef>
          </c:xVal>
          <c:yVal>
            <c:numRef>
              <c:f>figure1!$E$2:$E$40</c:f>
              <c:numCache>
                <c:formatCode>General</c:formatCode>
                <c:ptCount val="39"/>
                <c:pt idx="0">
                  <c:v>0.5567107</c:v>
                </c:pt>
                <c:pt idx="1">
                  <c:v>0.86494490000000068</c:v>
                </c:pt>
                <c:pt idx="2">
                  <c:v>0.66613920000000082</c:v>
                </c:pt>
                <c:pt idx="3">
                  <c:v>0.32743840000000041</c:v>
                </c:pt>
                <c:pt idx="4">
                  <c:v>0.31031060000000055</c:v>
                </c:pt>
                <c:pt idx="5">
                  <c:v>1.1204830000000001</c:v>
                </c:pt>
                <c:pt idx="6">
                  <c:v>0.46788980000000041</c:v>
                </c:pt>
                <c:pt idx="7">
                  <c:v>0.76393370000000005</c:v>
                </c:pt>
                <c:pt idx="8">
                  <c:v>0.78759599999999996</c:v>
                </c:pt>
                <c:pt idx="9">
                  <c:v>0.25217330000000004</c:v>
                </c:pt>
                <c:pt idx="10">
                  <c:v>0.58357539999999941</c:v>
                </c:pt>
                <c:pt idx="11">
                  <c:v>0.21997510000000017</c:v>
                </c:pt>
                <c:pt idx="12">
                  <c:v>7.3218000000000033E-2</c:v>
                </c:pt>
                <c:pt idx="13">
                  <c:v>0.48979010000000001</c:v>
                </c:pt>
                <c:pt idx="14">
                  <c:v>0.46262970000000025</c:v>
                </c:pt>
                <c:pt idx="15">
                  <c:v>0.88196160000000012</c:v>
                </c:pt>
                <c:pt idx="16">
                  <c:v>0.80972160000000082</c:v>
                </c:pt>
                <c:pt idx="17">
                  <c:v>0.39400820000000042</c:v>
                </c:pt>
                <c:pt idx="18">
                  <c:v>0.16828230000000016</c:v>
                </c:pt>
                <c:pt idx="19">
                  <c:v>0.78008940000000004</c:v>
                </c:pt>
                <c:pt idx="20">
                  <c:v>0.50496039999999931</c:v>
                </c:pt>
                <c:pt idx="21">
                  <c:v>0.44338850000000041</c:v>
                </c:pt>
                <c:pt idx="22">
                  <c:v>0.58808089999999957</c:v>
                </c:pt>
                <c:pt idx="23">
                  <c:v>0.62765059999999995</c:v>
                </c:pt>
                <c:pt idx="24">
                  <c:v>-3.2254100000000015E-2</c:v>
                </c:pt>
                <c:pt idx="25">
                  <c:v>0.62937580000000082</c:v>
                </c:pt>
                <c:pt idx="26">
                  <c:v>0.23856880000000014</c:v>
                </c:pt>
                <c:pt idx="27">
                  <c:v>0.54500870000000001</c:v>
                </c:pt>
                <c:pt idx="28">
                  <c:v>0.53833909999999996</c:v>
                </c:pt>
                <c:pt idx="29">
                  <c:v>1.0085059999999999</c:v>
                </c:pt>
                <c:pt idx="30">
                  <c:v>0.73179950000000082</c:v>
                </c:pt>
                <c:pt idx="31">
                  <c:v>0.3375905000000004</c:v>
                </c:pt>
                <c:pt idx="32">
                  <c:v>0.85644810000000005</c:v>
                </c:pt>
                <c:pt idx="33">
                  <c:v>3.7141400000000012E-2</c:v>
                </c:pt>
                <c:pt idx="34">
                  <c:v>0.18041080000000023</c:v>
                </c:pt>
                <c:pt idx="35">
                  <c:v>0.95184200000000052</c:v>
                </c:pt>
                <c:pt idx="36">
                  <c:v>0.80653639999999927</c:v>
                </c:pt>
                <c:pt idx="37">
                  <c:v>0.47691090000000047</c:v>
                </c:pt>
                <c:pt idx="38">
                  <c:v>0.76234720000000056</c:v>
                </c:pt>
              </c:numCache>
            </c:numRef>
          </c:yVal>
          <c:smooth val="0"/>
        </c:ser>
        <c:dLbls>
          <c:showLegendKey val="0"/>
          <c:showVal val="0"/>
          <c:showCatName val="0"/>
          <c:showSerName val="0"/>
          <c:showPercent val="0"/>
          <c:showBubbleSize val="0"/>
        </c:dLbls>
        <c:axId val="142813824"/>
        <c:axId val="143004416"/>
      </c:scatterChart>
      <c:valAx>
        <c:axId val="142813824"/>
        <c:scaling>
          <c:orientation val="minMax"/>
          <c:max val="1"/>
          <c:min val="0"/>
        </c:scaling>
        <c:delete val="0"/>
        <c:axPos val="b"/>
        <c:majorGridlines>
          <c:spPr>
            <a:ln w="3175">
              <a:solidFill>
                <a:srgbClr val="C0C0C0"/>
              </a:solidFill>
              <a:prstDash val="sysDash"/>
            </a:ln>
          </c:spPr>
        </c:majorGridlines>
        <c:title>
          <c:tx>
            <c:rich>
              <a:bodyPr/>
              <a:lstStyle/>
              <a:p>
                <a:pPr>
                  <a:defRPr sz="900"/>
                </a:pPr>
                <a:r>
                  <a:rPr lang="en-US" sz="900"/>
                  <a:t>Fraction of Banking System Widely Held</a:t>
                </a:r>
              </a:p>
            </c:rich>
          </c:tx>
          <c:overlay val="0"/>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3004416"/>
        <c:crosses val="autoZero"/>
        <c:crossBetween val="midCat"/>
        <c:majorUnit val="0.2"/>
      </c:valAx>
      <c:valAx>
        <c:axId val="143004416"/>
        <c:scaling>
          <c:orientation val="minMax"/>
          <c:max val="1"/>
          <c:min val="-0.1"/>
        </c:scaling>
        <c:delete val="0"/>
        <c:axPos val="l"/>
        <c:majorGridlines>
          <c:spPr>
            <a:ln w="3175">
              <a:solidFill>
                <a:srgbClr val="C0C0C0"/>
              </a:solidFill>
              <a:prstDash val="sysDash"/>
            </a:ln>
          </c:spPr>
        </c:majorGridlines>
        <c:title>
          <c:tx>
            <c:rich>
              <a:bodyPr rot="-5400000" vert="horz"/>
              <a:lstStyle/>
              <a:p>
                <a:pPr>
                  <a:defRPr sz="900"/>
                </a:pPr>
                <a:r>
                  <a:rPr lang="en-US" sz="900"/>
                  <a:t>Capital Allocation Efficiency</a:t>
                </a:r>
              </a:p>
            </c:rich>
          </c:tx>
          <c:layout>
            <c:manualLayout>
              <c:xMode val="edge"/>
              <c:yMode val="edge"/>
              <c:x val="1.1129680218544121E-2"/>
              <c:y val="0.3139501088769358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2813824"/>
        <c:crosses val="autoZero"/>
        <c:crossBetween val="midCat"/>
      </c:valAx>
      <c:spPr>
        <a:noFill/>
        <a:ln w="25400">
          <a:noFill/>
        </a:ln>
      </c:spPr>
    </c:plotArea>
    <c:plotVisOnly val="1"/>
    <c:dispBlanksAs val="gap"/>
    <c:showDLblsOverMax val="0"/>
  </c:chart>
  <c:spPr>
    <a:solidFill>
      <a:srgbClr val="FFFFFF"/>
    </a:solidFill>
    <a:ln w="9525">
      <a:noFill/>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92828942953493"/>
          <c:y val="3.2795253233890931E-2"/>
          <c:w val="0.77301015147023189"/>
          <c:h val="0.88980545234230879"/>
        </c:manualLayout>
      </c:layout>
      <c:scatterChart>
        <c:scatterStyle val="lineMarker"/>
        <c:varyColors val="0"/>
        <c:ser>
          <c:idx val="0"/>
          <c:order val="0"/>
          <c:spPr>
            <a:ln w="28575">
              <a:noFill/>
            </a:ln>
          </c:spPr>
          <c:marker>
            <c:symbol val="square"/>
            <c:size val="6"/>
            <c:spPr>
              <a:solidFill>
                <a:schemeClr val="tx1"/>
              </a:solidFill>
            </c:spPr>
          </c:marker>
          <c:dLbls>
            <c:dLbl>
              <c:idx val="0"/>
              <c:layout>
                <c:manualLayout>
                  <c:x val="-1.25859267591549E-3"/>
                  <c:y val="-2.2142036334044281E-4"/>
                </c:manualLayout>
              </c:layout>
              <c:tx>
                <c:strRef>
                  <c:f>figure1!$A$2</c:f>
                  <c:strCache>
                    <c:ptCount val="1"/>
                    <c:pt idx="0">
                      <c:v>AU</c:v>
                    </c:pt>
                  </c:strCache>
                </c:strRef>
              </c:tx>
              <c:dLblPos val="r"/>
              <c:showLegendKey val="0"/>
              <c:showVal val="0"/>
              <c:showCatName val="0"/>
              <c:showSerName val="0"/>
              <c:showPercent val="0"/>
              <c:showBubbleSize val="0"/>
            </c:dLbl>
            <c:dLbl>
              <c:idx val="1"/>
              <c:layout>
                <c:manualLayout>
                  <c:x val="-2.7338491245967673E-2"/>
                  <c:y val="-3.3360815480735231E-2"/>
                </c:manualLayout>
              </c:layout>
              <c:tx>
                <c:strRef>
                  <c:f>figure1!$A$3</c:f>
                  <c:strCache>
                    <c:ptCount val="1"/>
                    <c:pt idx="0">
                      <c:v>AT</c:v>
                    </c:pt>
                  </c:strCache>
                </c:strRef>
              </c:tx>
              <c:dLblPos val="r"/>
              <c:showLegendKey val="0"/>
              <c:showVal val="0"/>
              <c:showCatName val="0"/>
              <c:showSerName val="0"/>
              <c:showPercent val="0"/>
              <c:showBubbleSize val="0"/>
            </c:dLbl>
            <c:dLbl>
              <c:idx val="2"/>
              <c:layout>
                <c:manualLayout>
                  <c:x val="-1.2587712250254433E-3"/>
                  <c:y val="-2.4928570470428846E-3"/>
                </c:manualLayout>
              </c:layout>
              <c:tx>
                <c:strRef>
                  <c:f>figure1!$A$4</c:f>
                  <c:strCache>
                    <c:ptCount val="1"/>
                    <c:pt idx="0">
                      <c:v>CA</c:v>
                    </c:pt>
                  </c:strCache>
                </c:strRef>
              </c:tx>
              <c:dLblPos val="r"/>
              <c:showLegendKey val="0"/>
              <c:showVal val="0"/>
              <c:showCatName val="0"/>
              <c:showSerName val="0"/>
              <c:showPercent val="0"/>
              <c:showBubbleSize val="0"/>
            </c:dLbl>
            <c:dLbl>
              <c:idx val="3"/>
              <c:tx>
                <c:strRef>
                  <c:f>figure1!$A$5</c:f>
                  <c:strCache>
                    <c:ptCount val="1"/>
                    <c:pt idx="0">
                      <c:v>CL</c:v>
                    </c:pt>
                  </c:strCache>
                </c:strRef>
              </c:tx>
              <c:dLblPos val="t"/>
              <c:showLegendKey val="0"/>
              <c:showVal val="0"/>
              <c:showCatName val="0"/>
              <c:showSerName val="0"/>
              <c:showPercent val="0"/>
              <c:showBubbleSize val="0"/>
            </c:dLbl>
            <c:dLbl>
              <c:idx val="4"/>
              <c:tx>
                <c:strRef>
                  <c:f>figure1!$A$6</c:f>
                  <c:strCache>
                    <c:ptCount val="1"/>
                    <c:pt idx="0">
                      <c:v>CO</c:v>
                    </c:pt>
                  </c:strCache>
                </c:strRef>
              </c:tx>
              <c:dLblPos val="t"/>
              <c:showLegendKey val="0"/>
              <c:showVal val="0"/>
              <c:showCatName val="0"/>
              <c:showSerName val="0"/>
              <c:showPercent val="0"/>
              <c:showBubbleSize val="0"/>
            </c:dLbl>
            <c:dLbl>
              <c:idx val="5"/>
              <c:tx>
                <c:strRef>
                  <c:f>figure1!$A$7</c:f>
                  <c:strCache>
                    <c:ptCount val="1"/>
                    <c:pt idx="0">
                      <c:v>DK</c:v>
                    </c:pt>
                  </c:strCache>
                </c:strRef>
              </c:tx>
              <c:dLblPos val="t"/>
              <c:showLegendKey val="0"/>
              <c:showVal val="0"/>
              <c:showCatName val="0"/>
              <c:showSerName val="0"/>
              <c:showPercent val="0"/>
              <c:showBubbleSize val="0"/>
            </c:dLbl>
            <c:dLbl>
              <c:idx val="6"/>
              <c:layout>
                <c:manualLayout>
                  <c:x val="-1.7687074829931995E-3"/>
                  <c:y val="-2.4928570470428846E-3"/>
                </c:manualLayout>
              </c:layout>
              <c:tx>
                <c:strRef>
                  <c:f>figure1!$A$8</c:f>
                  <c:strCache>
                    <c:ptCount val="1"/>
                    <c:pt idx="0">
                      <c:v>EG</c:v>
                    </c:pt>
                  </c:strCache>
                </c:strRef>
              </c:tx>
              <c:dLblPos val="r"/>
              <c:showLegendKey val="0"/>
              <c:showVal val="0"/>
              <c:showCatName val="0"/>
              <c:showSerName val="0"/>
              <c:showPercent val="0"/>
              <c:showBubbleSize val="0"/>
            </c:dLbl>
            <c:dLbl>
              <c:idx val="7"/>
              <c:layout>
                <c:manualLayout>
                  <c:x val="-8.7690290839102306E-2"/>
                  <c:y val="1.8782240134141058E-2"/>
                </c:manualLayout>
              </c:layout>
              <c:tx>
                <c:strRef>
                  <c:f>figure1!$A$9</c:f>
                  <c:strCache>
                    <c:ptCount val="1"/>
                    <c:pt idx="0">
                      <c:v>FI</c:v>
                    </c:pt>
                  </c:strCache>
                </c:strRef>
              </c:tx>
              <c:dLblPos val="r"/>
              <c:showLegendKey val="0"/>
              <c:showVal val="0"/>
              <c:showCatName val="0"/>
              <c:showSerName val="0"/>
              <c:showPercent val="0"/>
              <c:showBubbleSize val="0"/>
            </c:dLbl>
            <c:dLbl>
              <c:idx val="8"/>
              <c:layout>
                <c:manualLayout>
                  <c:x val="-9.7983852038879368E-2"/>
                  <c:y val="-2.2147283514502788E-4"/>
                </c:manualLayout>
              </c:layout>
              <c:tx>
                <c:strRef>
                  <c:f>figure1!$A$10</c:f>
                  <c:strCache>
                    <c:ptCount val="1"/>
                    <c:pt idx="0">
                      <c:v>FR</c:v>
                    </c:pt>
                  </c:strCache>
                </c:strRef>
              </c:tx>
              <c:dLblPos val="r"/>
              <c:showLegendKey val="0"/>
              <c:showVal val="0"/>
              <c:showCatName val="0"/>
              <c:showSerName val="0"/>
              <c:showPercent val="0"/>
              <c:showBubbleSize val="0"/>
            </c:dLbl>
            <c:dLbl>
              <c:idx val="9"/>
              <c:tx>
                <c:strRef>
                  <c:f>figure1!$A$11</c:f>
                  <c:strCache>
                    <c:ptCount val="1"/>
                    <c:pt idx="0">
                      <c:v>DE</c:v>
                    </c:pt>
                  </c:strCache>
                </c:strRef>
              </c:tx>
              <c:dLblPos val="t"/>
              <c:showLegendKey val="0"/>
              <c:showVal val="0"/>
              <c:showCatName val="0"/>
              <c:showSerName val="0"/>
              <c:showPercent val="0"/>
              <c:showBubbleSize val="0"/>
            </c:dLbl>
            <c:dLbl>
              <c:idx val="10"/>
              <c:tx>
                <c:strRef>
                  <c:f>figure1!$A$12</c:f>
                  <c:strCache>
                    <c:ptCount val="1"/>
                    <c:pt idx="0">
                      <c:v>GR</c:v>
                    </c:pt>
                  </c:strCache>
                </c:strRef>
              </c:tx>
              <c:dLblPos val="t"/>
              <c:showLegendKey val="0"/>
              <c:showVal val="0"/>
              <c:showCatName val="0"/>
              <c:showSerName val="0"/>
              <c:showPercent val="0"/>
              <c:showBubbleSize val="0"/>
            </c:dLbl>
            <c:dLbl>
              <c:idx val="11"/>
              <c:layout>
                <c:manualLayout>
                  <c:x val="-9.0701926230528258E-3"/>
                  <c:y val="-1.146595820953971E-2"/>
                </c:manualLayout>
              </c:layout>
              <c:tx>
                <c:strRef>
                  <c:f>figure1!$A$13</c:f>
                  <c:strCache>
                    <c:ptCount val="1"/>
                    <c:pt idx="0">
                      <c:v>IN</c:v>
                    </c:pt>
                  </c:strCache>
                </c:strRef>
              </c:tx>
              <c:dLblPos val="r"/>
              <c:showLegendKey val="0"/>
              <c:showVal val="0"/>
              <c:showCatName val="0"/>
              <c:showSerName val="0"/>
              <c:showPercent val="0"/>
              <c:showBubbleSize val="0"/>
            </c:dLbl>
            <c:dLbl>
              <c:idx val="12"/>
              <c:tx>
                <c:strRef>
                  <c:f>figure1!$A$14</c:f>
                  <c:strCache>
                    <c:ptCount val="1"/>
                    <c:pt idx="0">
                      <c:v>ID</c:v>
                    </c:pt>
                  </c:strCache>
                </c:strRef>
              </c:tx>
              <c:dLblPos val="t"/>
              <c:showLegendKey val="0"/>
              <c:showVal val="0"/>
              <c:showCatName val="0"/>
              <c:showSerName val="0"/>
              <c:showPercent val="0"/>
              <c:showBubbleSize val="0"/>
            </c:dLbl>
            <c:dLbl>
              <c:idx val="13"/>
              <c:layout>
                <c:manualLayout>
                  <c:x val="-1.6573918966560741E-2"/>
                  <c:y val="-2.4431357098192354E-2"/>
                </c:manualLayout>
              </c:layout>
              <c:tx>
                <c:strRef>
                  <c:f>figure1!$A$15</c:f>
                  <c:strCache>
                    <c:ptCount val="1"/>
                    <c:pt idx="0">
                      <c:v>IE</c:v>
                    </c:pt>
                  </c:strCache>
                </c:strRef>
              </c:tx>
              <c:dLblPos val="r"/>
              <c:showLegendKey val="0"/>
              <c:showVal val="0"/>
              <c:showCatName val="0"/>
              <c:showSerName val="0"/>
              <c:showPercent val="0"/>
              <c:showBubbleSize val="0"/>
            </c:dLbl>
            <c:dLbl>
              <c:idx val="14"/>
              <c:layout>
                <c:manualLayout>
                  <c:x val="-2.5708750691877797E-2"/>
                  <c:y val="2.7035819841088882E-2"/>
                </c:manualLayout>
              </c:layout>
              <c:tx>
                <c:strRef>
                  <c:f>figure1!$A$16</c:f>
                  <c:strCache>
                    <c:ptCount val="1"/>
                    <c:pt idx="0">
                      <c:v>IL</c:v>
                    </c:pt>
                  </c:strCache>
                </c:strRef>
              </c:tx>
              <c:dLblPos val="r"/>
              <c:showLegendKey val="0"/>
              <c:showVal val="0"/>
              <c:showCatName val="0"/>
              <c:showSerName val="0"/>
              <c:showPercent val="0"/>
              <c:showBubbleSize val="0"/>
            </c:dLbl>
            <c:dLbl>
              <c:idx val="15"/>
              <c:tx>
                <c:strRef>
                  <c:f>figure1!$A$17</c:f>
                  <c:strCache>
                    <c:ptCount val="1"/>
                    <c:pt idx="0">
                      <c:v>IT</c:v>
                    </c:pt>
                  </c:strCache>
                </c:strRef>
              </c:tx>
              <c:dLblPos val="t"/>
              <c:showLegendKey val="0"/>
              <c:showVal val="0"/>
              <c:showCatName val="0"/>
              <c:showSerName val="0"/>
              <c:showPercent val="0"/>
              <c:showBubbleSize val="0"/>
            </c:dLbl>
            <c:dLbl>
              <c:idx val="16"/>
              <c:layout>
                <c:manualLayout>
                  <c:x val="-7.8743285729183432E-2"/>
                  <c:y val="-1.6121446776694436E-2"/>
                </c:manualLayout>
              </c:layout>
              <c:tx>
                <c:strRef>
                  <c:f>figure1!$A$18</c:f>
                  <c:strCache>
                    <c:ptCount val="1"/>
                    <c:pt idx="0">
                      <c:v>JP</c:v>
                    </c:pt>
                  </c:strCache>
                </c:strRef>
              </c:tx>
              <c:dLblPos val="r"/>
              <c:showLegendKey val="0"/>
              <c:showVal val="0"/>
              <c:showCatName val="0"/>
              <c:showSerName val="0"/>
              <c:showPercent val="0"/>
              <c:showBubbleSize val="0"/>
            </c:dLbl>
            <c:dLbl>
              <c:idx val="17"/>
              <c:layout>
                <c:manualLayout>
                  <c:x val="-3.2001178424125684E-2"/>
                  <c:y val="2.9307256524791311E-2"/>
                </c:manualLayout>
              </c:layout>
              <c:tx>
                <c:strRef>
                  <c:f>figure1!$A$19</c:f>
                  <c:strCache>
                    <c:ptCount val="1"/>
                    <c:pt idx="0">
                      <c:v>JO</c:v>
                    </c:pt>
                  </c:strCache>
                </c:strRef>
              </c:tx>
              <c:dLblPos val="r"/>
              <c:showLegendKey val="0"/>
              <c:showVal val="0"/>
              <c:showCatName val="0"/>
              <c:showSerName val="0"/>
              <c:showPercent val="0"/>
              <c:showBubbleSize val="0"/>
            </c:dLbl>
            <c:dLbl>
              <c:idx val="18"/>
              <c:layout>
                <c:manualLayout>
                  <c:x val="-8.0024624900323707E-3"/>
                  <c:y val="-8.9820071917484593E-3"/>
                </c:manualLayout>
              </c:layout>
              <c:tx>
                <c:strRef>
                  <c:f>figure1!$A$20</c:f>
                  <c:strCache>
                    <c:ptCount val="1"/>
                    <c:pt idx="0">
                      <c:v>KE</c:v>
                    </c:pt>
                  </c:strCache>
                </c:strRef>
              </c:tx>
              <c:dLblPos val="r"/>
              <c:showLegendKey val="0"/>
              <c:showVal val="0"/>
              <c:showCatName val="0"/>
              <c:showSerName val="0"/>
              <c:showPercent val="0"/>
              <c:showBubbleSize val="0"/>
            </c:dLbl>
            <c:dLbl>
              <c:idx val="19"/>
              <c:layout>
                <c:manualLayout>
                  <c:x val="1.008981020229636E-3"/>
                  <c:y val="-2.2142036334044281E-4"/>
                </c:manualLayout>
              </c:layout>
              <c:tx>
                <c:strRef>
                  <c:f>figure1!$A$21</c:f>
                  <c:strCache>
                    <c:ptCount val="1"/>
                    <c:pt idx="0">
                      <c:v>KR</c:v>
                    </c:pt>
                  </c:strCache>
                </c:strRef>
              </c:tx>
              <c:dLblPos val="r"/>
              <c:showLegendKey val="0"/>
              <c:showVal val="0"/>
              <c:showCatName val="0"/>
              <c:showSerName val="0"/>
              <c:showPercent val="0"/>
              <c:showBubbleSize val="0"/>
            </c:dLbl>
            <c:dLbl>
              <c:idx val="20"/>
              <c:tx>
                <c:strRef>
                  <c:f>figure1!$A$22</c:f>
                  <c:strCache>
                    <c:ptCount val="1"/>
                    <c:pt idx="0">
                      <c:v>MY</c:v>
                    </c:pt>
                  </c:strCache>
                </c:strRef>
              </c:tx>
              <c:dLblPos val="t"/>
              <c:showLegendKey val="0"/>
              <c:showVal val="0"/>
              <c:showCatName val="0"/>
              <c:showSerName val="0"/>
              <c:showPercent val="0"/>
              <c:showBubbleSize val="0"/>
            </c:dLbl>
            <c:dLbl>
              <c:idx val="21"/>
              <c:layout>
                <c:manualLayout>
                  <c:x val="-3.4013605442176811E-2"/>
                  <c:y val="2.7035819841088882E-2"/>
                </c:manualLayout>
              </c:layout>
              <c:tx>
                <c:strRef>
                  <c:f>figure1!$A$23</c:f>
                  <c:strCache>
                    <c:ptCount val="1"/>
                    <c:pt idx="0">
                      <c:v>MX</c:v>
                    </c:pt>
                  </c:strCache>
                </c:strRef>
              </c:tx>
              <c:dLblPos val="r"/>
              <c:showLegendKey val="0"/>
              <c:showVal val="0"/>
              <c:showCatName val="0"/>
              <c:showSerName val="0"/>
              <c:showPercent val="0"/>
              <c:showBubbleSize val="0"/>
            </c:dLbl>
            <c:dLbl>
              <c:idx val="22"/>
              <c:layout>
                <c:manualLayout>
                  <c:x val="-8.8954301843433572E-2"/>
                  <c:y val="-2.2147283514502788E-4"/>
                </c:manualLayout>
              </c:layout>
              <c:tx>
                <c:strRef>
                  <c:f>figure1!$A$24</c:f>
                  <c:strCache>
                    <c:ptCount val="1"/>
                    <c:pt idx="0">
                      <c:v>NL</c:v>
                    </c:pt>
                  </c:strCache>
                </c:strRef>
              </c:tx>
              <c:dLblPos val="r"/>
              <c:showLegendKey val="0"/>
              <c:showVal val="0"/>
              <c:showCatName val="0"/>
              <c:showSerName val="0"/>
              <c:showPercent val="0"/>
              <c:showBubbleSize val="0"/>
            </c:dLbl>
            <c:dLbl>
              <c:idx val="23"/>
              <c:layout>
                <c:manualLayout>
                  <c:x val="-2.2675736961451308E-3"/>
                  <c:y val="-2.2142036334048433E-4"/>
                </c:manualLayout>
              </c:layout>
              <c:tx>
                <c:strRef>
                  <c:f>figure1!$A$25</c:f>
                  <c:strCache>
                    <c:ptCount val="1"/>
                    <c:pt idx="0">
                      <c:v>NO</c:v>
                    </c:pt>
                  </c:strCache>
                </c:strRef>
              </c:tx>
              <c:dLblPos val="r"/>
              <c:showLegendKey val="0"/>
              <c:showVal val="0"/>
              <c:showCatName val="0"/>
              <c:showSerName val="0"/>
              <c:showPercent val="0"/>
              <c:showBubbleSize val="0"/>
            </c:dLbl>
            <c:dLbl>
              <c:idx val="24"/>
              <c:layout>
                <c:manualLayout>
                  <c:x val="1.5078472333815644E-3"/>
                  <c:y val="-2.2142036334044281E-4"/>
                </c:manualLayout>
              </c:layout>
              <c:tx>
                <c:strRef>
                  <c:f>figure1!$A$26</c:f>
                  <c:strCache>
                    <c:ptCount val="1"/>
                    <c:pt idx="0">
                      <c:v>PK</c:v>
                    </c:pt>
                  </c:strCache>
                </c:strRef>
              </c:tx>
              <c:dLblPos val="r"/>
              <c:showLegendKey val="0"/>
              <c:showVal val="0"/>
              <c:showCatName val="0"/>
              <c:showSerName val="0"/>
              <c:showPercent val="0"/>
              <c:showBubbleSize val="0"/>
            </c:dLbl>
            <c:dLbl>
              <c:idx val="25"/>
              <c:tx>
                <c:strRef>
                  <c:f>figure1!$A$27</c:f>
                  <c:strCache>
                    <c:ptCount val="1"/>
                    <c:pt idx="0">
                      <c:v>PE</c:v>
                    </c:pt>
                  </c:strCache>
                </c:strRef>
              </c:tx>
              <c:dLblPos val="t"/>
              <c:showLegendKey val="0"/>
              <c:showVal val="0"/>
              <c:showCatName val="0"/>
              <c:showSerName val="0"/>
              <c:showPercent val="0"/>
              <c:showBubbleSize val="0"/>
            </c:dLbl>
            <c:dLbl>
              <c:idx val="26"/>
              <c:tx>
                <c:strRef>
                  <c:f>figure1!$A$28</c:f>
                  <c:strCache>
                    <c:ptCount val="1"/>
                    <c:pt idx="0">
                      <c:v>PH</c:v>
                    </c:pt>
                  </c:strCache>
                </c:strRef>
              </c:tx>
              <c:dLblPos val="t"/>
              <c:showLegendKey val="0"/>
              <c:showVal val="0"/>
              <c:showCatName val="0"/>
              <c:showSerName val="0"/>
              <c:showPercent val="0"/>
              <c:showBubbleSize val="0"/>
            </c:dLbl>
            <c:dLbl>
              <c:idx val="27"/>
              <c:tx>
                <c:strRef>
                  <c:f>figure1!$A$29</c:f>
                  <c:strCache>
                    <c:ptCount val="1"/>
                    <c:pt idx="0">
                      <c:v>PT</c:v>
                    </c:pt>
                  </c:strCache>
                </c:strRef>
              </c:tx>
              <c:dLblPos val="t"/>
              <c:showLegendKey val="0"/>
              <c:showVal val="0"/>
              <c:showCatName val="0"/>
              <c:showSerName val="0"/>
              <c:showPercent val="0"/>
              <c:showBubbleSize val="0"/>
            </c:dLbl>
            <c:dLbl>
              <c:idx val="28"/>
              <c:tx>
                <c:strRef>
                  <c:f>figure1!$A$30</c:f>
                  <c:strCache>
                    <c:ptCount val="1"/>
                    <c:pt idx="0">
                      <c:v>SG</c:v>
                    </c:pt>
                  </c:strCache>
                </c:strRef>
              </c:tx>
              <c:dLblPos val="t"/>
              <c:showLegendKey val="0"/>
              <c:showVal val="0"/>
              <c:showCatName val="0"/>
              <c:showSerName val="0"/>
              <c:showPercent val="0"/>
              <c:showBubbleSize val="0"/>
            </c:dLbl>
            <c:dLbl>
              <c:idx val="29"/>
              <c:tx>
                <c:strRef>
                  <c:f>figure1!$A$31</c:f>
                  <c:strCache>
                    <c:ptCount val="1"/>
                    <c:pt idx="0">
                      <c:v>ZA</c:v>
                    </c:pt>
                  </c:strCache>
                </c:strRef>
              </c:tx>
              <c:dLblPos val="t"/>
              <c:showLegendKey val="0"/>
              <c:showVal val="0"/>
              <c:showCatName val="0"/>
              <c:showSerName val="0"/>
              <c:showPercent val="0"/>
              <c:showBubbleSize val="0"/>
            </c:dLbl>
            <c:dLbl>
              <c:idx val="30"/>
              <c:tx>
                <c:strRef>
                  <c:f>figure1!$A$32</c:f>
                  <c:strCache>
                    <c:ptCount val="1"/>
                    <c:pt idx="0">
                      <c:v>ES</c:v>
                    </c:pt>
                  </c:strCache>
                </c:strRef>
              </c:tx>
              <c:dLblPos val="t"/>
              <c:showLegendKey val="0"/>
              <c:showVal val="0"/>
              <c:showCatName val="0"/>
              <c:showSerName val="0"/>
              <c:showPercent val="0"/>
              <c:showBubbleSize val="0"/>
            </c:dLbl>
            <c:dLbl>
              <c:idx val="31"/>
              <c:layout>
                <c:manualLayout>
                  <c:x val="2.4371953505811832E-4"/>
                  <c:y val="-4.7642937307453359E-3"/>
                </c:manualLayout>
              </c:layout>
              <c:tx>
                <c:strRef>
                  <c:f>figure1!$A$33</c:f>
                  <c:strCache>
                    <c:ptCount val="1"/>
                    <c:pt idx="0">
                      <c:v>LK</c:v>
                    </c:pt>
                  </c:strCache>
                </c:strRef>
              </c:tx>
              <c:dLblPos val="r"/>
              <c:showLegendKey val="0"/>
              <c:showVal val="0"/>
              <c:showCatName val="0"/>
              <c:showSerName val="0"/>
              <c:showPercent val="0"/>
              <c:showBubbleSize val="0"/>
            </c:dLbl>
            <c:dLbl>
              <c:idx val="32"/>
              <c:tx>
                <c:strRef>
                  <c:f>figure1!$A$34</c:f>
                  <c:strCache>
                    <c:ptCount val="1"/>
                    <c:pt idx="0">
                      <c:v>SE</c:v>
                    </c:pt>
                  </c:strCache>
                </c:strRef>
              </c:tx>
              <c:dLblPos val="t"/>
              <c:showLegendKey val="0"/>
              <c:showVal val="0"/>
              <c:showCatName val="0"/>
              <c:showSerName val="0"/>
              <c:showPercent val="0"/>
              <c:showBubbleSize val="0"/>
            </c:dLbl>
            <c:dLbl>
              <c:idx val="33"/>
              <c:tx>
                <c:strRef>
                  <c:f>figure1!$A$35</c:f>
                  <c:strCache>
                    <c:ptCount val="1"/>
                    <c:pt idx="0">
                      <c:v>TH</c:v>
                    </c:pt>
                  </c:strCache>
                </c:strRef>
              </c:tx>
              <c:dLblPos val="t"/>
              <c:showLegendKey val="0"/>
              <c:showVal val="0"/>
              <c:showCatName val="0"/>
              <c:showSerName val="0"/>
              <c:showPercent val="0"/>
              <c:showBubbleSize val="0"/>
            </c:dLbl>
            <c:dLbl>
              <c:idx val="34"/>
              <c:tx>
                <c:strRef>
                  <c:f>figure1!$A$36</c:f>
                  <c:strCache>
                    <c:ptCount val="1"/>
                    <c:pt idx="0">
                      <c:v>TR</c:v>
                    </c:pt>
                  </c:strCache>
                </c:strRef>
              </c:tx>
              <c:dLblPos val="t"/>
              <c:showLegendKey val="0"/>
              <c:showVal val="0"/>
              <c:showCatName val="0"/>
              <c:showSerName val="0"/>
              <c:showPercent val="0"/>
              <c:showBubbleSize val="0"/>
            </c:dLbl>
            <c:dLbl>
              <c:idx val="35"/>
              <c:tx>
                <c:strRef>
                  <c:f>figure1!$A$37</c:f>
                  <c:strCache>
                    <c:ptCount val="1"/>
                    <c:pt idx="0">
                      <c:v>GB</c:v>
                    </c:pt>
                  </c:strCache>
                </c:strRef>
              </c:tx>
              <c:dLblPos val="t"/>
              <c:showLegendKey val="0"/>
              <c:showVal val="0"/>
              <c:showCatName val="0"/>
              <c:showSerName val="0"/>
              <c:showPercent val="0"/>
              <c:showBubbleSize val="0"/>
            </c:dLbl>
            <c:dLbl>
              <c:idx val="36"/>
              <c:layout>
                <c:manualLayout>
                  <c:x val="1.0089810202295935E-3"/>
                  <c:y val="-7.0357304144477934E-3"/>
                </c:manualLayout>
              </c:layout>
              <c:tx>
                <c:strRef>
                  <c:f>figure1!$A$38</c:f>
                  <c:strCache>
                    <c:ptCount val="1"/>
                    <c:pt idx="0">
                      <c:v>US</c:v>
                    </c:pt>
                  </c:strCache>
                </c:strRef>
              </c:tx>
              <c:dLblPos val="r"/>
              <c:showLegendKey val="0"/>
              <c:showVal val="0"/>
              <c:showCatName val="0"/>
              <c:showSerName val="0"/>
              <c:showPercent val="0"/>
              <c:showBubbleSize val="0"/>
            </c:dLbl>
            <c:dLbl>
              <c:idx val="37"/>
              <c:tx>
                <c:strRef>
                  <c:f>figure1!$A$39</c:f>
                  <c:strCache>
                    <c:ptCount val="1"/>
                    <c:pt idx="0">
                      <c:v>ZM</c:v>
                    </c:pt>
                  </c:strCache>
                </c:strRef>
              </c:tx>
              <c:dLblPos val="t"/>
              <c:showLegendKey val="0"/>
              <c:showVal val="0"/>
              <c:showCatName val="0"/>
              <c:showSerName val="0"/>
              <c:showPercent val="0"/>
              <c:showBubbleSize val="0"/>
            </c:dLbl>
            <c:dLbl>
              <c:idx val="38"/>
              <c:delete val="1"/>
            </c:dLbl>
            <c:spPr>
              <a:noFill/>
              <a:ln w="25400">
                <a:noFill/>
              </a:ln>
            </c:spPr>
            <c:txPr>
              <a:bodyPr/>
              <a:lstStyle/>
              <a:p>
                <a:pPr>
                  <a:defRPr sz="6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dLbls>
          <c:trendline>
            <c:spPr>
              <a:ln w="25400">
                <a:solidFill>
                  <a:srgbClr val="000000"/>
                </a:solidFill>
                <a:prstDash val="solid"/>
              </a:ln>
            </c:spPr>
            <c:trendlineType val="linear"/>
            <c:dispRSqr val="0"/>
            <c:dispEq val="0"/>
          </c:trendline>
          <c:xVal>
            <c:numRef>
              <c:f>figure1!$B$2:$B$40</c:f>
              <c:numCache>
                <c:formatCode>_(* #,##0.00_);_(* \(#,##0.00\);_(* "-"??_);_(@_)</c:formatCode>
                <c:ptCount val="39"/>
                <c:pt idx="0">
                  <c:v>5.5069000000000047E-3</c:v>
                </c:pt>
                <c:pt idx="1">
                  <c:v>0</c:v>
                </c:pt>
                <c:pt idx="2">
                  <c:v>0</c:v>
                </c:pt>
                <c:pt idx="3">
                  <c:v>0.70974920000000086</c:v>
                </c:pt>
                <c:pt idx="4">
                  <c:v>0.40822800000000026</c:v>
                </c:pt>
                <c:pt idx="5">
                  <c:v>7.9345000000000023E-3</c:v>
                </c:pt>
                <c:pt idx="6">
                  <c:v>2.0809900000000027E-2</c:v>
                </c:pt>
                <c:pt idx="7">
                  <c:v>0</c:v>
                </c:pt>
                <c:pt idx="8">
                  <c:v>0</c:v>
                </c:pt>
                <c:pt idx="9">
                  <c:v>0.14417140000000001</c:v>
                </c:pt>
                <c:pt idx="10">
                  <c:v>0.35885580000000028</c:v>
                </c:pt>
                <c:pt idx="11">
                  <c:v>0</c:v>
                </c:pt>
                <c:pt idx="12">
                  <c:v>4.1939099999999986E-2</c:v>
                </c:pt>
                <c:pt idx="13">
                  <c:v>0</c:v>
                </c:pt>
                <c:pt idx="14">
                  <c:v>0.48157870000000047</c:v>
                </c:pt>
                <c:pt idx="15">
                  <c:v>0.10915100000000007</c:v>
                </c:pt>
                <c:pt idx="16">
                  <c:v>0</c:v>
                </c:pt>
                <c:pt idx="17">
                  <c:v>0.91294319999999951</c:v>
                </c:pt>
                <c:pt idx="18">
                  <c:v>2.77524E-2</c:v>
                </c:pt>
                <c:pt idx="19">
                  <c:v>2.6082000000000011E-2</c:v>
                </c:pt>
                <c:pt idx="20">
                  <c:v>0.93448949999999997</c:v>
                </c:pt>
                <c:pt idx="21">
                  <c:v>0.70420970000000005</c:v>
                </c:pt>
                <c:pt idx="22">
                  <c:v>0</c:v>
                </c:pt>
                <c:pt idx="23">
                  <c:v>0</c:v>
                </c:pt>
                <c:pt idx="24">
                  <c:v>4.2419100000000001E-2</c:v>
                </c:pt>
                <c:pt idx="25">
                  <c:v>0.48627450000000028</c:v>
                </c:pt>
                <c:pt idx="26">
                  <c:v>0.67772370000000082</c:v>
                </c:pt>
                <c:pt idx="27">
                  <c:v>0.42613810000000002</c:v>
                </c:pt>
                <c:pt idx="28">
                  <c:v>0.56136449999999949</c:v>
                </c:pt>
                <c:pt idx="29">
                  <c:v>0.64433720000000005</c:v>
                </c:pt>
                <c:pt idx="30">
                  <c:v>0.34447360000000032</c:v>
                </c:pt>
                <c:pt idx="31">
                  <c:v>0</c:v>
                </c:pt>
                <c:pt idx="32">
                  <c:v>0.29641820000000041</c:v>
                </c:pt>
                <c:pt idx="33">
                  <c:v>0.5365432999999995</c:v>
                </c:pt>
                <c:pt idx="34">
                  <c:v>0.47894360000000002</c:v>
                </c:pt>
                <c:pt idx="35">
                  <c:v>0.20536570000000001</c:v>
                </c:pt>
                <c:pt idx="36">
                  <c:v>1.6267000000000007E-2</c:v>
                </c:pt>
                <c:pt idx="37">
                  <c:v>0.75935850000000005</c:v>
                </c:pt>
                <c:pt idx="38">
                  <c:v>0</c:v>
                </c:pt>
              </c:numCache>
            </c:numRef>
          </c:xVal>
          <c:yVal>
            <c:numRef>
              <c:f>figure1!$E$2:$E$40</c:f>
              <c:numCache>
                <c:formatCode>General</c:formatCode>
                <c:ptCount val="39"/>
                <c:pt idx="0">
                  <c:v>0.5567107</c:v>
                </c:pt>
                <c:pt idx="1">
                  <c:v>0.86494490000000068</c:v>
                </c:pt>
                <c:pt idx="2">
                  <c:v>0.66613920000000082</c:v>
                </c:pt>
                <c:pt idx="3">
                  <c:v>0.32743840000000041</c:v>
                </c:pt>
                <c:pt idx="4">
                  <c:v>0.31031060000000055</c:v>
                </c:pt>
                <c:pt idx="5">
                  <c:v>1.1204830000000001</c:v>
                </c:pt>
                <c:pt idx="6">
                  <c:v>0.46788980000000041</c:v>
                </c:pt>
                <c:pt idx="7">
                  <c:v>0.76393370000000005</c:v>
                </c:pt>
                <c:pt idx="8">
                  <c:v>0.78759599999999996</c:v>
                </c:pt>
                <c:pt idx="9">
                  <c:v>0.25217330000000004</c:v>
                </c:pt>
                <c:pt idx="10">
                  <c:v>0.5835753999999993</c:v>
                </c:pt>
                <c:pt idx="11">
                  <c:v>0.21997510000000017</c:v>
                </c:pt>
                <c:pt idx="12">
                  <c:v>7.3218000000000019E-2</c:v>
                </c:pt>
                <c:pt idx="13">
                  <c:v>0.48979010000000001</c:v>
                </c:pt>
                <c:pt idx="14">
                  <c:v>0.46262970000000025</c:v>
                </c:pt>
                <c:pt idx="15">
                  <c:v>0.88196160000000001</c:v>
                </c:pt>
                <c:pt idx="16">
                  <c:v>0.80972160000000082</c:v>
                </c:pt>
                <c:pt idx="17">
                  <c:v>0.39400820000000042</c:v>
                </c:pt>
                <c:pt idx="18">
                  <c:v>0.16828230000000013</c:v>
                </c:pt>
                <c:pt idx="19">
                  <c:v>0.78008940000000004</c:v>
                </c:pt>
                <c:pt idx="20">
                  <c:v>0.50496039999999931</c:v>
                </c:pt>
                <c:pt idx="21">
                  <c:v>0.44338850000000041</c:v>
                </c:pt>
                <c:pt idx="22">
                  <c:v>0.58808089999999957</c:v>
                </c:pt>
                <c:pt idx="23">
                  <c:v>0.62765059999999995</c:v>
                </c:pt>
                <c:pt idx="24">
                  <c:v>-3.2254100000000015E-2</c:v>
                </c:pt>
                <c:pt idx="25">
                  <c:v>0.62937580000000082</c:v>
                </c:pt>
                <c:pt idx="26">
                  <c:v>0.23856880000000014</c:v>
                </c:pt>
                <c:pt idx="27">
                  <c:v>0.54500870000000001</c:v>
                </c:pt>
                <c:pt idx="28">
                  <c:v>0.53833909999999996</c:v>
                </c:pt>
                <c:pt idx="29">
                  <c:v>1.0085059999999999</c:v>
                </c:pt>
                <c:pt idx="30">
                  <c:v>0.73179950000000082</c:v>
                </c:pt>
                <c:pt idx="31">
                  <c:v>0.3375905000000004</c:v>
                </c:pt>
                <c:pt idx="32">
                  <c:v>0.85644810000000005</c:v>
                </c:pt>
                <c:pt idx="33">
                  <c:v>3.7141400000000012E-2</c:v>
                </c:pt>
                <c:pt idx="34">
                  <c:v>0.18041080000000023</c:v>
                </c:pt>
                <c:pt idx="35">
                  <c:v>0.95184200000000052</c:v>
                </c:pt>
                <c:pt idx="36">
                  <c:v>0.80653639999999927</c:v>
                </c:pt>
                <c:pt idx="37">
                  <c:v>0.47691090000000047</c:v>
                </c:pt>
                <c:pt idx="38">
                  <c:v>0.76234720000000056</c:v>
                </c:pt>
              </c:numCache>
            </c:numRef>
          </c:yVal>
          <c:smooth val="0"/>
        </c:ser>
        <c:dLbls>
          <c:showLegendKey val="0"/>
          <c:showVal val="0"/>
          <c:showCatName val="0"/>
          <c:showSerName val="0"/>
          <c:showPercent val="0"/>
          <c:showBubbleSize val="0"/>
        </c:dLbls>
        <c:axId val="143025664"/>
        <c:axId val="143027584"/>
      </c:scatterChart>
      <c:valAx>
        <c:axId val="143025664"/>
        <c:scaling>
          <c:orientation val="minMax"/>
          <c:max val="1"/>
          <c:min val="0"/>
        </c:scaling>
        <c:delete val="0"/>
        <c:axPos val="b"/>
        <c:majorGridlines>
          <c:spPr>
            <a:ln w="3175">
              <a:solidFill>
                <a:srgbClr val="C0C0C0"/>
              </a:solidFill>
              <a:prstDash val="sysDash"/>
            </a:ln>
          </c:spPr>
        </c:majorGridlines>
        <c:title>
          <c:tx>
            <c:rich>
              <a:bodyPr/>
              <a:lstStyle/>
              <a:p>
                <a:pPr>
                  <a:defRPr sz="900"/>
                </a:pPr>
                <a:r>
                  <a:rPr lang="en-US" sz="900"/>
                  <a:t>Fraction of Banking System Family-Controlled</a:t>
                </a:r>
              </a:p>
            </c:rich>
          </c:tx>
          <c:overlay val="0"/>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3027584"/>
        <c:crosses val="autoZero"/>
        <c:crossBetween val="midCat"/>
        <c:majorUnit val="0.2"/>
      </c:valAx>
      <c:valAx>
        <c:axId val="143027584"/>
        <c:scaling>
          <c:orientation val="minMax"/>
          <c:max val="1"/>
          <c:min val="-0.1"/>
        </c:scaling>
        <c:delete val="0"/>
        <c:axPos val="l"/>
        <c:majorGridlines>
          <c:spPr>
            <a:ln w="3175">
              <a:solidFill>
                <a:srgbClr val="C0C0C0"/>
              </a:solidFill>
              <a:prstDash val="sysDash"/>
            </a:ln>
          </c:spPr>
        </c:majorGridlines>
        <c:title>
          <c:tx>
            <c:rich>
              <a:bodyPr rot="-5400000" vert="horz"/>
              <a:lstStyle/>
              <a:p>
                <a:pPr>
                  <a:defRPr sz="900"/>
                </a:pPr>
                <a:r>
                  <a:rPr lang="en-US" sz="900"/>
                  <a:t>Capital Allocation Efficiency</a:t>
                </a:r>
              </a:p>
            </c:rich>
          </c:tx>
          <c:layout>
            <c:manualLayout>
              <c:xMode val="edge"/>
              <c:yMode val="edge"/>
              <c:x val="1.1129680218544121E-2"/>
              <c:y val="0.3139501088769358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3025664"/>
        <c:crosses val="autoZero"/>
        <c:crossBetween val="midCat"/>
      </c:valAx>
      <c:spPr>
        <a:noFill/>
        <a:ln w="25400">
          <a:noFill/>
        </a:ln>
      </c:spPr>
    </c:plotArea>
    <c:plotVisOnly val="1"/>
    <c:dispBlanksAs val="gap"/>
    <c:showDLblsOverMax val="0"/>
  </c:chart>
  <c:spPr>
    <a:solidFill>
      <a:srgbClr val="FFFFFF"/>
    </a:solidFill>
    <a:ln w="3175">
      <a:no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42187226596675"/>
          <c:y val="3.2795253233890931E-2"/>
          <c:w val="0.75675590551181182"/>
          <c:h val="0.88980545234230946"/>
        </c:manualLayout>
      </c:layout>
      <c:scatterChart>
        <c:scatterStyle val="lineMarker"/>
        <c:varyColors val="0"/>
        <c:ser>
          <c:idx val="0"/>
          <c:order val="0"/>
          <c:spPr>
            <a:ln w="28575">
              <a:noFill/>
            </a:ln>
          </c:spPr>
          <c:marker>
            <c:symbol val="square"/>
            <c:size val="6"/>
            <c:spPr>
              <a:solidFill>
                <a:schemeClr val="tx1"/>
              </a:solidFill>
            </c:spPr>
          </c:marker>
          <c:dLbls>
            <c:dLbl>
              <c:idx val="0"/>
              <c:layout>
                <c:manualLayout>
                  <c:x val="-1.4864034852786263E-2"/>
                  <c:y val="-2.066435051666245E-2"/>
                </c:manualLayout>
              </c:layout>
              <c:tx>
                <c:strRef>
                  <c:f>figure1!$A$2</c:f>
                  <c:strCache>
                    <c:ptCount val="1"/>
                    <c:pt idx="0">
                      <c:v>AU</c:v>
                    </c:pt>
                  </c:strCache>
                </c:strRef>
              </c:tx>
              <c:dLblPos val="r"/>
              <c:showLegendKey val="0"/>
              <c:showVal val="0"/>
              <c:showCatName val="0"/>
              <c:showSerName val="0"/>
              <c:showPercent val="0"/>
              <c:showBubbleSize val="0"/>
            </c:dLbl>
            <c:dLbl>
              <c:idx val="1"/>
              <c:layout>
                <c:manualLayout>
                  <c:x val="-5.6938775510204057E-2"/>
                  <c:y val="-2.4928570470428846E-3"/>
                </c:manualLayout>
              </c:layout>
              <c:tx>
                <c:strRef>
                  <c:f>figure1!$A$3</c:f>
                  <c:strCache>
                    <c:ptCount val="1"/>
                    <c:pt idx="0">
                      <c:v>AT</c:v>
                    </c:pt>
                  </c:strCache>
                </c:strRef>
              </c:tx>
              <c:dLblPos val="r"/>
              <c:showLegendKey val="0"/>
              <c:showVal val="0"/>
              <c:showCatName val="0"/>
              <c:showSerName val="0"/>
              <c:showPercent val="0"/>
              <c:showBubbleSize val="0"/>
            </c:dLbl>
            <c:dLbl>
              <c:idx val="2"/>
              <c:layout>
                <c:manualLayout>
                  <c:x val="-2.3662292213473355E-2"/>
                  <c:y val="3.0139501491762335E-2"/>
                </c:manualLayout>
              </c:layout>
              <c:tx>
                <c:strRef>
                  <c:f>figure1!$A$4</c:f>
                  <c:strCache>
                    <c:ptCount val="1"/>
                    <c:pt idx="0">
                      <c:v>CA</c:v>
                    </c:pt>
                  </c:strCache>
                </c:strRef>
              </c:tx>
              <c:dLblPos val="r"/>
              <c:showLegendKey val="0"/>
              <c:showVal val="0"/>
              <c:showCatName val="0"/>
              <c:showSerName val="0"/>
              <c:showPercent val="0"/>
              <c:showBubbleSize val="0"/>
            </c:dLbl>
            <c:dLbl>
              <c:idx val="3"/>
              <c:tx>
                <c:strRef>
                  <c:f>figure1!$A$5</c:f>
                  <c:strCache>
                    <c:ptCount val="1"/>
                    <c:pt idx="0">
                      <c:v>CL</c:v>
                    </c:pt>
                  </c:strCache>
                </c:strRef>
              </c:tx>
              <c:dLblPos val="t"/>
              <c:showLegendKey val="0"/>
              <c:showVal val="0"/>
              <c:showCatName val="0"/>
              <c:showSerName val="0"/>
              <c:showPercent val="0"/>
              <c:showBubbleSize val="0"/>
            </c:dLbl>
            <c:dLbl>
              <c:idx val="4"/>
              <c:tx>
                <c:strRef>
                  <c:f>figure1!$A$6</c:f>
                  <c:strCache>
                    <c:ptCount val="1"/>
                    <c:pt idx="0">
                      <c:v>CO</c:v>
                    </c:pt>
                  </c:strCache>
                </c:strRef>
              </c:tx>
              <c:dLblPos val="t"/>
              <c:showLegendKey val="0"/>
              <c:showVal val="0"/>
              <c:showCatName val="0"/>
              <c:showSerName val="0"/>
              <c:showPercent val="0"/>
              <c:showBubbleSize val="0"/>
            </c:dLbl>
            <c:dLbl>
              <c:idx val="5"/>
              <c:tx>
                <c:strRef>
                  <c:f>figure1!$A$7</c:f>
                  <c:strCache>
                    <c:ptCount val="1"/>
                    <c:pt idx="0">
                      <c:v>DK</c:v>
                    </c:pt>
                  </c:strCache>
                </c:strRef>
              </c:tx>
              <c:dLblPos val="t"/>
              <c:showLegendKey val="0"/>
              <c:showVal val="0"/>
              <c:showCatName val="0"/>
              <c:showSerName val="0"/>
              <c:showPercent val="0"/>
              <c:showBubbleSize val="0"/>
            </c:dLbl>
            <c:dLbl>
              <c:idx val="6"/>
              <c:tx>
                <c:strRef>
                  <c:f>figure1!$A$8</c:f>
                  <c:strCache>
                    <c:ptCount val="1"/>
                    <c:pt idx="0">
                      <c:v>EG</c:v>
                    </c:pt>
                  </c:strCache>
                </c:strRef>
              </c:tx>
              <c:dLblPos val="t"/>
              <c:showLegendKey val="0"/>
              <c:showVal val="0"/>
              <c:showCatName val="0"/>
              <c:showSerName val="0"/>
              <c:showPercent val="0"/>
              <c:showBubbleSize val="0"/>
            </c:dLbl>
            <c:dLbl>
              <c:idx val="7"/>
              <c:layout>
                <c:manualLayout>
                  <c:x val="-2.2561679790026245E-3"/>
                  <c:y val="2.0501234057195192E-3"/>
                </c:manualLayout>
              </c:layout>
              <c:tx>
                <c:strRef>
                  <c:f>figure1!$A$9</c:f>
                  <c:strCache>
                    <c:ptCount val="1"/>
                    <c:pt idx="0">
                      <c:v>FI</c:v>
                    </c:pt>
                  </c:strCache>
                </c:strRef>
              </c:tx>
              <c:dLblPos val="r"/>
              <c:showLegendKey val="0"/>
              <c:showVal val="0"/>
              <c:showCatName val="0"/>
              <c:showSerName val="0"/>
              <c:showPercent val="0"/>
              <c:showBubbleSize val="0"/>
            </c:dLbl>
            <c:dLbl>
              <c:idx val="8"/>
              <c:layout>
                <c:manualLayout>
                  <c:x val="-5.2834467120181612E-3"/>
                  <c:y val="-4.7642937307453411E-3"/>
                </c:manualLayout>
              </c:layout>
              <c:tx>
                <c:strRef>
                  <c:f>figure1!$A$10</c:f>
                  <c:strCache>
                    <c:ptCount val="1"/>
                    <c:pt idx="0">
                      <c:v>FR</c:v>
                    </c:pt>
                  </c:strCache>
                </c:strRef>
              </c:tx>
              <c:dLblPos val="r"/>
              <c:showLegendKey val="0"/>
              <c:showVal val="0"/>
              <c:showCatName val="0"/>
              <c:showSerName val="0"/>
              <c:showPercent val="0"/>
              <c:showBubbleSize val="0"/>
            </c:dLbl>
            <c:dLbl>
              <c:idx val="9"/>
              <c:layout>
                <c:manualLayout>
                  <c:x val="-5.8522484689413824E-2"/>
                  <c:y val="-2.7266113408488554E-2"/>
                </c:manualLayout>
              </c:layout>
              <c:tx>
                <c:strRef>
                  <c:f>figure1!$A$11</c:f>
                  <c:strCache>
                    <c:ptCount val="1"/>
                    <c:pt idx="0">
                      <c:v>DE</c:v>
                    </c:pt>
                  </c:strCache>
                </c:strRef>
              </c:tx>
              <c:dLblPos val="r"/>
              <c:showLegendKey val="0"/>
              <c:showVal val="0"/>
              <c:showCatName val="0"/>
              <c:showSerName val="0"/>
              <c:showPercent val="0"/>
              <c:showBubbleSize val="0"/>
            </c:dLbl>
            <c:dLbl>
              <c:idx val="10"/>
              <c:tx>
                <c:strRef>
                  <c:f>figure1!$A$12</c:f>
                  <c:strCache>
                    <c:ptCount val="1"/>
                    <c:pt idx="0">
                      <c:v>GR</c:v>
                    </c:pt>
                  </c:strCache>
                </c:strRef>
              </c:tx>
              <c:dLblPos val="t"/>
              <c:showLegendKey val="0"/>
              <c:showVal val="0"/>
              <c:showCatName val="0"/>
              <c:showSerName val="0"/>
              <c:showPercent val="0"/>
              <c:showBubbleSize val="0"/>
            </c:dLbl>
            <c:dLbl>
              <c:idx val="11"/>
              <c:layout>
                <c:manualLayout>
                  <c:x val="-0.10004444444444446"/>
                  <c:y val="-2.1171411336241827E-2"/>
                </c:manualLayout>
              </c:layout>
              <c:tx>
                <c:strRef>
                  <c:f>figure1!$A$13</c:f>
                  <c:strCache>
                    <c:ptCount val="1"/>
                    <c:pt idx="0">
                      <c:v>IN</c:v>
                    </c:pt>
                  </c:strCache>
                </c:strRef>
              </c:tx>
              <c:dLblPos val="r"/>
              <c:showLegendKey val="0"/>
              <c:showVal val="0"/>
              <c:showCatName val="0"/>
              <c:showSerName val="0"/>
              <c:showPercent val="0"/>
              <c:showBubbleSize val="0"/>
            </c:dLbl>
            <c:dLbl>
              <c:idx val="12"/>
              <c:tx>
                <c:strRef>
                  <c:f>figure1!$A$14</c:f>
                  <c:strCache>
                    <c:ptCount val="1"/>
                    <c:pt idx="0">
                      <c:v>ID</c:v>
                    </c:pt>
                  </c:strCache>
                </c:strRef>
              </c:tx>
              <c:dLblPos val="t"/>
              <c:showLegendKey val="0"/>
              <c:showVal val="0"/>
              <c:showCatName val="0"/>
              <c:showSerName val="0"/>
              <c:showPercent val="0"/>
              <c:showBubbleSize val="0"/>
            </c:dLbl>
            <c:dLbl>
              <c:idx val="13"/>
              <c:layout>
                <c:manualLayout>
                  <c:x val="-8.5714285714285753E-3"/>
                  <c:y val="-2.2142036334044281E-4"/>
                </c:manualLayout>
              </c:layout>
              <c:tx>
                <c:strRef>
                  <c:f>figure1!$A$15</c:f>
                  <c:strCache>
                    <c:ptCount val="1"/>
                    <c:pt idx="0">
                      <c:v>IE</c:v>
                    </c:pt>
                  </c:strCache>
                </c:strRef>
              </c:tx>
              <c:dLblPos val="r"/>
              <c:showLegendKey val="0"/>
              <c:showVal val="0"/>
              <c:showCatName val="0"/>
              <c:showSerName val="0"/>
              <c:showPercent val="0"/>
              <c:showBubbleSize val="0"/>
            </c:dLbl>
            <c:dLbl>
              <c:idx val="14"/>
              <c:tx>
                <c:strRef>
                  <c:f>figure1!$A$16</c:f>
                  <c:strCache>
                    <c:ptCount val="1"/>
                    <c:pt idx="0">
                      <c:v>IL</c:v>
                    </c:pt>
                  </c:strCache>
                </c:strRef>
              </c:tx>
              <c:dLblPos val="t"/>
              <c:showLegendKey val="0"/>
              <c:showVal val="0"/>
              <c:showCatName val="0"/>
              <c:showSerName val="0"/>
              <c:showPercent val="0"/>
              <c:showBubbleSize val="0"/>
            </c:dLbl>
            <c:dLbl>
              <c:idx val="15"/>
              <c:layout>
                <c:manualLayout>
                  <c:x val="-3.5261663720606426E-3"/>
                  <c:y val="-1.3850040465555121E-2"/>
                </c:manualLayout>
              </c:layout>
              <c:tx>
                <c:strRef>
                  <c:f>figure1!$A$17</c:f>
                  <c:strCache>
                    <c:ptCount val="1"/>
                    <c:pt idx="0">
                      <c:v>IT</c:v>
                    </c:pt>
                  </c:strCache>
                </c:strRef>
              </c:tx>
              <c:dLblPos val="r"/>
              <c:showLegendKey val="0"/>
              <c:showVal val="0"/>
              <c:showCatName val="0"/>
              <c:showSerName val="0"/>
              <c:showPercent val="0"/>
              <c:showBubbleSize val="0"/>
            </c:dLbl>
            <c:dLbl>
              <c:idx val="16"/>
              <c:tx>
                <c:strRef>
                  <c:f>figure1!$A$18</c:f>
                  <c:strCache>
                    <c:ptCount val="1"/>
                    <c:pt idx="0">
                      <c:v>JP</c:v>
                    </c:pt>
                  </c:strCache>
                </c:strRef>
              </c:tx>
              <c:dLblPos val="t"/>
              <c:showLegendKey val="0"/>
              <c:showVal val="0"/>
              <c:showCatName val="0"/>
              <c:showSerName val="0"/>
              <c:showPercent val="0"/>
              <c:showBubbleSize val="0"/>
            </c:dLbl>
            <c:dLbl>
              <c:idx val="17"/>
              <c:layout>
                <c:manualLayout>
                  <c:x val="-7.925564304461942E-2"/>
                  <c:y val="-3.9455517552981961E-2"/>
                </c:manualLayout>
              </c:layout>
              <c:tx>
                <c:strRef>
                  <c:f>figure1!$A$19</c:f>
                  <c:strCache>
                    <c:ptCount val="1"/>
                    <c:pt idx="0">
                      <c:v>JO</c:v>
                    </c:pt>
                  </c:strCache>
                </c:strRef>
              </c:tx>
              <c:dLblPos val="r"/>
              <c:showLegendKey val="0"/>
              <c:showVal val="0"/>
              <c:showCatName val="0"/>
              <c:showSerName val="0"/>
              <c:showPercent val="0"/>
              <c:showBubbleSize val="0"/>
            </c:dLbl>
            <c:dLbl>
              <c:idx val="18"/>
              <c:layout>
                <c:manualLayout>
                  <c:x val="-3.2505758208795352E-2"/>
                  <c:y val="2.7035819841088882E-2"/>
                </c:manualLayout>
              </c:layout>
              <c:tx>
                <c:strRef>
                  <c:f>figure1!$A$20</c:f>
                  <c:strCache>
                    <c:ptCount val="1"/>
                    <c:pt idx="0">
                      <c:v>KE</c:v>
                    </c:pt>
                  </c:strCache>
                </c:strRef>
              </c:tx>
              <c:dLblPos val="r"/>
              <c:showLegendKey val="0"/>
              <c:showVal val="0"/>
              <c:showCatName val="0"/>
              <c:showSerName val="0"/>
              <c:showPercent val="0"/>
              <c:showBubbleSize val="0"/>
            </c:dLbl>
            <c:dLbl>
              <c:idx val="19"/>
              <c:tx>
                <c:strRef>
                  <c:f>figure1!$A$21</c:f>
                  <c:strCache>
                    <c:ptCount val="1"/>
                    <c:pt idx="0">
                      <c:v>KR</c:v>
                    </c:pt>
                  </c:strCache>
                </c:strRef>
              </c:tx>
              <c:dLblPos val="t"/>
              <c:showLegendKey val="0"/>
              <c:showVal val="0"/>
              <c:showCatName val="0"/>
              <c:showSerName val="0"/>
              <c:showPercent val="0"/>
              <c:showBubbleSize val="0"/>
            </c:dLbl>
            <c:dLbl>
              <c:idx val="20"/>
              <c:layout>
                <c:manualLayout>
                  <c:x val="-6.8027210884353834E-3"/>
                  <c:y val="-1.1578603781852657E-2"/>
                </c:manualLayout>
              </c:layout>
              <c:tx>
                <c:strRef>
                  <c:f>figure1!$A$22</c:f>
                  <c:strCache>
                    <c:ptCount val="1"/>
                    <c:pt idx="0">
                      <c:v>MY</c:v>
                    </c:pt>
                  </c:strCache>
                </c:strRef>
              </c:tx>
              <c:dLblPos val="r"/>
              <c:showLegendKey val="0"/>
              <c:showVal val="0"/>
              <c:showCatName val="0"/>
              <c:showSerName val="0"/>
              <c:showPercent val="0"/>
              <c:showBubbleSize val="0"/>
            </c:dLbl>
            <c:dLbl>
              <c:idx val="21"/>
              <c:layout>
                <c:manualLayout>
                  <c:x val="-1.3605442176870748E-2"/>
                  <c:y val="2.0221509789981551E-2"/>
                </c:manualLayout>
              </c:layout>
              <c:tx>
                <c:strRef>
                  <c:f>figure1!$A$23</c:f>
                  <c:strCache>
                    <c:ptCount val="1"/>
                    <c:pt idx="0">
                      <c:v>MX</c:v>
                    </c:pt>
                  </c:strCache>
                </c:strRef>
              </c:tx>
              <c:dLblPos val="r"/>
              <c:showLegendKey val="0"/>
              <c:showVal val="0"/>
              <c:showCatName val="0"/>
              <c:showSerName val="0"/>
              <c:showPercent val="0"/>
              <c:showBubbleSize val="0"/>
            </c:dLbl>
            <c:dLbl>
              <c:idx val="22"/>
              <c:layout>
                <c:manualLayout>
                  <c:x val="-1.2600174978127746E-2"/>
                  <c:y val="-1.5076709263995151E-2"/>
                </c:manualLayout>
              </c:layout>
              <c:tx>
                <c:strRef>
                  <c:f>figure1!$A$24</c:f>
                  <c:strCache>
                    <c:ptCount val="1"/>
                    <c:pt idx="0">
                      <c:v>NL</c:v>
                    </c:pt>
                  </c:strCache>
                </c:strRef>
              </c:tx>
              <c:dLblPos val="r"/>
              <c:showLegendKey val="0"/>
              <c:showVal val="0"/>
              <c:showCatName val="0"/>
              <c:showSerName val="0"/>
              <c:showPercent val="0"/>
              <c:showBubbleSize val="0"/>
            </c:dLbl>
            <c:dLbl>
              <c:idx val="23"/>
              <c:tx>
                <c:strRef>
                  <c:f>figure1!$A$25</c:f>
                  <c:strCache>
                    <c:ptCount val="1"/>
                    <c:pt idx="0">
                      <c:v>NO</c:v>
                    </c:pt>
                  </c:strCache>
                </c:strRef>
              </c:tx>
              <c:dLblPos val="t"/>
              <c:showLegendKey val="0"/>
              <c:showVal val="0"/>
              <c:showCatName val="0"/>
              <c:showSerName val="0"/>
              <c:showPercent val="0"/>
              <c:showBubbleSize val="0"/>
            </c:dLbl>
            <c:dLbl>
              <c:idx val="24"/>
              <c:layout>
                <c:manualLayout>
                  <c:x val="-0.10651933508311462"/>
                  <c:y val="-6.316414856292198E-3"/>
                </c:manualLayout>
              </c:layout>
              <c:tx>
                <c:strRef>
                  <c:f>figure1!$A$26</c:f>
                  <c:strCache>
                    <c:ptCount val="1"/>
                    <c:pt idx="0">
                      <c:v>PK</c:v>
                    </c:pt>
                  </c:strCache>
                </c:strRef>
              </c:tx>
              <c:dLblPos val="r"/>
              <c:showLegendKey val="0"/>
              <c:showVal val="0"/>
              <c:showCatName val="0"/>
              <c:showSerName val="0"/>
              <c:showPercent val="0"/>
              <c:showBubbleSize val="0"/>
            </c:dLbl>
            <c:dLbl>
              <c:idx val="25"/>
              <c:layout>
                <c:manualLayout>
                  <c:x val="-5.7777777777777782E-2"/>
                  <c:y val="-2.4218762372365192E-2"/>
                </c:manualLayout>
              </c:layout>
              <c:tx>
                <c:strRef>
                  <c:f>figure1!$A$27</c:f>
                  <c:strCache>
                    <c:ptCount val="1"/>
                    <c:pt idx="0">
                      <c:v>PE</c:v>
                    </c:pt>
                  </c:strCache>
                </c:strRef>
              </c:tx>
              <c:dLblPos val="r"/>
              <c:showLegendKey val="0"/>
              <c:showVal val="0"/>
              <c:showCatName val="0"/>
              <c:showSerName val="0"/>
              <c:showPercent val="0"/>
              <c:showBubbleSize val="0"/>
            </c:dLbl>
            <c:dLbl>
              <c:idx val="26"/>
              <c:layout>
                <c:manualLayout>
                  <c:x val="-3.3004624421947258E-2"/>
                  <c:y val="2.7035819841089E-2"/>
                </c:manualLayout>
              </c:layout>
              <c:tx>
                <c:strRef>
                  <c:f>figure1!$A$28</c:f>
                  <c:strCache>
                    <c:ptCount val="1"/>
                    <c:pt idx="0">
                      <c:v>PH</c:v>
                    </c:pt>
                  </c:strCache>
                </c:strRef>
              </c:tx>
              <c:dLblPos val="r"/>
              <c:showLegendKey val="0"/>
              <c:showVal val="0"/>
              <c:showCatName val="0"/>
              <c:showSerName val="0"/>
              <c:showPercent val="0"/>
              <c:showBubbleSize val="0"/>
            </c:dLbl>
            <c:dLbl>
              <c:idx val="27"/>
              <c:layout>
                <c:manualLayout>
                  <c:x val="-3.0366754155730511E-2"/>
                  <c:y val="-2.1171411336241827E-2"/>
                </c:manualLayout>
              </c:layout>
              <c:tx>
                <c:strRef>
                  <c:f>figure1!$A$29</c:f>
                  <c:strCache>
                    <c:ptCount val="1"/>
                    <c:pt idx="0">
                      <c:v>PT</c:v>
                    </c:pt>
                  </c:strCache>
                </c:strRef>
              </c:tx>
              <c:dLblPos val="r"/>
              <c:showLegendKey val="0"/>
              <c:showVal val="0"/>
              <c:showCatName val="0"/>
              <c:showSerName val="0"/>
              <c:showPercent val="0"/>
              <c:showBubbleSize val="0"/>
            </c:dLbl>
            <c:dLbl>
              <c:idx val="28"/>
              <c:layout>
                <c:manualLayout>
                  <c:x val="-2.0725459317585272E-2"/>
                  <c:y val="-2.2171278404551034E-4"/>
                </c:manualLayout>
              </c:layout>
              <c:tx>
                <c:strRef>
                  <c:f>figure1!$A$30</c:f>
                  <c:strCache>
                    <c:ptCount val="1"/>
                    <c:pt idx="0">
                      <c:v>SG</c:v>
                    </c:pt>
                  </c:strCache>
                </c:strRef>
              </c:tx>
              <c:dLblPos val="r"/>
              <c:showLegendKey val="0"/>
              <c:showVal val="0"/>
              <c:showCatName val="0"/>
              <c:showSerName val="0"/>
              <c:showPercent val="0"/>
              <c:showBubbleSize val="0"/>
            </c:dLbl>
            <c:dLbl>
              <c:idx val="29"/>
              <c:tx>
                <c:strRef>
                  <c:f>figure1!$A$31</c:f>
                  <c:strCache>
                    <c:ptCount val="1"/>
                    <c:pt idx="0">
                      <c:v>ZA</c:v>
                    </c:pt>
                  </c:strCache>
                </c:strRef>
              </c:tx>
              <c:dLblPos val="t"/>
              <c:showLegendKey val="0"/>
              <c:showVal val="0"/>
              <c:showCatName val="0"/>
              <c:showSerName val="0"/>
              <c:showPercent val="0"/>
              <c:showBubbleSize val="0"/>
            </c:dLbl>
            <c:dLbl>
              <c:idx val="30"/>
              <c:layout>
                <c:manualLayout>
                  <c:x val="-7.5624475511989371E-3"/>
                  <c:y val="1.7950073106279097E-2"/>
                </c:manualLayout>
              </c:layout>
              <c:tx>
                <c:strRef>
                  <c:f>figure1!$A$32</c:f>
                  <c:strCache>
                    <c:ptCount val="1"/>
                    <c:pt idx="0">
                      <c:v>ES</c:v>
                    </c:pt>
                  </c:strCache>
                </c:strRef>
              </c:tx>
              <c:dLblPos val="r"/>
              <c:showLegendKey val="0"/>
              <c:showVal val="0"/>
              <c:showCatName val="0"/>
              <c:showSerName val="0"/>
              <c:showPercent val="0"/>
              <c:showBubbleSize val="0"/>
            </c:dLbl>
            <c:dLbl>
              <c:idx val="31"/>
              <c:layout>
                <c:manualLayout>
                  <c:x val="-2.9234738514828659E-2"/>
                  <c:y val="2.2492946473684088E-2"/>
                </c:manualLayout>
              </c:layout>
              <c:tx>
                <c:strRef>
                  <c:f>figure1!$A$33</c:f>
                  <c:strCache>
                    <c:ptCount val="1"/>
                    <c:pt idx="0">
                      <c:v>LK</c:v>
                    </c:pt>
                  </c:strCache>
                </c:strRef>
              </c:tx>
              <c:dLblPos val="r"/>
              <c:showLegendKey val="0"/>
              <c:showVal val="0"/>
              <c:showCatName val="0"/>
              <c:showSerName val="0"/>
              <c:showPercent val="0"/>
              <c:showBubbleSize val="0"/>
            </c:dLbl>
            <c:dLbl>
              <c:idx val="32"/>
              <c:layout>
                <c:manualLayout>
                  <c:x val="-5.2948738550538475E-3"/>
                  <c:y val="8.8643263714693575E-3"/>
                </c:manualLayout>
              </c:layout>
              <c:tx>
                <c:strRef>
                  <c:f>figure1!$A$34</c:f>
                  <c:strCache>
                    <c:ptCount val="1"/>
                    <c:pt idx="0">
                      <c:v>SE</c:v>
                    </c:pt>
                  </c:strCache>
                </c:strRef>
              </c:tx>
              <c:dLblPos val="r"/>
              <c:showLegendKey val="0"/>
              <c:showVal val="0"/>
              <c:showCatName val="0"/>
              <c:showSerName val="0"/>
              <c:showPercent val="0"/>
              <c:showBubbleSize val="0"/>
            </c:dLbl>
            <c:dLbl>
              <c:idx val="33"/>
              <c:tx>
                <c:strRef>
                  <c:f>figure1!$A$35</c:f>
                  <c:strCache>
                    <c:ptCount val="1"/>
                    <c:pt idx="0">
                      <c:v>TH</c:v>
                    </c:pt>
                  </c:strCache>
                </c:strRef>
              </c:tx>
              <c:dLblPos val="t"/>
              <c:showLegendKey val="0"/>
              <c:showVal val="0"/>
              <c:showCatName val="0"/>
              <c:showSerName val="0"/>
              <c:showPercent val="0"/>
              <c:showBubbleSize val="0"/>
            </c:dLbl>
            <c:dLbl>
              <c:idx val="34"/>
              <c:layout>
                <c:manualLayout>
                  <c:x val="-4.0000000000000022E-2"/>
                  <c:y val="-2.1171411336241827E-2"/>
                </c:manualLayout>
              </c:layout>
              <c:tx>
                <c:strRef>
                  <c:f>figure1!$A$36</c:f>
                  <c:strCache>
                    <c:ptCount val="1"/>
                    <c:pt idx="0">
                      <c:v>TR</c:v>
                    </c:pt>
                  </c:strCache>
                </c:strRef>
              </c:tx>
              <c:dLblPos val="r"/>
              <c:showLegendKey val="0"/>
              <c:showVal val="0"/>
              <c:showCatName val="0"/>
              <c:showSerName val="0"/>
              <c:showPercent val="0"/>
              <c:showBubbleSize val="0"/>
            </c:dLbl>
            <c:dLbl>
              <c:idx val="35"/>
              <c:layout>
                <c:manualLayout>
                  <c:x val="4.9886621315193072E-4"/>
                  <c:y val="-2.4928570470428846E-3"/>
                </c:manualLayout>
              </c:layout>
              <c:tx>
                <c:strRef>
                  <c:f>figure1!$A$37</c:f>
                  <c:strCache>
                    <c:ptCount val="1"/>
                    <c:pt idx="0">
                      <c:v>GB</c:v>
                    </c:pt>
                  </c:strCache>
                </c:strRef>
              </c:tx>
              <c:dLblPos val="r"/>
              <c:showLegendKey val="0"/>
              <c:showVal val="0"/>
              <c:showCatName val="0"/>
              <c:showSerName val="0"/>
              <c:showPercent val="0"/>
              <c:showBubbleSize val="0"/>
            </c:dLbl>
            <c:dLbl>
              <c:idx val="36"/>
              <c:layout>
                <c:manualLayout>
                  <c:x val="-0.10910446194225729"/>
                  <c:y val="-2.2147283514502788E-4"/>
                </c:manualLayout>
              </c:layout>
              <c:tx>
                <c:strRef>
                  <c:f>figure1!$A$38</c:f>
                  <c:strCache>
                    <c:ptCount val="1"/>
                    <c:pt idx="0">
                      <c:v>US</c:v>
                    </c:pt>
                  </c:strCache>
                </c:strRef>
              </c:tx>
              <c:dLblPos val="r"/>
              <c:showLegendKey val="0"/>
              <c:showVal val="0"/>
              <c:showCatName val="0"/>
              <c:showSerName val="0"/>
              <c:showPercent val="0"/>
              <c:showBubbleSize val="0"/>
            </c:dLbl>
            <c:dLbl>
              <c:idx val="37"/>
              <c:layout>
                <c:manualLayout>
                  <c:x val="-0.11404759405074354"/>
                  <c:y val="6.5928359896476486E-3"/>
                </c:manualLayout>
              </c:layout>
              <c:tx>
                <c:strRef>
                  <c:f>figure1!$A$39</c:f>
                  <c:strCache>
                    <c:ptCount val="1"/>
                    <c:pt idx="0">
                      <c:v>ZM</c:v>
                    </c:pt>
                  </c:strCache>
                </c:strRef>
              </c:tx>
              <c:dLblPos val="r"/>
              <c:showLegendKey val="0"/>
              <c:showVal val="0"/>
              <c:showCatName val="0"/>
              <c:showSerName val="0"/>
              <c:showPercent val="0"/>
              <c:showBubbleSize val="0"/>
            </c:dLbl>
            <c:dLbl>
              <c:idx val="38"/>
              <c:delete val="1"/>
            </c:dLbl>
            <c:spPr>
              <a:noFill/>
              <a:ln w="25400">
                <a:noFill/>
              </a:ln>
            </c:spPr>
            <c:txPr>
              <a:bodyPr/>
              <a:lstStyle/>
              <a:p>
                <a:pPr>
                  <a:defRPr sz="600"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dLbls>
          <c:trendline>
            <c:spPr>
              <a:ln w="25400">
                <a:solidFill>
                  <a:srgbClr val="000000"/>
                </a:solidFill>
                <a:prstDash val="solid"/>
              </a:ln>
            </c:spPr>
            <c:trendlineType val="linear"/>
            <c:dispRSqr val="0"/>
            <c:dispEq val="0"/>
          </c:trendline>
          <c:xVal>
            <c:numRef>
              <c:f>figure1!$C$2:$C$40</c:f>
              <c:numCache>
                <c:formatCode>_(* #,##0.00_);_(* \(#,##0.00\);_(* "-"??_);_(@_)</c:formatCode>
                <c:ptCount val="39"/>
                <c:pt idx="0">
                  <c:v>0</c:v>
                </c:pt>
                <c:pt idx="1">
                  <c:v>0</c:v>
                </c:pt>
                <c:pt idx="2">
                  <c:v>0</c:v>
                </c:pt>
                <c:pt idx="3">
                  <c:v>0.29025080000000025</c:v>
                </c:pt>
                <c:pt idx="4">
                  <c:v>0.17707600000000001</c:v>
                </c:pt>
                <c:pt idx="5">
                  <c:v>0</c:v>
                </c:pt>
                <c:pt idx="6">
                  <c:v>0.97919020000000057</c:v>
                </c:pt>
                <c:pt idx="7">
                  <c:v>0</c:v>
                </c:pt>
                <c:pt idx="8">
                  <c:v>0</c:v>
                </c:pt>
                <c:pt idx="9">
                  <c:v>0.23947040000000014</c:v>
                </c:pt>
                <c:pt idx="10">
                  <c:v>0.56150719999999932</c:v>
                </c:pt>
                <c:pt idx="11">
                  <c:v>1</c:v>
                </c:pt>
                <c:pt idx="12">
                  <c:v>0.90980810000000001</c:v>
                </c:pt>
                <c:pt idx="13">
                  <c:v>0</c:v>
                </c:pt>
                <c:pt idx="14">
                  <c:v>0.42981320000000034</c:v>
                </c:pt>
                <c:pt idx="15">
                  <c:v>0</c:v>
                </c:pt>
                <c:pt idx="16">
                  <c:v>0.2206523</c:v>
                </c:pt>
                <c:pt idx="17">
                  <c:v>8.7056800000000115E-2</c:v>
                </c:pt>
                <c:pt idx="18">
                  <c:v>0.82666589999999995</c:v>
                </c:pt>
                <c:pt idx="19">
                  <c:v>0.38163580000000008</c:v>
                </c:pt>
                <c:pt idx="20">
                  <c:v>0</c:v>
                </c:pt>
                <c:pt idx="21">
                  <c:v>0</c:v>
                </c:pt>
                <c:pt idx="22">
                  <c:v>0.21558269999999999</c:v>
                </c:pt>
                <c:pt idx="23">
                  <c:v>0.43301010000000034</c:v>
                </c:pt>
                <c:pt idx="24">
                  <c:v>0.95758089999999996</c:v>
                </c:pt>
                <c:pt idx="25">
                  <c:v>0.18670610000000024</c:v>
                </c:pt>
                <c:pt idx="26">
                  <c:v>0.20767369999999988</c:v>
                </c:pt>
                <c:pt idx="27">
                  <c:v>0.2850994</c:v>
                </c:pt>
                <c:pt idx="28">
                  <c:v>0.43863540000000001</c:v>
                </c:pt>
                <c:pt idx="29">
                  <c:v>1.40518E-2</c:v>
                </c:pt>
                <c:pt idx="30">
                  <c:v>7.7892000000000091E-3</c:v>
                </c:pt>
                <c:pt idx="31">
                  <c:v>0.5880550999999995</c:v>
                </c:pt>
                <c:pt idx="32">
                  <c:v>0</c:v>
                </c:pt>
                <c:pt idx="33">
                  <c:v>0.46345670000000028</c:v>
                </c:pt>
                <c:pt idx="34">
                  <c:v>0.31586990000000043</c:v>
                </c:pt>
                <c:pt idx="35">
                  <c:v>0</c:v>
                </c:pt>
                <c:pt idx="36">
                  <c:v>0</c:v>
                </c:pt>
                <c:pt idx="37">
                  <c:v>0</c:v>
                </c:pt>
                <c:pt idx="38">
                  <c:v>0</c:v>
                </c:pt>
              </c:numCache>
            </c:numRef>
          </c:xVal>
          <c:yVal>
            <c:numRef>
              <c:f>figure1!$E$2:$E$40</c:f>
              <c:numCache>
                <c:formatCode>General</c:formatCode>
                <c:ptCount val="39"/>
                <c:pt idx="0">
                  <c:v>0.5567107</c:v>
                </c:pt>
                <c:pt idx="1">
                  <c:v>0.86494490000000068</c:v>
                </c:pt>
                <c:pt idx="2">
                  <c:v>0.66613920000000082</c:v>
                </c:pt>
                <c:pt idx="3">
                  <c:v>0.32743840000000041</c:v>
                </c:pt>
                <c:pt idx="4">
                  <c:v>0.31031060000000055</c:v>
                </c:pt>
                <c:pt idx="5">
                  <c:v>1.1204830000000001</c:v>
                </c:pt>
                <c:pt idx="6">
                  <c:v>0.46788980000000041</c:v>
                </c:pt>
                <c:pt idx="7">
                  <c:v>0.76393370000000005</c:v>
                </c:pt>
                <c:pt idx="8">
                  <c:v>0.78759599999999996</c:v>
                </c:pt>
                <c:pt idx="9">
                  <c:v>0.25217330000000004</c:v>
                </c:pt>
                <c:pt idx="10">
                  <c:v>0.5835753999999993</c:v>
                </c:pt>
                <c:pt idx="11">
                  <c:v>0.21997510000000017</c:v>
                </c:pt>
                <c:pt idx="12">
                  <c:v>7.3218000000000019E-2</c:v>
                </c:pt>
                <c:pt idx="13">
                  <c:v>0.48979010000000001</c:v>
                </c:pt>
                <c:pt idx="14">
                  <c:v>0.46262970000000025</c:v>
                </c:pt>
                <c:pt idx="15">
                  <c:v>0.88196160000000001</c:v>
                </c:pt>
                <c:pt idx="16">
                  <c:v>0.80972160000000082</c:v>
                </c:pt>
                <c:pt idx="17">
                  <c:v>0.39400820000000042</c:v>
                </c:pt>
                <c:pt idx="18">
                  <c:v>0.16828230000000013</c:v>
                </c:pt>
                <c:pt idx="19">
                  <c:v>0.78008940000000004</c:v>
                </c:pt>
                <c:pt idx="20">
                  <c:v>0.50496039999999931</c:v>
                </c:pt>
                <c:pt idx="21">
                  <c:v>0.44338850000000041</c:v>
                </c:pt>
                <c:pt idx="22">
                  <c:v>0.58808089999999957</c:v>
                </c:pt>
                <c:pt idx="23">
                  <c:v>0.62765059999999995</c:v>
                </c:pt>
                <c:pt idx="24">
                  <c:v>-3.2254100000000015E-2</c:v>
                </c:pt>
                <c:pt idx="25">
                  <c:v>0.62937580000000082</c:v>
                </c:pt>
                <c:pt idx="26">
                  <c:v>0.23856880000000014</c:v>
                </c:pt>
                <c:pt idx="27">
                  <c:v>0.54500870000000001</c:v>
                </c:pt>
                <c:pt idx="28">
                  <c:v>0.53833909999999996</c:v>
                </c:pt>
                <c:pt idx="29">
                  <c:v>1.0085059999999999</c:v>
                </c:pt>
                <c:pt idx="30">
                  <c:v>0.73179950000000082</c:v>
                </c:pt>
                <c:pt idx="31">
                  <c:v>0.3375905000000004</c:v>
                </c:pt>
                <c:pt idx="32">
                  <c:v>0.85644810000000005</c:v>
                </c:pt>
                <c:pt idx="33">
                  <c:v>3.7141400000000012E-2</c:v>
                </c:pt>
                <c:pt idx="34">
                  <c:v>0.18041080000000023</c:v>
                </c:pt>
                <c:pt idx="35">
                  <c:v>0.95184200000000052</c:v>
                </c:pt>
                <c:pt idx="36">
                  <c:v>0.80653639999999927</c:v>
                </c:pt>
                <c:pt idx="37">
                  <c:v>0.47691090000000047</c:v>
                </c:pt>
                <c:pt idx="38">
                  <c:v>0.76234720000000056</c:v>
                </c:pt>
              </c:numCache>
            </c:numRef>
          </c:yVal>
          <c:smooth val="0"/>
        </c:ser>
        <c:dLbls>
          <c:showLegendKey val="0"/>
          <c:showVal val="0"/>
          <c:showCatName val="0"/>
          <c:showSerName val="0"/>
          <c:showPercent val="0"/>
          <c:showBubbleSize val="0"/>
        </c:dLbls>
        <c:axId val="144224640"/>
        <c:axId val="144226560"/>
      </c:scatterChart>
      <c:valAx>
        <c:axId val="144224640"/>
        <c:scaling>
          <c:orientation val="minMax"/>
          <c:max val="1"/>
          <c:min val="0"/>
        </c:scaling>
        <c:delete val="0"/>
        <c:axPos val="b"/>
        <c:majorGridlines>
          <c:spPr>
            <a:ln w="3175">
              <a:solidFill>
                <a:srgbClr val="C0C0C0"/>
              </a:solidFill>
              <a:prstDash val="sysDash"/>
            </a:ln>
          </c:spPr>
        </c:majorGridlines>
        <c:title>
          <c:tx>
            <c:rich>
              <a:bodyPr/>
              <a:lstStyle/>
              <a:p>
                <a:pPr>
                  <a:defRPr sz="900"/>
                </a:pPr>
                <a:r>
                  <a:rPr lang="en-US" sz="900"/>
                  <a:t>Fraction of Banking System State-Controlled</a:t>
                </a:r>
              </a:p>
            </c:rich>
          </c:tx>
          <c:overlay val="0"/>
        </c:title>
        <c:numFmt formatCode="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4226560"/>
        <c:crosses val="autoZero"/>
        <c:crossBetween val="midCat"/>
        <c:majorUnit val="0.2"/>
      </c:valAx>
      <c:valAx>
        <c:axId val="144226560"/>
        <c:scaling>
          <c:orientation val="minMax"/>
          <c:max val="1"/>
          <c:min val="-0.1"/>
        </c:scaling>
        <c:delete val="0"/>
        <c:axPos val="l"/>
        <c:majorGridlines>
          <c:spPr>
            <a:ln w="3175">
              <a:solidFill>
                <a:srgbClr val="C0C0C0"/>
              </a:solidFill>
              <a:prstDash val="sysDash"/>
            </a:ln>
          </c:spPr>
        </c:majorGridlines>
        <c:title>
          <c:tx>
            <c:rich>
              <a:bodyPr rot="-5400000" vert="horz"/>
              <a:lstStyle/>
              <a:p>
                <a:pPr>
                  <a:defRPr sz="900"/>
                </a:pPr>
                <a:r>
                  <a:rPr lang="en-US" sz="900"/>
                  <a:t>Capital Allocation Efficiency</a:t>
                </a:r>
              </a:p>
            </c:rich>
          </c:tx>
          <c:layout>
            <c:manualLayout>
              <c:xMode val="edge"/>
              <c:yMode val="edge"/>
              <c:x val="1.1129680218544121E-2"/>
              <c:y val="0.3139501088769358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44224640"/>
        <c:crosses val="autoZero"/>
        <c:crossBetween val="midCat"/>
      </c:valAx>
      <c:spPr>
        <a:noFill/>
        <a:ln w="25400">
          <a:noFill/>
        </a:ln>
      </c:spPr>
    </c:plotArea>
    <c:plotVisOnly val="1"/>
    <c:dispBlanksAs val="gap"/>
    <c:showDLblsOverMax val="0"/>
  </c:chart>
  <c:spPr>
    <a:solidFill>
      <a:srgbClr val="FFFFFF"/>
    </a:solidFill>
    <a:ln w="3175">
      <a:noFill/>
      <a:prstDash val="solid"/>
    </a:ln>
  </c:spPr>
  <c:txPr>
    <a:bodyPr/>
    <a:lstStyle/>
    <a:p>
      <a:pPr>
        <a:defRPr sz="11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C9B3-EE15-4EC8-A613-963D0B4FD667}">
  <ds:schemaRefs>
    <ds:schemaRef ds:uri="http://schemas.openxmlformats.org/officeDocument/2006/bibliography"/>
  </ds:schemaRefs>
</ds:datastoreItem>
</file>

<file path=customXml/itemProps2.xml><?xml version="1.0" encoding="utf-8"?>
<ds:datastoreItem xmlns:ds="http://schemas.openxmlformats.org/officeDocument/2006/customXml" ds:itemID="{81CC43E2-55C5-4BF6-8989-5168D187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16391</Words>
  <Characters>93435</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Table 1: Financial Development and Efficiency of Capital Allocation</vt:lpstr>
    </vt:vector>
  </TitlesOfParts>
  <Company>Arizona State University</Company>
  <LinksUpToDate>false</LinksUpToDate>
  <CharactersWithSpaces>109607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Financial Development and Efficiency of Capital Allocation</dc:title>
  <dc:creator>W. P. Carey School of Business</dc:creator>
  <cp:lastModifiedBy>T I Fang</cp:lastModifiedBy>
  <cp:revision>2</cp:revision>
  <cp:lastPrinted>2010-05-20T16:39:00Z</cp:lastPrinted>
  <dcterms:created xsi:type="dcterms:W3CDTF">2013-04-29T02:40:00Z</dcterms:created>
  <dcterms:modified xsi:type="dcterms:W3CDTF">2013-04-29T02:40:00Z</dcterms:modified>
</cp:coreProperties>
</file>